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B6A7" w14:textId="39842917" w:rsidR="005049A9" w:rsidRDefault="005049A9" w:rsidP="005049A9">
      <w:pPr>
        <w:pStyle w:val="Title"/>
        <w:jc w:val="center"/>
      </w:pPr>
      <w:r w:rsidRPr="005049A9">
        <w:rPr>
          <w:noProof/>
          <w:lang w:val="nl-NL" w:eastAsia="nl-NL"/>
        </w:rPr>
        <w:drawing>
          <wp:anchor distT="0" distB="0" distL="114300" distR="114300" simplePos="0" relativeHeight="251658240" behindDoc="0" locked="0" layoutInCell="1" allowOverlap="1" wp14:anchorId="53E5FC2F" wp14:editId="5221BC33">
            <wp:simplePos x="0" y="0"/>
            <wp:positionH relativeFrom="margin">
              <wp:posOffset>2124075</wp:posOffset>
            </wp:positionH>
            <wp:positionV relativeFrom="paragraph">
              <wp:posOffset>-19050</wp:posOffset>
            </wp:positionV>
            <wp:extent cx="1933575" cy="69336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8872" cy="69526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5A72D5" w:rsidRDefault="0054182D" w:rsidP="00B34EF7">
      <w:pPr>
        <w:pStyle w:val="Title"/>
        <w:rPr>
          <w:sz w:val="32"/>
          <w:szCs w:val="32"/>
        </w:rPr>
      </w:pPr>
    </w:p>
    <w:p w14:paraId="2AC16FEE" w14:textId="17DEEB37"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4</w:t>
      </w:r>
      <w:r w:rsidR="00AE32A2">
        <w:rPr>
          <w:sz w:val="44"/>
          <w:szCs w:val="44"/>
        </w:rPr>
        <w:t xml:space="preserve"> and 52</w:t>
      </w:r>
      <w:r w:rsidR="000C3CC4" w:rsidRPr="000C3CC4">
        <w:rPr>
          <w:sz w:val="44"/>
          <w:szCs w:val="44"/>
        </w:rPr>
        <w:t xml:space="preserve"> </w:t>
      </w:r>
      <w:proofErr w:type="spellStart"/>
      <w:r w:rsidR="000C3CC4" w:rsidRPr="000C3CC4">
        <w:rPr>
          <w:sz w:val="44"/>
          <w:szCs w:val="44"/>
        </w:rPr>
        <w:t>w</w:t>
      </w:r>
      <w:r w:rsidR="00D22E21">
        <w:rPr>
          <w:sz w:val="44"/>
          <w:szCs w:val="44"/>
        </w:rPr>
        <w:t>.e</w:t>
      </w:r>
      <w:proofErr w:type="spellEnd"/>
      <w:r w:rsidR="00D22E21">
        <w:rPr>
          <w:sz w:val="44"/>
          <w:szCs w:val="44"/>
        </w:rPr>
        <w:t>.</w:t>
      </w:r>
      <w:r w:rsidR="000C3CC4" w:rsidRPr="000C3CC4">
        <w:rPr>
          <w:sz w:val="44"/>
          <w:szCs w:val="44"/>
        </w:rPr>
        <w:t xml:space="preserve"> </w:t>
      </w:r>
      <w:r w:rsidR="006B1D67">
        <w:rPr>
          <w:sz w:val="44"/>
          <w:szCs w:val="44"/>
        </w:rPr>
        <w:t>5</w:t>
      </w:r>
      <w:r w:rsidR="00705769">
        <w:rPr>
          <w:sz w:val="44"/>
          <w:szCs w:val="44"/>
        </w:rPr>
        <w:t>.</w:t>
      </w:r>
      <w:r w:rsidR="006B1D67">
        <w:rPr>
          <w:sz w:val="44"/>
          <w:szCs w:val="44"/>
        </w:rPr>
        <w:t>18</w:t>
      </w:r>
      <w:r w:rsidR="00A50E59">
        <w:rPr>
          <w:sz w:val="44"/>
          <w:szCs w:val="44"/>
        </w:rPr>
        <w:t>.2025</w:t>
      </w:r>
    </w:p>
    <w:p w14:paraId="74281325" w14:textId="0CB9B3C4" w:rsidR="00757C0B" w:rsidRPr="00CC4137" w:rsidRDefault="00F83117" w:rsidP="00757C0B">
      <w:pPr>
        <w:pStyle w:val="Heading1"/>
        <w:rPr>
          <w:b/>
          <w:bCs/>
          <w:color w:val="800000"/>
          <w:sz w:val="26"/>
          <w:szCs w:val="26"/>
        </w:rPr>
      </w:pPr>
      <w:r>
        <w:rPr>
          <w:b/>
          <w:bCs/>
          <w:color w:val="800000"/>
          <w:sz w:val="26"/>
          <w:szCs w:val="26"/>
        </w:rPr>
        <w:t>The Quad-Week</w:t>
      </w:r>
      <w:r w:rsidR="00807BB4" w:rsidRPr="00CC4137">
        <w:rPr>
          <w:b/>
          <w:bCs/>
          <w:color w:val="800000"/>
          <w:sz w:val="26"/>
          <w:szCs w:val="26"/>
        </w:rPr>
        <w:t xml:space="preserve"> in Review</w:t>
      </w:r>
    </w:p>
    <w:p w14:paraId="365E2F26" w14:textId="48428B0A" w:rsidR="006B1D67" w:rsidRDefault="006B1D67" w:rsidP="00983B89">
      <w:pPr>
        <w:pStyle w:val="NoSpacing"/>
        <w:numPr>
          <w:ilvl w:val="0"/>
          <w:numId w:val="31"/>
        </w:numPr>
        <w:rPr>
          <w:rFonts w:cstheme="minorHAnsi"/>
        </w:rPr>
      </w:pPr>
      <w:bookmarkStart w:id="0" w:name="_Hlk182319354"/>
      <w:r>
        <w:rPr>
          <w:rFonts w:cstheme="minorHAnsi"/>
        </w:rPr>
        <w:t xml:space="preserve">Consumer sentiment fell for the fourth straight month, decreasing 8% from March, driven by concerns over personal finances and business conditions and especially strong among middle-income households. Expectations have fallen 32% since January, the steepest three-month decline since the 1990 recession. </w:t>
      </w:r>
    </w:p>
    <w:p w14:paraId="22274E9B" w14:textId="23144399" w:rsidR="006B1D67" w:rsidRPr="00CB6078" w:rsidRDefault="001818D9" w:rsidP="00D8541C">
      <w:pPr>
        <w:pStyle w:val="NoSpacing"/>
        <w:numPr>
          <w:ilvl w:val="0"/>
          <w:numId w:val="31"/>
        </w:numPr>
        <w:rPr>
          <w:rFonts w:cstheme="minorHAnsi"/>
        </w:rPr>
      </w:pPr>
      <w:r w:rsidRPr="00CB6078">
        <w:rPr>
          <w:rFonts w:cstheme="minorHAnsi"/>
        </w:rPr>
        <w:t xml:space="preserve">In the April </w:t>
      </w:r>
      <w:proofErr w:type="spellStart"/>
      <w:r w:rsidRPr="00CB6078">
        <w:rPr>
          <w:rFonts w:cstheme="minorHAnsi"/>
        </w:rPr>
        <w:t>Circana</w:t>
      </w:r>
      <w:proofErr w:type="spellEnd"/>
      <w:r w:rsidRPr="00CB6078">
        <w:rPr>
          <w:rFonts w:cstheme="minorHAnsi"/>
        </w:rPr>
        <w:t xml:space="preserve"> survey, consumers estimate that 77% of all meal occasions are sourced from home. Yet, 79% of consumers had ordered restaurant food in the past month at least once, ranging from 83% of Millennials to just 53% of those ages 79+. </w:t>
      </w:r>
      <w:r w:rsidR="006B1D67" w:rsidRPr="00CB6078">
        <w:rPr>
          <w:rFonts w:cstheme="minorHAnsi"/>
        </w:rPr>
        <w:t>Placer.ai released its March and April restaurant visit update that point to stabilization after a down January and February. Trip growth trends are summarized by the six Cs: coffee, chicken, Chili’s, Cava, Chuck E. Cheese and Chipotle</w:t>
      </w:r>
      <w:r w:rsidRPr="00CB6078">
        <w:rPr>
          <w:rFonts w:cstheme="minorHAnsi"/>
        </w:rPr>
        <w:t xml:space="preserve">. The </w:t>
      </w:r>
      <w:r w:rsidR="006B1D67" w:rsidRPr="00CB6078">
        <w:rPr>
          <w:rFonts w:cstheme="minorHAnsi"/>
        </w:rPr>
        <w:t xml:space="preserve">common </w:t>
      </w:r>
      <w:r w:rsidRPr="00CB6078">
        <w:rPr>
          <w:rFonts w:cstheme="minorHAnsi"/>
        </w:rPr>
        <w:t xml:space="preserve">growth </w:t>
      </w:r>
      <w:r w:rsidR="006B1D67" w:rsidRPr="00CB6078">
        <w:rPr>
          <w:rFonts w:cstheme="minorHAnsi"/>
        </w:rPr>
        <w:t xml:space="preserve">thread </w:t>
      </w:r>
      <w:r w:rsidRPr="00CB6078">
        <w:rPr>
          <w:rFonts w:cstheme="minorHAnsi"/>
        </w:rPr>
        <w:t xml:space="preserve">is </w:t>
      </w:r>
      <w:r w:rsidR="006B1D67" w:rsidRPr="00CB6078">
        <w:rPr>
          <w:rFonts w:cstheme="minorHAnsi"/>
        </w:rPr>
        <w:t>“innovative value,” according to placer.ai. Visits also grew at fine dining restaurants on Valentine’s and Mother’s Day.</w:t>
      </w:r>
    </w:p>
    <w:p w14:paraId="0A2BA677" w14:textId="2F0B5A68" w:rsidR="001818D9" w:rsidRDefault="00CB6078" w:rsidP="00983B89">
      <w:pPr>
        <w:pStyle w:val="NoSpacing"/>
        <w:numPr>
          <w:ilvl w:val="0"/>
          <w:numId w:val="31"/>
        </w:numPr>
        <w:rPr>
          <w:rFonts w:cstheme="minorHAnsi"/>
        </w:rPr>
      </w:pPr>
      <w:r>
        <w:rPr>
          <w:rFonts w:cstheme="minorHAnsi"/>
        </w:rPr>
        <w:t>The produce department performance is showing strong growth for fruit, but deflation and soft demand pulled total vegetable sales into the negative. Over the past four weeks, total produce grew 1.3% in dollars and 0.7% in pounds. Vegetable dollar sales, however, decreased 2.8% versus the same four weeks last year and pound sales fell 1.5%. At least some of the vegetable dollars have moved to the frozen food department, with plain vegetables up 4.5% in pound sales during the same four weeks.</w:t>
      </w:r>
    </w:p>
    <w:bookmarkEnd w:id="0"/>
    <w:p w14:paraId="2616F2F0" w14:textId="77777777" w:rsidR="00A7426C" w:rsidRPr="005A72D5" w:rsidRDefault="00A7426C" w:rsidP="00A7426C">
      <w:pPr>
        <w:pStyle w:val="NoSpacing"/>
        <w:rPr>
          <w:rFonts w:ascii="Arial" w:hAnsi="Arial" w:cs="Arial"/>
          <w:sz w:val="18"/>
          <w:szCs w:val="18"/>
        </w:rPr>
      </w:pPr>
    </w:p>
    <w:p w14:paraId="737234D5" w14:textId="3B512D43" w:rsidR="00927EAC" w:rsidRPr="00CC4137" w:rsidRDefault="007D3393" w:rsidP="00927EAC">
      <w:pPr>
        <w:pStyle w:val="Heading2"/>
        <w:rPr>
          <w:b/>
          <w:bCs/>
          <w:color w:val="800000"/>
        </w:rPr>
      </w:pPr>
      <w:r w:rsidRPr="00CC4137">
        <w:rPr>
          <w:b/>
          <w:bCs/>
          <w:color w:val="800000"/>
        </w:rPr>
        <w:t xml:space="preserve">Fresh Mushroom </w:t>
      </w:r>
      <w:r w:rsidR="00927EAC" w:rsidRPr="00CC4137">
        <w:rPr>
          <w:b/>
          <w:bCs/>
          <w:color w:val="800000"/>
        </w:rPr>
        <w:t>Dollars, Units and Volume Performance</w:t>
      </w:r>
    </w:p>
    <w:p w14:paraId="47797D03" w14:textId="5EE28FB4" w:rsidR="00472B02" w:rsidRDefault="00226EF3" w:rsidP="00D3797F">
      <w:pPr>
        <w:pStyle w:val="NoSpacing"/>
        <w:ind w:right="-180"/>
      </w:pPr>
      <w:r>
        <w:t>The quad-week generated</w:t>
      </w:r>
      <w:r w:rsidR="00D0131F">
        <w:t xml:space="preserve"> </w:t>
      </w:r>
      <w:r w:rsidR="001B68E6">
        <w:t>$</w:t>
      </w:r>
      <w:r w:rsidR="00114E6C">
        <w:t>107.9</w:t>
      </w:r>
      <w:r w:rsidR="00E1403D">
        <w:t xml:space="preserve"> </w:t>
      </w:r>
      <w:r w:rsidR="001B68E6">
        <w:t>million</w:t>
      </w:r>
      <w:r w:rsidR="00FA0530">
        <w:t xml:space="preserve"> in</w:t>
      </w:r>
      <w:r w:rsidR="003E2D02">
        <w:t xml:space="preserve"> fresh mushroom</w:t>
      </w:r>
      <w:r w:rsidR="00FA0530">
        <w:t xml:space="preserve"> sales</w:t>
      </w:r>
      <w:r>
        <w:t>.</w:t>
      </w:r>
      <w:r w:rsidR="00865920">
        <w:t xml:space="preserve"> </w:t>
      </w:r>
      <w:r w:rsidR="00A05D7D">
        <w:t xml:space="preserve">While the summer months are always our lower-volume period, </w:t>
      </w:r>
      <w:r w:rsidR="00DA7A8D">
        <w:t>year-over-year declines sharpened in comparison to the 52-week view. This is in line with lackluster vegetable sales</w:t>
      </w:r>
      <w:r w:rsidR="00A05D7D">
        <w:t>. Dollar sales fell 6.6% versus the same four weeks last year and volume was down 5.6%.</w:t>
      </w:r>
    </w:p>
    <w:p w14:paraId="628DD7FA" w14:textId="77777777" w:rsidR="00B326D5" w:rsidRPr="00DA7A8D" w:rsidRDefault="00B326D5" w:rsidP="00D3797F">
      <w:pPr>
        <w:pStyle w:val="NoSpacing"/>
        <w:ind w:right="-180"/>
        <w:rPr>
          <w:sz w:val="10"/>
          <w:szCs w:val="10"/>
        </w:rPr>
      </w:pPr>
    </w:p>
    <w:p w14:paraId="40FAA348" w14:textId="6A56CCC2" w:rsidR="00AD7044" w:rsidRPr="006D5DC2" w:rsidRDefault="00AD7044" w:rsidP="00472B02">
      <w:pPr>
        <w:pStyle w:val="NoSpacing"/>
        <w:rPr>
          <w:sz w:val="6"/>
          <w:szCs w:val="6"/>
        </w:rPr>
      </w:pPr>
    </w:p>
    <w:tbl>
      <w:tblPr>
        <w:tblStyle w:val="ListTable3-Accent3"/>
        <w:tblW w:w="10269" w:type="dxa"/>
        <w:tblLook w:val="04A0" w:firstRow="1" w:lastRow="0" w:firstColumn="1" w:lastColumn="0" w:noHBand="0" w:noVBand="1"/>
      </w:tblPr>
      <w:tblGrid>
        <w:gridCol w:w="1792"/>
        <w:gridCol w:w="2163"/>
        <w:gridCol w:w="954"/>
        <w:gridCol w:w="971"/>
        <w:gridCol w:w="2074"/>
        <w:gridCol w:w="1121"/>
        <w:gridCol w:w="1194"/>
      </w:tblGrid>
      <w:tr w:rsidR="00B672D0" w:rsidRPr="00124CB7" w14:paraId="5D073D77" w14:textId="77777777" w:rsidTr="00D379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2" w:type="dxa"/>
            <w:shd w:val="clear" w:color="auto" w:fill="800000"/>
          </w:tcPr>
          <w:p w14:paraId="0624EE87" w14:textId="452C2900" w:rsidR="00B672D0" w:rsidRPr="00124CB7" w:rsidRDefault="00B672D0" w:rsidP="00B672D0">
            <w:pPr>
              <w:pStyle w:val="NoSpacing"/>
            </w:pPr>
            <w:r>
              <w:t>Fresh mushrooms</w:t>
            </w:r>
          </w:p>
        </w:tc>
        <w:tc>
          <w:tcPr>
            <w:tcW w:w="2163" w:type="dxa"/>
            <w:shd w:val="clear" w:color="auto" w:fill="800000"/>
          </w:tcPr>
          <w:p w14:paraId="51DF6E55" w14:textId="1F4A3C2F"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4 weeks ending </w:t>
            </w:r>
            <w:r w:rsidR="009E592D">
              <w:t>5/18</w:t>
            </w:r>
            <w:r w:rsidR="000F7C27">
              <w:t>/2025</w:t>
            </w:r>
          </w:p>
        </w:tc>
        <w:tc>
          <w:tcPr>
            <w:tcW w:w="954" w:type="dxa"/>
            <w:shd w:val="clear" w:color="auto" w:fill="800000"/>
          </w:tcPr>
          <w:p w14:paraId="0398A30D" w14:textId="4921FDAA"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YA</w:t>
            </w:r>
          </w:p>
        </w:tc>
        <w:tc>
          <w:tcPr>
            <w:tcW w:w="971" w:type="dxa"/>
            <w:shd w:val="clear" w:color="auto" w:fill="800000"/>
          </w:tcPr>
          <w:p w14:paraId="11B3D9FB" w14:textId="380D4956"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3YA</w:t>
            </w:r>
          </w:p>
        </w:tc>
        <w:tc>
          <w:tcPr>
            <w:tcW w:w="2074" w:type="dxa"/>
            <w:shd w:val="clear" w:color="auto" w:fill="800000"/>
          </w:tcPr>
          <w:p w14:paraId="3BBE24C3" w14:textId="06D729B4"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t>
            </w:r>
            <w:proofErr w:type="spellStart"/>
            <w:r>
              <w:t>w.e</w:t>
            </w:r>
            <w:proofErr w:type="spellEnd"/>
            <w:r>
              <w:t xml:space="preserve">. </w:t>
            </w:r>
            <w:r w:rsidR="009E592D">
              <w:t>5/18</w:t>
            </w:r>
            <w:r w:rsidR="000F7C27">
              <w:t>/2025</w:t>
            </w:r>
          </w:p>
        </w:tc>
        <w:tc>
          <w:tcPr>
            <w:tcW w:w="1121" w:type="dxa"/>
            <w:shd w:val="clear" w:color="auto" w:fill="800000"/>
          </w:tcPr>
          <w:p w14:paraId="0895179F" w14:textId="7698D04F"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YA</w:t>
            </w:r>
          </w:p>
        </w:tc>
        <w:tc>
          <w:tcPr>
            <w:tcW w:w="1194" w:type="dxa"/>
            <w:shd w:val="clear" w:color="auto" w:fill="800000"/>
          </w:tcPr>
          <w:p w14:paraId="5AB7ECE0" w14:textId="6F271372" w:rsidR="00B672D0" w:rsidRPr="00124CB7" w:rsidRDefault="00B672D0" w:rsidP="00FA3219">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3YA</w:t>
            </w:r>
          </w:p>
        </w:tc>
      </w:tr>
      <w:tr w:rsidR="00481440" w14:paraId="22401D5B" w14:textId="77777777" w:rsidTr="006441B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2" w:type="dxa"/>
          </w:tcPr>
          <w:p w14:paraId="79CDF43D" w14:textId="166854D6" w:rsidR="00481440" w:rsidRPr="006C1B19" w:rsidRDefault="00481440" w:rsidP="00481440">
            <w:pPr>
              <w:pStyle w:val="NoSpacing"/>
              <w:rPr>
                <w:rFonts w:cstheme="minorHAnsi"/>
                <w:b w:val="0"/>
                <w:bCs w:val="0"/>
              </w:rPr>
            </w:pPr>
            <w:r w:rsidRPr="006C1B19">
              <w:rPr>
                <w:rFonts w:cstheme="minorHAnsi"/>
                <w:b w:val="0"/>
                <w:bCs w:val="0"/>
              </w:rPr>
              <w:t>Dollars</w:t>
            </w:r>
          </w:p>
        </w:tc>
        <w:tc>
          <w:tcPr>
            <w:tcW w:w="2163" w:type="dxa"/>
            <w:vAlign w:val="center"/>
          </w:tcPr>
          <w:p w14:paraId="6D1FCB95" w14:textId="5CDA1C22" w:rsidR="00481440" w:rsidRPr="006C1B19" w:rsidRDefault="00481440" w:rsidP="00481440">
            <w:pPr>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6F7442">
              <w:rPr>
                <w:rFonts w:cstheme="minorHAnsi"/>
              </w:rPr>
              <w:t>107.9</w:t>
            </w:r>
            <w:r>
              <w:rPr>
                <w:rFonts w:cstheme="minorHAnsi"/>
              </w:rPr>
              <w:t>M</w:t>
            </w:r>
          </w:p>
        </w:tc>
        <w:tc>
          <w:tcPr>
            <w:tcW w:w="954" w:type="dxa"/>
          </w:tcPr>
          <w:p w14:paraId="77D2040B" w14:textId="09B6885A" w:rsidR="00481440" w:rsidRPr="006C1B19" w:rsidRDefault="00481440" w:rsidP="00481440">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4F30DA">
              <w:rPr>
                <w:rFonts w:cstheme="minorHAnsi"/>
              </w:rPr>
              <w:t>-</w:t>
            </w:r>
            <w:r w:rsidR="006F7442">
              <w:rPr>
                <w:rFonts w:cstheme="minorHAnsi"/>
              </w:rPr>
              <w:t>6.6</w:t>
            </w:r>
            <w:r w:rsidRPr="004F30DA">
              <w:rPr>
                <w:rFonts w:cstheme="minorHAnsi"/>
              </w:rPr>
              <w:t>%</w:t>
            </w:r>
          </w:p>
        </w:tc>
        <w:tc>
          <w:tcPr>
            <w:tcW w:w="971" w:type="dxa"/>
          </w:tcPr>
          <w:p w14:paraId="4EF21002" w14:textId="33750A61" w:rsidR="00481440" w:rsidRPr="006C1B19" w:rsidRDefault="00481440" w:rsidP="006F744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4F30DA">
              <w:rPr>
                <w:rFonts w:cstheme="minorHAnsi"/>
              </w:rPr>
              <w:t>-</w:t>
            </w:r>
            <w:r w:rsidR="006F7442">
              <w:rPr>
                <w:rFonts w:cstheme="minorHAnsi"/>
              </w:rPr>
              <w:t>8</w:t>
            </w:r>
            <w:r w:rsidR="008A2C63">
              <w:rPr>
                <w:rFonts w:cstheme="minorHAnsi"/>
              </w:rPr>
              <w:t>.7</w:t>
            </w:r>
            <w:r w:rsidRPr="004F30DA">
              <w:rPr>
                <w:rFonts w:cstheme="minorHAnsi"/>
              </w:rPr>
              <w:t>%</w:t>
            </w:r>
          </w:p>
        </w:tc>
        <w:tc>
          <w:tcPr>
            <w:tcW w:w="2074" w:type="dxa"/>
            <w:vAlign w:val="center"/>
          </w:tcPr>
          <w:p w14:paraId="375CF9DD" w14:textId="131F21CF" w:rsidR="00481440" w:rsidRPr="006C1B19" w:rsidRDefault="00481440" w:rsidP="00481440">
            <w:pPr>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8A2C63">
              <w:rPr>
                <w:rFonts w:cstheme="minorHAnsi"/>
              </w:rPr>
              <w:t>1.5</w:t>
            </w:r>
            <w:r>
              <w:rPr>
                <w:rFonts w:cstheme="minorHAnsi"/>
              </w:rPr>
              <w:t>B</w:t>
            </w:r>
          </w:p>
        </w:tc>
        <w:tc>
          <w:tcPr>
            <w:tcW w:w="1121" w:type="dxa"/>
          </w:tcPr>
          <w:p w14:paraId="04EA64A9" w14:textId="457F6F34" w:rsidR="00481440" w:rsidRPr="006C1B19" w:rsidRDefault="00481440" w:rsidP="00481440">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CE6566">
              <w:rPr>
                <w:rFonts w:cstheme="minorHAnsi"/>
              </w:rPr>
              <w:t>-</w:t>
            </w:r>
            <w:r w:rsidR="006F7442">
              <w:rPr>
                <w:rFonts w:cstheme="minorHAnsi"/>
              </w:rPr>
              <w:t>3.1</w:t>
            </w:r>
            <w:r w:rsidRPr="00CE6566">
              <w:rPr>
                <w:rFonts w:cstheme="minorHAnsi"/>
              </w:rPr>
              <w:t>%</w:t>
            </w:r>
          </w:p>
        </w:tc>
        <w:tc>
          <w:tcPr>
            <w:tcW w:w="1194" w:type="dxa"/>
          </w:tcPr>
          <w:p w14:paraId="2F2464E9" w14:textId="1131FA35" w:rsidR="00481440" w:rsidRPr="006C1B19" w:rsidRDefault="006F7442" w:rsidP="00481440">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-5.0</w:t>
            </w:r>
            <w:r w:rsidR="00481440" w:rsidRPr="00CE6566">
              <w:rPr>
                <w:rFonts w:cstheme="minorHAnsi"/>
              </w:rPr>
              <w:t>%</w:t>
            </w:r>
          </w:p>
        </w:tc>
      </w:tr>
      <w:tr w:rsidR="00481440" w14:paraId="31FB8D29" w14:textId="77777777" w:rsidTr="006441B7">
        <w:tc>
          <w:tcPr>
            <w:cnfStyle w:val="001000000000" w:firstRow="0" w:lastRow="0" w:firstColumn="1" w:lastColumn="0" w:oddVBand="0" w:evenVBand="0" w:oddHBand="0" w:evenHBand="0" w:firstRowFirstColumn="0" w:firstRowLastColumn="0" w:lastRowFirstColumn="0" w:lastRowLastColumn="0"/>
            <w:tcW w:w="1792" w:type="dxa"/>
          </w:tcPr>
          <w:p w14:paraId="10B2F651" w14:textId="48542DFC" w:rsidR="00481440" w:rsidRPr="006C1B19" w:rsidRDefault="00481440" w:rsidP="00481440">
            <w:pPr>
              <w:pStyle w:val="NoSpacing"/>
              <w:rPr>
                <w:rFonts w:cstheme="minorHAnsi"/>
                <w:b w:val="0"/>
                <w:bCs w:val="0"/>
              </w:rPr>
            </w:pPr>
            <w:r w:rsidRPr="006C1B19">
              <w:rPr>
                <w:rFonts w:cstheme="minorHAnsi"/>
                <w:b w:val="0"/>
                <w:bCs w:val="0"/>
              </w:rPr>
              <w:t>Units</w:t>
            </w:r>
          </w:p>
        </w:tc>
        <w:tc>
          <w:tcPr>
            <w:tcW w:w="2163" w:type="dxa"/>
            <w:vAlign w:val="center"/>
          </w:tcPr>
          <w:p w14:paraId="3CA03520" w14:textId="129B5E32" w:rsidR="00481440" w:rsidRPr="006C1B19" w:rsidRDefault="006F7442" w:rsidP="00481440">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36.2</w:t>
            </w:r>
            <w:r w:rsidR="00481440">
              <w:rPr>
                <w:rFonts w:cstheme="minorHAnsi"/>
              </w:rPr>
              <w:t>M</w:t>
            </w:r>
          </w:p>
        </w:tc>
        <w:tc>
          <w:tcPr>
            <w:tcW w:w="954" w:type="dxa"/>
          </w:tcPr>
          <w:p w14:paraId="6922F333" w14:textId="43649FFC" w:rsidR="00481440" w:rsidRPr="006C1B19" w:rsidRDefault="00481440" w:rsidP="006F7442">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4F30DA">
              <w:rPr>
                <w:rFonts w:cstheme="minorHAnsi"/>
              </w:rPr>
              <w:t>-</w:t>
            </w:r>
            <w:r w:rsidR="006F7442">
              <w:rPr>
                <w:rFonts w:cstheme="minorHAnsi"/>
              </w:rPr>
              <w:t>5.7</w:t>
            </w:r>
            <w:r w:rsidRPr="004F30DA">
              <w:rPr>
                <w:rFonts w:cstheme="minorHAnsi"/>
              </w:rPr>
              <w:t>%</w:t>
            </w:r>
          </w:p>
        </w:tc>
        <w:tc>
          <w:tcPr>
            <w:tcW w:w="971" w:type="dxa"/>
          </w:tcPr>
          <w:p w14:paraId="7CD8DEEA" w14:textId="2B98D5F2" w:rsidR="00481440" w:rsidRPr="006C1B19" w:rsidRDefault="00481440" w:rsidP="00481440">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4F30DA">
              <w:rPr>
                <w:rFonts w:cstheme="minorHAnsi"/>
              </w:rPr>
              <w:t>-</w:t>
            </w:r>
            <w:r w:rsidR="006F7442">
              <w:rPr>
                <w:rFonts w:cstheme="minorHAnsi"/>
              </w:rPr>
              <w:t>11.5</w:t>
            </w:r>
            <w:r w:rsidRPr="004F30DA">
              <w:rPr>
                <w:rFonts w:cstheme="minorHAnsi"/>
              </w:rPr>
              <w:t>%</w:t>
            </w:r>
          </w:p>
        </w:tc>
        <w:tc>
          <w:tcPr>
            <w:tcW w:w="2074" w:type="dxa"/>
            <w:vAlign w:val="center"/>
          </w:tcPr>
          <w:p w14:paraId="26ECACB9" w14:textId="4C263224" w:rsidR="00481440" w:rsidRPr="006C1B19" w:rsidRDefault="006F7442" w:rsidP="00481440">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493.0</w:t>
            </w:r>
            <w:r w:rsidR="00481440">
              <w:rPr>
                <w:rFonts w:cstheme="minorHAnsi"/>
              </w:rPr>
              <w:t>M</w:t>
            </w:r>
          </w:p>
        </w:tc>
        <w:tc>
          <w:tcPr>
            <w:tcW w:w="1121" w:type="dxa"/>
          </w:tcPr>
          <w:p w14:paraId="60AAF678" w14:textId="1C0AC059" w:rsidR="00481440" w:rsidRPr="006C1B19" w:rsidRDefault="00481440" w:rsidP="00481440">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CE6566">
              <w:rPr>
                <w:rFonts w:cstheme="minorHAnsi"/>
              </w:rPr>
              <w:t>-</w:t>
            </w:r>
            <w:r w:rsidR="006F7442">
              <w:rPr>
                <w:rFonts w:cstheme="minorHAnsi"/>
              </w:rPr>
              <w:t>3.1</w:t>
            </w:r>
            <w:r w:rsidRPr="00CE6566">
              <w:rPr>
                <w:rFonts w:cstheme="minorHAnsi"/>
              </w:rPr>
              <w:t>%</w:t>
            </w:r>
          </w:p>
        </w:tc>
        <w:tc>
          <w:tcPr>
            <w:tcW w:w="1194" w:type="dxa"/>
          </w:tcPr>
          <w:p w14:paraId="19BE3B74" w14:textId="1E447AF7" w:rsidR="00481440" w:rsidRPr="006C1B19" w:rsidRDefault="00481440" w:rsidP="00481440">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CE6566">
              <w:rPr>
                <w:rFonts w:cstheme="minorHAnsi"/>
              </w:rPr>
              <w:t>-</w:t>
            </w:r>
            <w:r w:rsidR="006F7442">
              <w:rPr>
                <w:rFonts w:cstheme="minorHAnsi"/>
              </w:rPr>
              <w:t>10.7</w:t>
            </w:r>
            <w:r w:rsidRPr="00CE6566">
              <w:rPr>
                <w:rFonts w:cstheme="minorHAnsi"/>
              </w:rPr>
              <w:t>%</w:t>
            </w:r>
          </w:p>
        </w:tc>
      </w:tr>
      <w:tr w:rsidR="00481440" w14:paraId="2EB720F3" w14:textId="77777777" w:rsidTr="00644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Pr>
          <w:p w14:paraId="1A632454" w14:textId="04CEBBF8" w:rsidR="00481440" w:rsidRPr="006C1B19" w:rsidRDefault="00481440" w:rsidP="00481440">
            <w:pPr>
              <w:pStyle w:val="NoSpacing"/>
              <w:rPr>
                <w:rFonts w:cstheme="minorHAnsi"/>
                <w:b w:val="0"/>
                <w:bCs w:val="0"/>
              </w:rPr>
            </w:pPr>
            <w:r w:rsidRPr="006C1B19">
              <w:rPr>
                <w:rFonts w:cstheme="minorHAnsi"/>
                <w:b w:val="0"/>
                <w:bCs w:val="0"/>
              </w:rPr>
              <w:t>Volume (pounds)</w:t>
            </w:r>
          </w:p>
        </w:tc>
        <w:tc>
          <w:tcPr>
            <w:tcW w:w="2163" w:type="dxa"/>
            <w:vAlign w:val="center"/>
          </w:tcPr>
          <w:p w14:paraId="68757A76" w14:textId="4F31D2E8" w:rsidR="00481440" w:rsidRPr="006C1B19" w:rsidRDefault="006F7442" w:rsidP="00481440">
            <w:pPr>
              <w:pStyle w:val="NoSpacing"/>
              <w:tabs>
                <w:tab w:val="center" w:pos="747"/>
                <w:tab w:val="right" w:pos="1494"/>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24.1</w:t>
            </w:r>
            <w:r w:rsidR="00481440">
              <w:rPr>
                <w:rFonts w:cstheme="minorHAnsi"/>
              </w:rPr>
              <w:t>M</w:t>
            </w:r>
          </w:p>
        </w:tc>
        <w:tc>
          <w:tcPr>
            <w:tcW w:w="954" w:type="dxa"/>
          </w:tcPr>
          <w:p w14:paraId="7DE7F9CC" w14:textId="08082631" w:rsidR="00481440" w:rsidRPr="006C1B19" w:rsidRDefault="00481440" w:rsidP="00481440">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4F30DA">
              <w:rPr>
                <w:rFonts w:cstheme="minorHAnsi"/>
              </w:rPr>
              <w:t>-</w:t>
            </w:r>
            <w:r w:rsidR="006F7442">
              <w:rPr>
                <w:rFonts w:cstheme="minorHAnsi"/>
              </w:rPr>
              <w:t>5.6</w:t>
            </w:r>
            <w:r w:rsidRPr="004F30DA">
              <w:rPr>
                <w:rFonts w:cstheme="minorHAnsi"/>
              </w:rPr>
              <w:t>%</w:t>
            </w:r>
          </w:p>
        </w:tc>
        <w:tc>
          <w:tcPr>
            <w:tcW w:w="971" w:type="dxa"/>
          </w:tcPr>
          <w:p w14:paraId="47670DC1" w14:textId="694E827B" w:rsidR="00481440" w:rsidRPr="006C1B19" w:rsidRDefault="00481440" w:rsidP="006F7442">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4F30DA">
              <w:rPr>
                <w:rFonts w:cstheme="minorHAnsi"/>
              </w:rPr>
              <w:t>-</w:t>
            </w:r>
            <w:r w:rsidR="006F7442">
              <w:rPr>
                <w:rFonts w:cstheme="minorHAnsi"/>
              </w:rPr>
              <w:t>10.5%</w:t>
            </w:r>
          </w:p>
        </w:tc>
        <w:tc>
          <w:tcPr>
            <w:tcW w:w="2074" w:type="dxa"/>
            <w:vAlign w:val="center"/>
          </w:tcPr>
          <w:p w14:paraId="57878EB0" w14:textId="42ECAF11" w:rsidR="00481440" w:rsidRPr="006C1B19" w:rsidRDefault="008A2C63" w:rsidP="00481440">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r w:rsidR="006F7442">
              <w:rPr>
                <w:rFonts w:cstheme="minorHAnsi"/>
              </w:rPr>
              <w:t>29.</w:t>
            </w:r>
            <w:r w:rsidR="00114E6C">
              <w:rPr>
                <w:rFonts w:cstheme="minorHAnsi"/>
              </w:rPr>
              <w:t>3</w:t>
            </w:r>
            <w:r w:rsidR="00481440">
              <w:rPr>
                <w:rFonts w:cstheme="minorHAnsi"/>
              </w:rPr>
              <w:t>M</w:t>
            </w:r>
          </w:p>
        </w:tc>
        <w:tc>
          <w:tcPr>
            <w:tcW w:w="1121" w:type="dxa"/>
          </w:tcPr>
          <w:p w14:paraId="0679CD28" w14:textId="1AF35D82" w:rsidR="00481440" w:rsidRPr="006C1B19" w:rsidRDefault="00481440" w:rsidP="00481440">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CE6566">
              <w:rPr>
                <w:rFonts w:cstheme="minorHAnsi"/>
              </w:rPr>
              <w:t>-</w:t>
            </w:r>
            <w:r w:rsidR="00114E6C">
              <w:rPr>
                <w:rFonts w:cstheme="minorHAnsi"/>
              </w:rPr>
              <w:t>2.7</w:t>
            </w:r>
            <w:r w:rsidRPr="00CE6566">
              <w:rPr>
                <w:rFonts w:cstheme="minorHAnsi"/>
              </w:rPr>
              <w:t>%</w:t>
            </w:r>
          </w:p>
        </w:tc>
        <w:tc>
          <w:tcPr>
            <w:tcW w:w="1194" w:type="dxa"/>
          </w:tcPr>
          <w:p w14:paraId="09C03B7F" w14:textId="7D12E2A9" w:rsidR="00481440" w:rsidRPr="006C1B19" w:rsidRDefault="00481440" w:rsidP="00481440">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CE6566">
              <w:rPr>
                <w:rFonts w:cstheme="minorHAnsi"/>
              </w:rPr>
              <w:t>-</w:t>
            </w:r>
            <w:r w:rsidR="00114E6C">
              <w:rPr>
                <w:rFonts w:cstheme="minorHAnsi"/>
              </w:rPr>
              <w:t>10.0</w:t>
            </w:r>
            <w:r w:rsidRPr="00CE6566">
              <w:rPr>
                <w:rFonts w:cstheme="minorHAnsi"/>
              </w:rPr>
              <w:t>%</w:t>
            </w:r>
          </w:p>
        </w:tc>
      </w:tr>
    </w:tbl>
    <w:p w14:paraId="5B1F1AF6" w14:textId="2BF4BC14" w:rsidR="0092088E"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Pr="00555250">
        <w:rPr>
          <w:color w:val="7F7F7F" w:themeColor="text1" w:themeTint="80"/>
          <w:sz w:val="16"/>
          <w:szCs w:val="16"/>
        </w:rPr>
        <w:t xml:space="preserve">, Integrated Fresh, </w:t>
      </w:r>
      <w:r w:rsidR="00FA0530">
        <w:rPr>
          <w:color w:val="7F7F7F" w:themeColor="text1" w:themeTint="80"/>
          <w:sz w:val="16"/>
          <w:szCs w:val="16"/>
        </w:rPr>
        <w:t>MULO+</w:t>
      </w:r>
      <w:r w:rsidRPr="00555250">
        <w:rPr>
          <w:color w:val="7F7F7F" w:themeColor="text1" w:themeTint="80"/>
          <w:sz w:val="16"/>
          <w:szCs w:val="16"/>
        </w:rPr>
        <w:t xml:space="preserve">, </w:t>
      </w:r>
      <w:r w:rsidR="00977F7F">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9E592D">
        <w:rPr>
          <w:color w:val="7F7F7F" w:themeColor="text1" w:themeTint="80"/>
          <w:sz w:val="16"/>
          <w:szCs w:val="16"/>
        </w:rPr>
        <w:t>5/18</w:t>
      </w:r>
      <w:r w:rsidR="000F7C27">
        <w:rPr>
          <w:color w:val="7F7F7F" w:themeColor="text1" w:themeTint="80"/>
          <w:sz w:val="16"/>
          <w:szCs w:val="16"/>
        </w:rPr>
        <w:t>/2025</w:t>
      </w:r>
    </w:p>
    <w:p w14:paraId="709034BA" w14:textId="5EFCC803" w:rsidR="0022081A" w:rsidRPr="005A72D5" w:rsidRDefault="00A50E59" w:rsidP="00A50E59">
      <w:pPr>
        <w:pStyle w:val="NoSpacing"/>
        <w:tabs>
          <w:tab w:val="left" w:pos="8982"/>
        </w:tabs>
        <w:rPr>
          <w:sz w:val="20"/>
          <w:szCs w:val="20"/>
        </w:rPr>
      </w:pPr>
      <w:r>
        <w:rPr>
          <w:sz w:val="20"/>
          <w:szCs w:val="20"/>
        </w:rPr>
        <w:tab/>
      </w:r>
    </w:p>
    <w:p w14:paraId="01DB995D" w14:textId="5AA054CA" w:rsidR="0022081A" w:rsidRPr="00CC4137" w:rsidRDefault="0022081A" w:rsidP="0022081A">
      <w:pPr>
        <w:pStyle w:val="Heading2"/>
        <w:rPr>
          <w:b/>
          <w:bCs/>
          <w:color w:val="800000"/>
        </w:rPr>
      </w:pPr>
      <w:r w:rsidRPr="00CC4137">
        <w:rPr>
          <w:b/>
          <w:bCs/>
          <w:color w:val="800000"/>
        </w:rPr>
        <w:t>Performance by Type</w:t>
      </w:r>
    </w:p>
    <w:p w14:paraId="1EA6211B" w14:textId="4C6169FE" w:rsidR="00CC4137" w:rsidRDefault="00E25C6B" w:rsidP="001B68E6">
      <w:pPr>
        <w:pStyle w:val="NoSpacing"/>
      </w:pPr>
      <w:r>
        <w:t>In the MULO+ universe, white</w:t>
      </w:r>
      <w:r w:rsidR="00810052">
        <w:t xml:space="preserve"> mushrooms represented </w:t>
      </w:r>
      <w:r w:rsidR="006F7442">
        <w:t>49.3</w:t>
      </w:r>
      <w:r w:rsidR="00E25816">
        <w:t>% of total mushroom dollars</w:t>
      </w:r>
      <w:r w:rsidR="00E1403D">
        <w:t xml:space="preserve"> and </w:t>
      </w:r>
      <w:r w:rsidR="006F7442">
        <w:t>55.7</w:t>
      </w:r>
      <w:r w:rsidR="00983B89">
        <w:t>% of total mushroom volume sales</w:t>
      </w:r>
      <w:r w:rsidR="005A72D5">
        <w:t xml:space="preserve">. </w:t>
      </w:r>
      <w:r w:rsidR="00983B89">
        <w:t xml:space="preserve">All varieties experienced year-on-year dollar and volume declines, with </w:t>
      </w:r>
      <w:proofErr w:type="spellStart"/>
      <w:r w:rsidR="003E2D02">
        <w:t>crimini</w:t>
      </w:r>
      <w:proofErr w:type="spellEnd"/>
      <w:r w:rsidR="003E2D02">
        <w:t xml:space="preserve"> </w:t>
      </w:r>
      <w:r w:rsidR="00983B89">
        <w:t xml:space="preserve">mushrooms coming closest to year-ago levels. </w:t>
      </w:r>
      <w:r w:rsidR="00DA7A8D">
        <w:t>Specialty mus</w:t>
      </w:r>
      <w:r w:rsidR="009E592D">
        <w:t xml:space="preserve">hrooms sales have climbed to </w:t>
      </w:r>
      <w:r w:rsidR="00A05D7D">
        <w:t>6.5</w:t>
      </w:r>
      <w:r w:rsidR="00DA7A8D">
        <w:t xml:space="preserve">% of total fresh mushroom dollar sales in recent years, however, sales have been declining in the past few months. </w:t>
      </w:r>
      <w:r w:rsidR="005A72D5">
        <w:t xml:space="preserve"> </w:t>
      </w:r>
      <w:r w:rsidR="00E25816">
        <w:t xml:space="preserve"> </w:t>
      </w:r>
    </w:p>
    <w:p w14:paraId="18F23348" w14:textId="77777777" w:rsidR="00CC4137" w:rsidRPr="00DA7A8D" w:rsidRDefault="00CC4137" w:rsidP="001B68E6">
      <w:pPr>
        <w:pStyle w:val="NoSpacing"/>
        <w:rPr>
          <w:sz w:val="18"/>
          <w:szCs w:val="18"/>
        </w:rPr>
      </w:pPr>
    </w:p>
    <w:tbl>
      <w:tblPr>
        <w:tblStyle w:val="ListTable3-Accent3"/>
        <w:tblW w:w="10349" w:type="dxa"/>
        <w:tblLayout w:type="fixed"/>
        <w:tblLook w:val="0400" w:firstRow="0" w:lastRow="0" w:firstColumn="0" w:lastColumn="0" w:noHBand="0" w:noVBand="1"/>
      </w:tblPr>
      <w:tblGrid>
        <w:gridCol w:w="2448"/>
        <w:gridCol w:w="1168"/>
        <w:gridCol w:w="882"/>
        <w:gridCol w:w="991"/>
        <w:gridCol w:w="972"/>
        <w:gridCol w:w="1152"/>
        <w:gridCol w:w="864"/>
        <w:gridCol w:w="1008"/>
        <w:gridCol w:w="864"/>
      </w:tblGrid>
      <w:tr w:rsidR="00E25C6B" w:rsidRPr="00B25DFD" w14:paraId="06A52115" w14:textId="77777777" w:rsidTr="00D0131F">
        <w:trPr>
          <w:cnfStyle w:val="000000100000" w:firstRow="0" w:lastRow="0" w:firstColumn="0" w:lastColumn="0" w:oddVBand="0" w:evenVBand="0" w:oddHBand="1" w:evenHBand="0" w:firstRowFirstColumn="0" w:firstRowLastColumn="0" w:lastRowFirstColumn="0" w:lastRowLastColumn="0"/>
          <w:trHeight w:val="20"/>
        </w:trPr>
        <w:tc>
          <w:tcPr>
            <w:tcW w:w="2448" w:type="dxa"/>
            <w:shd w:val="clear" w:color="auto" w:fill="800000"/>
            <w:hideMark/>
          </w:tcPr>
          <w:p w14:paraId="60C8BF6E" w14:textId="3FD4104B" w:rsidR="00E25C6B" w:rsidRPr="00510C02" w:rsidRDefault="00E25C6B" w:rsidP="009718A1">
            <w:pPr>
              <w:pStyle w:val="NoSpacing"/>
              <w:rPr>
                <w:rFonts w:cstheme="minorHAnsi"/>
                <w:b/>
                <w:bCs/>
                <w:color w:val="FFFFFF" w:themeColor="background1"/>
              </w:rPr>
            </w:pPr>
            <w:bookmarkStart w:id="1" w:name="_Hlk97115006"/>
            <w:r w:rsidRPr="00510C02">
              <w:rPr>
                <w:rFonts w:cstheme="minorHAnsi"/>
                <w:b/>
                <w:bCs/>
                <w:color w:val="FFFFFF" w:themeColor="background1"/>
              </w:rPr>
              <w:t xml:space="preserve">4 weeks ending </w:t>
            </w:r>
            <w:r w:rsidR="009E592D">
              <w:rPr>
                <w:rFonts w:cstheme="minorHAnsi"/>
                <w:b/>
                <w:bCs/>
                <w:color w:val="FFFFFF" w:themeColor="background1"/>
              </w:rPr>
              <w:t>5/18</w:t>
            </w:r>
            <w:r w:rsidR="000F7C27">
              <w:rPr>
                <w:rFonts w:cstheme="minorHAnsi"/>
                <w:b/>
                <w:bCs/>
                <w:color w:val="FFFFFF" w:themeColor="background1"/>
              </w:rPr>
              <w:t>/2025</w:t>
            </w:r>
          </w:p>
        </w:tc>
        <w:tc>
          <w:tcPr>
            <w:tcW w:w="1168" w:type="dxa"/>
            <w:shd w:val="clear" w:color="auto" w:fill="800000"/>
            <w:hideMark/>
          </w:tcPr>
          <w:p w14:paraId="1064D99F"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Dollars</w:t>
            </w:r>
          </w:p>
        </w:tc>
        <w:tc>
          <w:tcPr>
            <w:tcW w:w="882" w:type="dxa"/>
            <w:shd w:val="clear" w:color="auto" w:fill="800000"/>
          </w:tcPr>
          <w:p w14:paraId="07FD6981"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Dollar share</w:t>
            </w:r>
          </w:p>
        </w:tc>
        <w:tc>
          <w:tcPr>
            <w:tcW w:w="991" w:type="dxa"/>
            <w:shd w:val="clear" w:color="auto" w:fill="800000"/>
            <w:hideMark/>
          </w:tcPr>
          <w:p w14:paraId="1FC52AF2"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 sales vs. YA</w:t>
            </w:r>
          </w:p>
        </w:tc>
        <w:tc>
          <w:tcPr>
            <w:tcW w:w="972" w:type="dxa"/>
            <w:tcBorders>
              <w:right w:val="single" w:sz="4" w:space="0" w:color="auto"/>
            </w:tcBorders>
            <w:shd w:val="clear" w:color="auto" w:fill="800000"/>
            <w:hideMark/>
          </w:tcPr>
          <w:p w14:paraId="6A0D386A"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 sales vs. 3YA</w:t>
            </w:r>
          </w:p>
        </w:tc>
        <w:tc>
          <w:tcPr>
            <w:tcW w:w="1152" w:type="dxa"/>
            <w:tcBorders>
              <w:left w:val="single" w:sz="4" w:space="0" w:color="auto"/>
            </w:tcBorders>
            <w:shd w:val="clear" w:color="auto" w:fill="800000"/>
          </w:tcPr>
          <w:p w14:paraId="183A24AF" w14:textId="77777777" w:rsidR="00E25C6B" w:rsidRPr="00510C02" w:rsidRDefault="00E25C6B" w:rsidP="005A72D5">
            <w:pPr>
              <w:pStyle w:val="NoSpacing"/>
              <w:jc w:val="right"/>
              <w:rPr>
                <w:rFonts w:cstheme="minorHAnsi"/>
                <w:b/>
                <w:bCs/>
                <w:color w:val="FFFFFF" w:themeColor="background1"/>
              </w:rPr>
            </w:pPr>
            <w:r w:rsidRPr="00510C02">
              <w:rPr>
                <w:rFonts w:cstheme="minorHAnsi"/>
                <w:b/>
                <w:bCs/>
                <w:color w:val="FFFFFF" w:themeColor="background1"/>
              </w:rPr>
              <w:t>Volume (</w:t>
            </w:r>
            <w:proofErr w:type="spellStart"/>
            <w:r w:rsidRPr="00510C02">
              <w:rPr>
                <w:rFonts w:cstheme="minorHAnsi"/>
                <w:b/>
                <w:bCs/>
                <w:color w:val="FFFFFF" w:themeColor="background1"/>
              </w:rPr>
              <w:t>lbs</w:t>
            </w:r>
            <w:proofErr w:type="spellEnd"/>
            <w:r w:rsidRPr="00510C02">
              <w:rPr>
                <w:rFonts w:cstheme="minorHAnsi"/>
                <w:b/>
                <w:bCs/>
                <w:color w:val="FFFFFF" w:themeColor="background1"/>
              </w:rPr>
              <w:t>)</w:t>
            </w:r>
          </w:p>
        </w:tc>
        <w:tc>
          <w:tcPr>
            <w:tcW w:w="864" w:type="dxa"/>
            <w:shd w:val="clear" w:color="auto" w:fill="800000"/>
          </w:tcPr>
          <w:p w14:paraId="099E0FD1" w14:textId="77777777" w:rsidR="00E25C6B" w:rsidRPr="00510C02" w:rsidRDefault="00E25C6B" w:rsidP="009718A1">
            <w:pPr>
              <w:pStyle w:val="NoSpacing"/>
              <w:jc w:val="right"/>
              <w:rPr>
                <w:rFonts w:cstheme="minorHAnsi"/>
                <w:b/>
                <w:bCs/>
                <w:color w:val="FFFFFF" w:themeColor="background1"/>
              </w:rPr>
            </w:pPr>
            <w:proofErr w:type="spellStart"/>
            <w:r w:rsidRPr="00510C02">
              <w:rPr>
                <w:rFonts w:cstheme="minorHAnsi"/>
                <w:b/>
                <w:bCs/>
                <w:color w:val="FFFFFF" w:themeColor="background1"/>
              </w:rPr>
              <w:t>Lbs</w:t>
            </w:r>
            <w:proofErr w:type="spellEnd"/>
          </w:p>
          <w:p w14:paraId="0FD167EC" w14:textId="77777777" w:rsidR="00E25C6B" w:rsidRPr="00510C02" w:rsidRDefault="00E25C6B" w:rsidP="009718A1">
            <w:pPr>
              <w:pStyle w:val="NoSpacing"/>
              <w:jc w:val="right"/>
              <w:rPr>
                <w:rFonts w:cstheme="minorHAnsi"/>
                <w:b/>
                <w:bCs/>
                <w:color w:val="FFFFFF" w:themeColor="background1"/>
              </w:rPr>
            </w:pPr>
            <w:r w:rsidRPr="00510C02">
              <w:rPr>
                <w:rFonts w:cstheme="minorHAnsi"/>
                <w:b/>
                <w:bCs/>
                <w:color w:val="FFFFFF" w:themeColor="background1"/>
              </w:rPr>
              <w:t>share</w:t>
            </w:r>
          </w:p>
        </w:tc>
        <w:tc>
          <w:tcPr>
            <w:tcW w:w="1008" w:type="dxa"/>
            <w:shd w:val="clear" w:color="auto" w:fill="800000"/>
          </w:tcPr>
          <w:p w14:paraId="6F8C758A" w14:textId="77777777" w:rsidR="00E25C6B" w:rsidRPr="00510C02" w:rsidRDefault="00E25C6B" w:rsidP="009718A1">
            <w:pPr>
              <w:pStyle w:val="NoSpacing"/>
              <w:jc w:val="right"/>
              <w:rPr>
                <w:rFonts w:cstheme="minorHAnsi"/>
                <w:b/>
                <w:bCs/>
                <w:color w:val="FFFFFF" w:themeColor="background1"/>
              </w:rPr>
            </w:pPr>
            <w:proofErr w:type="spellStart"/>
            <w:r w:rsidRPr="00510C02">
              <w:rPr>
                <w:rFonts w:cstheme="minorHAnsi"/>
                <w:b/>
                <w:bCs/>
                <w:color w:val="FFFFFF" w:themeColor="background1"/>
              </w:rPr>
              <w:t>Lbs</w:t>
            </w:r>
            <w:proofErr w:type="spellEnd"/>
            <w:r w:rsidRPr="00510C02">
              <w:rPr>
                <w:rFonts w:cstheme="minorHAnsi"/>
                <w:b/>
                <w:bCs/>
                <w:color w:val="FFFFFF" w:themeColor="background1"/>
              </w:rPr>
              <w:t xml:space="preserve"> </w:t>
            </w:r>
            <w:r w:rsidRPr="00510C02">
              <w:rPr>
                <w:rFonts w:cstheme="minorHAnsi"/>
                <w:b/>
                <w:bCs/>
                <w:color w:val="FFFFFF" w:themeColor="background1"/>
              </w:rPr>
              <w:br/>
              <w:t>vs. YA</w:t>
            </w:r>
          </w:p>
        </w:tc>
        <w:tc>
          <w:tcPr>
            <w:tcW w:w="864" w:type="dxa"/>
            <w:shd w:val="clear" w:color="auto" w:fill="800000"/>
          </w:tcPr>
          <w:p w14:paraId="7A8620CC" w14:textId="77777777" w:rsidR="00E25C6B" w:rsidRPr="00510C02" w:rsidRDefault="00E25C6B" w:rsidP="009718A1">
            <w:pPr>
              <w:pStyle w:val="NoSpacing"/>
              <w:jc w:val="right"/>
              <w:rPr>
                <w:rFonts w:cstheme="minorHAnsi"/>
                <w:b/>
                <w:bCs/>
                <w:color w:val="FFFFFF" w:themeColor="background1"/>
              </w:rPr>
            </w:pPr>
            <w:proofErr w:type="spellStart"/>
            <w:r w:rsidRPr="00510C02">
              <w:rPr>
                <w:rFonts w:cstheme="minorHAnsi"/>
                <w:b/>
                <w:bCs/>
                <w:color w:val="FFFFFF" w:themeColor="background1"/>
              </w:rPr>
              <w:t>Lbs</w:t>
            </w:r>
            <w:proofErr w:type="spellEnd"/>
            <w:r w:rsidRPr="00510C02">
              <w:rPr>
                <w:rFonts w:cstheme="minorHAnsi"/>
                <w:b/>
                <w:bCs/>
                <w:color w:val="FFFFFF" w:themeColor="background1"/>
              </w:rPr>
              <w:t xml:space="preserve"> vs. 3YA</w:t>
            </w:r>
          </w:p>
        </w:tc>
      </w:tr>
      <w:tr w:rsidR="00024188" w:rsidRPr="00B25DFD" w14:paraId="6060B2B6" w14:textId="77777777" w:rsidTr="00491B96">
        <w:trPr>
          <w:trHeight w:val="20"/>
        </w:trPr>
        <w:tc>
          <w:tcPr>
            <w:tcW w:w="2448" w:type="dxa"/>
            <w:vAlign w:val="center"/>
            <w:hideMark/>
          </w:tcPr>
          <w:p w14:paraId="07F2D68F" w14:textId="5D52916A" w:rsidR="00024188" w:rsidRPr="00024188" w:rsidRDefault="00024188" w:rsidP="00024188">
            <w:pPr>
              <w:rPr>
                <w:rFonts w:cstheme="minorHAnsi"/>
                <w:b/>
                <w:bCs/>
                <w:sz w:val="20"/>
                <w:szCs w:val="20"/>
              </w:rPr>
            </w:pPr>
            <w:r w:rsidRPr="00024188">
              <w:rPr>
                <w:rFonts w:ascii="Calibri" w:eastAsia="Calibri" w:hAnsi="Calibri" w:cs="Calibri"/>
                <w:b/>
                <w:bCs/>
                <w:color w:val="000000"/>
                <w:kern w:val="24"/>
                <w:sz w:val="20"/>
                <w:szCs w:val="20"/>
              </w:rPr>
              <w:t>Total fresh mushrooms</w:t>
            </w:r>
          </w:p>
        </w:tc>
        <w:tc>
          <w:tcPr>
            <w:tcW w:w="1168" w:type="dxa"/>
            <w:vAlign w:val="center"/>
            <w:hideMark/>
          </w:tcPr>
          <w:p w14:paraId="0A1DDAB5" w14:textId="07F61B1D" w:rsidR="00024188" w:rsidRPr="00024188" w:rsidRDefault="00E1403D" w:rsidP="00024188">
            <w:pPr>
              <w:pStyle w:val="NoSpacing"/>
              <w:jc w:val="right"/>
              <w:rPr>
                <w:rFonts w:cstheme="minorHAnsi"/>
                <w:b/>
                <w:bCs/>
                <w:sz w:val="20"/>
                <w:szCs w:val="20"/>
              </w:rPr>
            </w:pPr>
            <w:r>
              <w:rPr>
                <w:rFonts w:ascii="Calibri" w:eastAsia="Calibri" w:hAnsi="Calibri" w:cs="Calibri"/>
                <w:b/>
                <w:bCs/>
                <w:color w:val="000000"/>
                <w:kern w:val="24"/>
                <w:sz w:val="20"/>
                <w:szCs w:val="20"/>
              </w:rPr>
              <w:t>$</w:t>
            </w:r>
            <w:r w:rsidR="008B28CB">
              <w:rPr>
                <w:rFonts w:ascii="Calibri" w:eastAsia="Calibri" w:hAnsi="Calibri" w:cs="Calibri"/>
                <w:b/>
                <w:bCs/>
                <w:color w:val="000000"/>
                <w:kern w:val="24"/>
                <w:sz w:val="20"/>
                <w:szCs w:val="20"/>
              </w:rPr>
              <w:t>107.9</w:t>
            </w:r>
            <w:r w:rsidR="00024188" w:rsidRPr="00024188">
              <w:rPr>
                <w:rFonts w:ascii="Calibri" w:eastAsia="Calibri" w:hAnsi="Calibri" w:cs="Calibri"/>
                <w:b/>
                <w:bCs/>
                <w:color w:val="000000"/>
                <w:kern w:val="24"/>
                <w:sz w:val="20"/>
                <w:szCs w:val="20"/>
              </w:rPr>
              <w:t>M</w:t>
            </w:r>
          </w:p>
        </w:tc>
        <w:tc>
          <w:tcPr>
            <w:tcW w:w="882" w:type="dxa"/>
            <w:vAlign w:val="center"/>
          </w:tcPr>
          <w:p w14:paraId="365C126B" w14:textId="2EDC7FCC" w:rsidR="00024188" w:rsidRPr="00024188" w:rsidRDefault="00024188" w:rsidP="00024188">
            <w:pPr>
              <w:pStyle w:val="NoSpacing"/>
              <w:jc w:val="right"/>
              <w:rPr>
                <w:rFonts w:cstheme="minorHAnsi"/>
                <w:b/>
                <w:bCs/>
                <w:color w:val="000000" w:themeColor="text1"/>
                <w:sz w:val="20"/>
                <w:szCs w:val="20"/>
              </w:rPr>
            </w:pPr>
            <w:r w:rsidRPr="00024188">
              <w:rPr>
                <w:rFonts w:ascii="Calibri" w:eastAsia="Calibri" w:hAnsi="Calibri" w:cs="Calibri"/>
                <w:b/>
                <w:bCs/>
                <w:color w:val="000000"/>
                <w:kern w:val="24"/>
                <w:sz w:val="20"/>
                <w:szCs w:val="20"/>
              </w:rPr>
              <w:t>100.0%</w:t>
            </w:r>
          </w:p>
        </w:tc>
        <w:tc>
          <w:tcPr>
            <w:tcW w:w="991" w:type="dxa"/>
            <w:vAlign w:val="center"/>
            <w:hideMark/>
          </w:tcPr>
          <w:p w14:paraId="053B6359" w14:textId="3C8299D5" w:rsidR="00024188" w:rsidRPr="00024188" w:rsidRDefault="00E1403D" w:rsidP="00024188">
            <w:pPr>
              <w:pStyle w:val="NoSpacing"/>
              <w:jc w:val="right"/>
              <w:rPr>
                <w:rFonts w:cstheme="minorHAnsi"/>
                <w:b/>
                <w:bCs/>
                <w:sz w:val="20"/>
                <w:szCs w:val="20"/>
              </w:rPr>
            </w:pPr>
            <w:r>
              <w:rPr>
                <w:rFonts w:ascii="Calibri" w:eastAsia="Calibri" w:hAnsi="Calibri" w:cs="Calibri"/>
                <w:b/>
                <w:bCs/>
                <w:color w:val="000000" w:themeColor="text1"/>
                <w:kern w:val="24"/>
                <w:sz w:val="20"/>
                <w:szCs w:val="20"/>
              </w:rPr>
              <w:t>-</w:t>
            </w:r>
            <w:r w:rsidR="008B28CB">
              <w:rPr>
                <w:rFonts w:ascii="Calibri" w:eastAsia="Calibri" w:hAnsi="Calibri" w:cs="Calibri"/>
                <w:b/>
                <w:bCs/>
                <w:color w:val="000000" w:themeColor="text1"/>
                <w:kern w:val="24"/>
                <w:sz w:val="20"/>
                <w:szCs w:val="20"/>
              </w:rPr>
              <w:t>6.6</w:t>
            </w:r>
            <w:r w:rsidR="00024188" w:rsidRPr="00024188">
              <w:rPr>
                <w:rFonts w:ascii="Calibri" w:eastAsia="Calibri" w:hAnsi="Calibri" w:cs="Calibri"/>
                <w:b/>
                <w:bCs/>
                <w:color w:val="000000" w:themeColor="text1"/>
                <w:kern w:val="24"/>
                <w:sz w:val="20"/>
                <w:szCs w:val="20"/>
              </w:rPr>
              <w:t>%</w:t>
            </w:r>
          </w:p>
        </w:tc>
        <w:tc>
          <w:tcPr>
            <w:tcW w:w="972" w:type="dxa"/>
            <w:tcBorders>
              <w:right w:val="single" w:sz="4" w:space="0" w:color="auto"/>
            </w:tcBorders>
            <w:vAlign w:val="center"/>
            <w:hideMark/>
          </w:tcPr>
          <w:p w14:paraId="525F03F4" w14:textId="5E399885" w:rsidR="00024188" w:rsidRPr="00024188" w:rsidRDefault="00E1403D" w:rsidP="00024188">
            <w:pPr>
              <w:pStyle w:val="NoSpacing"/>
              <w:jc w:val="right"/>
              <w:rPr>
                <w:rFonts w:cstheme="minorHAnsi"/>
                <w:b/>
                <w:bCs/>
                <w:sz w:val="20"/>
                <w:szCs w:val="20"/>
              </w:rPr>
            </w:pPr>
            <w:r>
              <w:rPr>
                <w:rFonts w:ascii="Calibri" w:eastAsia="Calibri" w:hAnsi="Calibri" w:cs="Calibri"/>
                <w:b/>
                <w:bCs/>
                <w:color w:val="000000"/>
                <w:kern w:val="24"/>
                <w:sz w:val="20"/>
                <w:szCs w:val="20"/>
              </w:rPr>
              <w:t>-</w:t>
            </w:r>
            <w:r w:rsidR="008B28CB">
              <w:rPr>
                <w:rFonts w:ascii="Calibri" w:eastAsia="Calibri" w:hAnsi="Calibri" w:cs="Calibri"/>
                <w:b/>
                <w:bCs/>
                <w:color w:val="000000"/>
                <w:kern w:val="24"/>
                <w:sz w:val="20"/>
                <w:szCs w:val="20"/>
              </w:rPr>
              <w:t>8.7</w:t>
            </w:r>
            <w:r w:rsidR="00024188" w:rsidRPr="00024188">
              <w:rPr>
                <w:rFonts w:ascii="Calibri" w:eastAsia="Calibri" w:hAnsi="Calibri" w:cs="Calibri"/>
                <w:b/>
                <w:bCs/>
                <w:color w:val="000000"/>
                <w:kern w:val="24"/>
                <w:sz w:val="20"/>
                <w:szCs w:val="20"/>
              </w:rPr>
              <w:t>%</w:t>
            </w:r>
          </w:p>
        </w:tc>
        <w:tc>
          <w:tcPr>
            <w:tcW w:w="1152" w:type="dxa"/>
            <w:tcBorders>
              <w:top w:val="single" w:sz="4" w:space="0" w:color="DC2F02" w:themeColor="accent3"/>
              <w:left w:val="single" w:sz="4" w:space="0" w:color="auto"/>
              <w:bottom w:val="single" w:sz="4" w:space="0" w:color="DC2F02" w:themeColor="accent3"/>
            </w:tcBorders>
            <w:vAlign w:val="center"/>
          </w:tcPr>
          <w:p w14:paraId="22279171" w14:textId="45296B2B" w:rsidR="00024188" w:rsidRPr="00024188" w:rsidRDefault="008B28CB" w:rsidP="00024188">
            <w:pPr>
              <w:pStyle w:val="NoSpacing"/>
              <w:jc w:val="right"/>
              <w:rPr>
                <w:rFonts w:cstheme="minorHAnsi"/>
                <w:b/>
                <w:bCs/>
                <w:sz w:val="20"/>
                <w:szCs w:val="20"/>
              </w:rPr>
            </w:pPr>
            <w:r>
              <w:rPr>
                <w:rFonts w:ascii="Calibri" w:eastAsia="Calibri" w:hAnsi="Calibri" w:cs="Calibri"/>
                <w:b/>
                <w:bCs/>
                <w:color w:val="000000"/>
                <w:kern w:val="24"/>
                <w:sz w:val="20"/>
                <w:szCs w:val="20"/>
              </w:rPr>
              <w:t>24.1</w:t>
            </w:r>
            <w:r w:rsidR="00024188" w:rsidRPr="00024188">
              <w:rPr>
                <w:rFonts w:ascii="Calibri" w:eastAsia="Calibri" w:hAnsi="Calibri" w:cs="Calibri"/>
                <w:b/>
                <w:bCs/>
                <w:color w:val="000000"/>
                <w:kern w:val="24"/>
                <w:sz w:val="20"/>
                <w:szCs w:val="20"/>
              </w:rPr>
              <w:t>M</w:t>
            </w:r>
          </w:p>
        </w:tc>
        <w:tc>
          <w:tcPr>
            <w:tcW w:w="864" w:type="dxa"/>
            <w:vAlign w:val="center"/>
          </w:tcPr>
          <w:p w14:paraId="630361CF" w14:textId="08B10914" w:rsidR="00024188" w:rsidRPr="00024188" w:rsidRDefault="00024188" w:rsidP="00024188">
            <w:pPr>
              <w:pStyle w:val="NoSpacing"/>
              <w:jc w:val="right"/>
              <w:rPr>
                <w:rFonts w:cstheme="minorHAnsi"/>
                <w:b/>
                <w:bCs/>
                <w:color w:val="000000" w:themeColor="text1"/>
                <w:sz w:val="20"/>
                <w:szCs w:val="20"/>
              </w:rPr>
            </w:pPr>
            <w:r w:rsidRPr="00024188">
              <w:rPr>
                <w:rFonts w:ascii="Calibri" w:eastAsia="Calibri" w:hAnsi="Calibri" w:cs="Calibri"/>
                <w:b/>
                <w:bCs/>
                <w:color w:val="000000"/>
                <w:kern w:val="24"/>
                <w:sz w:val="20"/>
                <w:szCs w:val="20"/>
              </w:rPr>
              <w:t>100.0%</w:t>
            </w:r>
          </w:p>
        </w:tc>
        <w:tc>
          <w:tcPr>
            <w:tcW w:w="1008" w:type="dxa"/>
            <w:vAlign w:val="center"/>
          </w:tcPr>
          <w:p w14:paraId="13CC202A" w14:textId="1AC9BA2B" w:rsidR="00024188" w:rsidRPr="00024188" w:rsidRDefault="00E1403D" w:rsidP="00024188">
            <w:pPr>
              <w:pStyle w:val="NoSpacing"/>
              <w:jc w:val="right"/>
              <w:rPr>
                <w:rFonts w:cstheme="minorHAnsi"/>
                <w:b/>
                <w:bCs/>
                <w:sz w:val="20"/>
                <w:szCs w:val="20"/>
              </w:rPr>
            </w:pPr>
            <w:r>
              <w:rPr>
                <w:rFonts w:ascii="Calibri" w:eastAsia="Calibri" w:hAnsi="Calibri" w:cs="Calibri"/>
                <w:b/>
                <w:bCs/>
                <w:color w:val="000000"/>
                <w:kern w:val="24"/>
                <w:sz w:val="20"/>
                <w:szCs w:val="20"/>
              </w:rPr>
              <w:t>-</w:t>
            </w:r>
            <w:r w:rsidR="008B28CB">
              <w:rPr>
                <w:rFonts w:ascii="Calibri" w:eastAsia="Calibri" w:hAnsi="Calibri" w:cs="Calibri"/>
                <w:b/>
                <w:bCs/>
                <w:color w:val="000000"/>
                <w:kern w:val="24"/>
                <w:sz w:val="20"/>
                <w:szCs w:val="20"/>
              </w:rPr>
              <w:t>5.6</w:t>
            </w:r>
            <w:r w:rsidR="00024188" w:rsidRPr="00024188">
              <w:rPr>
                <w:rFonts w:ascii="Calibri" w:eastAsia="Calibri" w:hAnsi="Calibri" w:cs="Calibri"/>
                <w:b/>
                <w:bCs/>
                <w:color w:val="000000"/>
                <w:kern w:val="24"/>
                <w:sz w:val="20"/>
                <w:szCs w:val="20"/>
              </w:rPr>
              <w:t>%</w:t>
            </w:r>
          </w:p>
        </w:tc>
        <w:tc>
          <w:tcPr>
            <w:tcW w:w="864" w:type="dxa"/>
            <w:vAlign w:val="center"/>
          </w:tcPr>
          <w:p w14:paraId="18FA9632" w14:textId="75A2BDC2" w:rsidR="00024188" w:rsidRPr="00024188" w:rsidRDefault="00E1403D" w:rsidP="00024188">
            <w:pPr>
              <w:pStyle w:val="NoSpacing"/>
              <w:jc w:val="right"/>
              <w:rPr>
                <w:rFonts w:cstheme="minorHAnsi"/>
                <w:b/>
                <w:bCs/>
                <w:sz w:val="20"/>
                <w:szCs w:val="20"/>
              </w:rPr>
            </w:pPr>
            <w:r>
              <w:rPr>
                <w:rFonts w:ascii="Calibri" w:eastAsia="Calibri" w:hAnsi="Calibri" w:cs="Calibri"/>
                <w:b/>
                <w:bCs/>
                <w:color w:val="000000"/>
                <w:kern w:val="24"/>
                <w:sz w:val="20"/>
                <w:szCs w:val="20"/>
              </w:rPr>
              <w:t>-</w:t>
            </w:r>
            <w:r w:rsidR="008B28CB">
              <w:rPr>
                <w:rFonts w:ascii="Calibri" w:eastAsia="Calibri" w:hAnsi="Calibri" w:cs="Calibri"/>
                <w:b/>
                <w:bCs/>
                <w:color w:val="000000"/>
                <w:kern w:val="24"/>
                <w:sz w:val="20"/>
                <w:szCs w:val="20"/>
              </w:rPr>
              <w:t>10.5</w:t>
            </w:r>
            <w:r w:rsidR="00024188" w:rsidRPr="00024188">
              <w:rPr>
                <w:rFonts w:ascii="Calibri" w:eastAsia="Calibri" w:hAnsi="Calibri" w:cs="Calibri"/>
                <w:b/>
                <w:bCs/>
                <w:color w:val="000000"/>
                <w:kern w:val="24"/>
                <w:sz w:val="20"/>
                <w:szCs w:val="20"/>
              </w:rPr>
              <w:t>%</w:t>
            </w:r>
          </w:p>
        </w:tc>
      </w:tr>
      <w:tr w:rsidR="00024188" w:rsidRPr="00481440" w14:paraId="145D73B9" w14:textId="77777777" w:rsidTr="00491B96">
        <w:trPr>
          <w:cnfStyle w:val="000000100000" w:firstRow="0" w:lastRow="0" w:firstColumn="0" w:lastColumn="0" w:oddVBand="0" w:evenVBand="0" w:oddHBand="1" w:evenHBand="0" w:firstRowFirstColumn="0" w:firstRowLastColumn="0" w:lastRowFirstColumn="0" w:lastRowLastColumn="0"/>
          <w:trHeight w:val="20"/>
        </w:trPr>
        <w:tc>
          <w:tcPr>
            <w:tcW w:w="2448" w:type="dxa"/>
            <w:vAlign w:val="center"/>
            <w:hideMark/>
          </w:tcPr>
          <w:p w14:paraId="78B4D2F2" w14:textId="2B73E374" w:rsidR="00024188" w:rsidRPr="00024188" w:rsidRDefault="00024188" w:rsidP="00024188">
            <w:pPr>
              <w:rPr>
                <w:rFonts w:cstheme="minorHAnsi"/>
                <w:sz w:val="20"/>
                <w:szCs w:val="20"/>
              </w:rPr>
            </w:pPr>
            <w:r w:rsidRPr="00024188">
              <w:rPr>
                <w:rFonts w:ascii="Calibri" w:eastAsia="Calibri" w:hAnsi="Calibri" w:cs="Calibri"/>
                <w:color w:val="000000"/>
                <w:kern w:val="24"/>
                <w:sz w:val="20"/>
                <w:szCs w:val="20"/>
              </w:rPr>
              <w:t>White mushrooms</w:t>
            </w:r>
          </w:p>
        </w:tc>
        <w:tc>
          <w:tcPr>
            <w:tcW w:w="1168" w:type="dxa"/>
            <w:vAlign w:val="center"/>
            <w:hideMark/>
          </w:tcPr>
          <w:p w14:paraId="4C0D7E28" w14:textId="250418F0" w:rsidR="00024188" w:rsidRPr="00024188" w:rsidRDefault="00E1403D" w:rsidP="00024188">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53.2</w:t>
            </w:r>
            <w:r w:rsidR="00024188" w:rsidRPr="00024188">
              <w:rPr>
                <w:rFonts w:ascii="Calibri" w:eastAsia="Calibri" w:hAnsi="Calibri" w:cs="Calibri"/>
                <w:color w:val="000000"/>
                <w:kern w:val="24"/>
                <w:sz w:val="20"/>
                <w:szCs w:val="20"/>
              </w:rPr>
              <w:t>M</w:t>
            </w:r>
          </w:p>
        </w:tc>
        <w:tc>
          <w:tcPr>
            <w:tcW w:w="882" w:type="dxa"/>
            <w:vAlign w:val="center"/>
          </w:tcPr>
          <w:p w14:paraId="3CADA244" w14:textId="0E5421C0" w:rsidR="00024188" w:rsidRPr="00024188" w:rsidRDefault="008B28CB" w:rsidP="00024188">
            <w:pPr>
              <w:pStyle w:val="NoSpacing"/>
              <w:jc w:val="right"/>
              <w:rPr>
                <w:rFonts w:cstheme="minorHAnsi"/>
                <w:sz w:val="20"/>
                <w:szCs w:val="20"/>
              </w:rPr>
            </w:pPr>
            <w:r>
              <w:rPr>
                <w:rFonts w:ascii="Calibri" w:eastAsia="Calibri" w:hAnsi="Calibri" w:cs="Calibri"/>
                <w:color w:val="000000"/>
                <w:kern w:val="24"/>
                <w:sz w:val="20"/>
                <w:szCs w:val="20"/>
              </w:rPr>
              <w:t>49.3</w:t>
            </w:r>
            <w:r w:rsidR="00024188" w:rsidRPr="00024188">
              <w:rPr>
                <w:rFonts w:ascii="Calibri" w:eastAsia="Calibri" w:hAnsi="Calibri" w:cs="Calibri"/>
                <w:color w:val="000000"/>
                <w:kern w:val="24"/>
                <w:sz w:val="20"/>
                <w:szCs w:val="20"/>
              </w:rPr>
              <w:t>%</w:t>
            </w:r>
          </w:p>
        </w:tc>
        <w:tc>
          <w:tcPr>
            <w:tcW w:w="991" w:type="dxa"/>
            <w:vAlign w:val="center"/>
            <w:hideMark/>
          </w:tcPr>
          <w:p w14:paraId="6C36ED75" w14:textId="7336C870" w:rsidR="00024188" w:rsidRPr="00024188" w:rsidRDefault="00E1403D" w:rsidP="00024188">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6.6</w:t>
            </w:r>
            <w:r w:rsidR="00024188" w:rsidRPr="00024188">
              <w:rPr>
                <w:rFonts w:ascii="Calibri" w:eastAsia="Calibri" w:hAnsi="Calibri" w:cs="Calibri"/>
                <w:color w:val="000000"/>
                <w:kern w:val="24"/>
                <w:sz w:val="20"/>
                <w:szCs w:val="20"/>
              </w:rPr>
              <w:t>%</w:t>
            </w:r>
          </w:p>
        </w:tc>
        <w:tc>
          <w:tcPr>
            <w:tcW w:w="972" w:type="dxa"/>
            <w:tcBorders>
              <w:right w:val="single" w:sz="4" w:space="0" w:color="auto"/>
            </w:tcBorders>
            <w:vAlign w:val="center"/>
            <w:hideMark/>
          </w:tcPr>
          <w:p w14:paraId="12408AC8" w14:textId="2C2CEC02" w:rsidR="00024188" w:rsidRPr="00024188" w:rsidRDefault="00E1403D" w:rsidP="00024188">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10.9</w:t>
            </w:r>
            <w:r w:rsidR="00024188" w:rsidRPr="00024188">
              <w:rPr>
                <w:rFonts w:ascii="Calibri" w:eastAsia="Calibri" w:hAnsi="Calibri" w:cs="Calibri"/>
                <w:color w:val="000000"/>
                <w:kern w:val="24"/>
                <w:sz w:val="20"/>
                <w:szCs w:val="20"/>
              </w:rPr>
              <w:t>%</w:t>
            </w:r>
          </w:p>
        </w:tc>
        <w:tc>
          <w:tcPr>
            <w:tcW w:w="1152" w:type="dxa"/>
            <w:tcBorders>
              <w:left w:val="single" w:sz="4" w:space="0" w:color="auto"/>
            </w:tcBorders>
            <w:vAlign w:val="center"/>
          </w:tcPr>
          <w:p w14:paraId="5118D613" w14:textId="05C16D47" w:rsidR="00024188" w:rsidRPr="00024188" w:rsidRDefault="008B28CB" w:rsidP="00024188">
            <w:pPr>
              <w:pStyle w:val="NoSpacing"/>
              <w:jc w:val="right"/>
              <w:rPr>
                <w:rFonts w:cstheme="minorHAnsi"/>
                <w:sz w:val="20"/>
                <w:szCs w:val="20"/>
              </w:rPr>
            </w:pPr>
            <w:r>
              <w:rPr>
                <w:rFonts w:ascii="Calibri" w:eastAsia="Calibri" w:hAnsi="Calibri" w:cs="Calibri"/>
                <w:color w:val="000000"/>
                <w:kern w:val="24"/>
                <w:sz w:val="20"/>
                <w:szCs w:val="20"/>
              </w:rPr>
              <w:t>13.4</w:t>
            </w:r>
            <w:r w:rsidR="00024188" w:rsidRPr="00024188">
              <w:rPr>
                <w:rFonts w:ascii="Calibri" w:eastAsia="Calibri" w:hAnsi="Calibri" w:cs="Calibri"/>
                <w:color w:val="000000"/>
                <w:kern w:val="24"/>
                <w:sz w:val="20"/>
                <w:szCs w:val="20"/>
              </w:rPr>
              <w:t>M</w:t>
            </w:r>
          </w:p>
        </w:tc>
        <w:tc>
          <w:tcPr>
            <w:tcW w:w="864" w:type="dxa"/>
            <w:vAlign w:val="center"/>
          </w:tcPr>
          <w:p w14:paraId="40D97251" w14:textId="293DF282" w:rsidR="00024188" w:rsidRPr="00024188" w:rsidRDefault="008B28CB" w:rsidP="00024188">
            <w:pPr>
              <w:pStyle w:val="NoSpacing"/>
              <w:tabs>
                <w:tab w:val="left" w:pos="510"/>
                <w:tab w:val="right" w:pos="674"/>
              </w:tabs>
              <w:jc w:val="right"/>
              <w:rPr>
                <w:rFonts w:cstheme="minorHAnsi"/>
                <w:sz w:val="20"/>
                <w:szCs w:val="20"/>
              </w:rPr>
            </w:pPr>
            <w:r>
              <w:rPr>
                <w:rFonts w:ascii="Calibri" w:eastAsia="Calibri" w:hAnsi="Calibri" w:cs="Calibri"/>
                <w:color w:val="000000"/>
                <w:kern w:val="24"/>
                <w:sz w:val="20"/>
                <w:szCs w:val="20"/>
              </w:rPr>
              <w:t>55.7</w:t>
            </w:r>
            <w:r w:rsidR="00024188" w:rsidRPr="00024188">
              <w:rPr>
                <w:rFonts w:ascii="Calibri" w:eastAsia="Calibri" w:hAnsi="Calibri" w:cs="Calibri"/>
                <w:color w:val="000000"/>
                <w:kern w:val="24"/>
                <w:sz w:val="20"/>
                <w:szCs w:val="20"/>
              </w:rPr>
              <w:t>%</w:t>
            </w:r>
          </w:p>
        </w:tc>
        <w:tc>
          <w:tcPr>
            <w:tcW w:w="1008" w:type="dxa"/>
            <w:vAlign w:val="center"/>
          </w:tcPr>
          <w:p w14:paraId="710357FA" w14:textId="053A55FD" w:rsidR="00024188" w:rsidRPr="00024188" w:rsidRDefault="00E1403D" w:rsidP="00024188">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5.2</w:t>
            </w:r>
            <w:r w:rsidR="00024188" w:rsidRPr="00024188">
              <w:rPr>
                <w:rFonts w:ascii="Calibri" w:eastAsia="Calibri" w:hAnsi="Calibri" w:cs="Calibri"/>
                <w:color w:val="000000"/>
                <w:kern w:val="24"/>
                <w:sz w:val="20"/>
                <w:szCs w:val="20"/>
              </w:rPr>
              <w:t>%</w:t>
            </w:r>
          </w:p>
        </w:tc>
        <w:tc>
          <w:tcPr>
            <w:tcW w:w="864" w:type="dxa"/>
            <w:vAlign w:val="center"/>
          </w:tcPr>
          <w:p w14:paraId="285307C2" w14:textId="514B7D04" w:rsidR="00024188" w:rsidRPr="00024188" w:rsidRDefault="00E1403D" w:rsidP="00024188">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13.1</w:t>
            </w:r>
            <w:r w:rsidR="00024188" w:rsidRPr="00024188">
              <w:rPr>
                <w:rFonts w:ascii="Calibri" w:eastAsia="Calibri" w:hAnsi="Calibri" w:cs="Calibri"/>
                <w:color w:val="000000"/>
                <w:kern w:val="24"/>
                <w:sz w:val="20"/>
                <w:szCs w:val="20"/>
              </w:rPr>
              <w:t>%</w:t>
            </w:r>
          </w:p>
        </w:tc>
      </w:tr>
      <w:tr w:rsidR="00E1403D" w:rsidRPr="00B25DFD" w14:paraId="716CD0FE" w14:textId="77777777" w:rsidTr="00491B96">
        <w:trPr>
          <w:trHeight w:val="20"/>
        </w:trPr>
        <w:tc>
          <w:tcPr>
            <w:tcW w:w="2448" w:type="dxa"/>
            <w:vAlign w:val="center"/>
          </w:tcPr>
          <w:p w14:paraId="0FA3EA16" w14:textId="5F7BA818" w:rsidR="00E1403D" w:rsidRPr="00024188" w:rsidRDefault="00E1403D" w:rsidP="00E1403D">
            <w:pPr>
              <w:rPr>
                <w:rFonts w:eastAsia="Calibri" w:cstheme="minorHAnsi"/>
                <w:color w:val="000000" w:themeColor="text1"/>
                <w:kern w:val="24"/>
                <w:sz w:val="20"/>
                <w:szCs w:val="20"/>
              </w:rPr>
            </w:pPr>
            <w:r w:rsidRPr="00024188">
              <w:rPr>
                <w:rFonts w:ascii="Calibri" w:eastAsia="Calibri" w:hAnsi="Calibri" w:cs="Calibri"/>
                <w:color w:val="000000"/>
                <w:kern w:val="24"/>
                <w:sz w:val="20"/>
                <w:szCs w:val="20"/>
              </w:rPr>
              <w:t>Crimini mushrooms</w:t>
            </w:r>
          </w:p>
        </w:tc>
        <w:tc>
          <w:tcPr>
            <w:tcW w:w="1168" w:type="dxa"/>
            <w:vAlign w:val="center"/>
          </w:tcPr>
          <w:p w14:paraId="1E580BCF" w14:textId="01EE0CE4" w:rsidR="00E1403D" w:rsidRPr="00024188" w:rsidRDefault="00E1403D" w:rsidP="00E1403D">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38.5</w:t>
            </w:r>
            <w:r w:rsidRPr="00024188">
              <w:rPr>
                <w:rFonts w:ascii="Calibri" w:eastAsia="Calibri" w:hAnsi="Calibri" w:cs="Calibri"/>
                <w:color w:val="000000"/>
                <w:kern w:val="24"/>
                <w:sz w:val="20"/>
                <w:szCs w:val="20"/>
              </w:rPr>
              <w:t>M</w:t>
            </w:r>
          </w:p>
        </w:tc>
        <w:tc>
          <w:tcPr>
            <w:tcW w:w="882" w:type="dxa"/>
            <w:vAlign w:val="center"/>
          </w:tcPr>
          <w:p w14:paraId="32C9D86B" w14:textId="4C9F703B" w:rsidR="00E1403D" w:rsidRPr="00024188" w:rsidRDefault="008B28CB" w:rsidP="00E1403D">
            <w:pPr>
              <w:pStyle w:val="NoSpacing"/>
              <w:jc w:val="right"/>
              <w:rPr>
                <w:rFonts w:cstheme="minorHAnsi"/>
                <w:color w:val="000000"/>
                <w:sz w:val="20"/>
                <w:szCs w:val="20"/>
              </w:rPr>
            </w:pPr>
            <w:r>
              <w:rPr>
                <w:rFonts w:ascii="Calibri" w:eastAsia="Calibri" w:hAnsi="Calibri" w:cs="Calibri"/>
                <w:color w:val="000000"/>
                <w:kern w:val="24"/>
                <w:sz w:val="20"/>
                <w:szCs w:val="20"/>
              </w:rPr>
              <w:t>35.7</w:t>
            </w:r>
            <w:r w:rsidR="00E1403D" w:rsidRPr="00024188">
              <w:rPr>
                <w:rFonts w:ascii="Calibri" w:eastAsia="Calibri" w:hAnsi="Calibri" w:cs="Calibri"/>
                <w:color w:val="000000"/>
                <w:kern w:val="24"/>
                <w:sz w:val="20"/>
                <w:szCs w:val="20"/>
              </w:rPr>
              <w:t>%</w:t>
            </w:r>
          </w:p>
        </w:tc>
        <w:tc>
          <w:tcPr>
            <w:tcW w:w="991" w:type="dxa"/>
            <w:vAlign w:val="center"/>
          </w:tcPr>
          <w:p w14:paraId="04806102" w14:textId="3C86346F" w:rsidR="00E1403D" w:rsidRPr="00024188" w:rsidRDefault="00E1403D" w:rsidP="00E1403D">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5.6</w:t>
            </w:r>
            <w:r w:rsidRPr="00024188">
              <w:rPr>
                <w:rFonts w:ascii="Calibri" w:eastAsia="Calibri" w:hAnsi="Calibri" w:cs="Calibri"/>
                <w:color w:val="000000"/>
                <w:kern w:val="24"/>
                <w:sz w:val="20"/>
                <w:szCs w:val="20"/>
              </w:rPr>
              <w:t>%</w:t>
            </w:r>
          </w:p>
        </w:tc>
        <w:tc>
          <w:tcPr>
            <w:tcW w:w="972" w:type="dxa"/>
            <w:tcBorders>
              <w:right w:val="single" w:sz="4" w:space="0" w:color="auto"/>
            </w:tcBorders>
            <w:vAlign w:val="center"/>
          </w:tcPr>
          <w:p w14:paraId="4C163EED" w14:textId="16A08642" w:rsidR="00E1403D" w:rsidRPr="00024188" w:rsidRDefault="008B28CB" w:rsidP="00E1403D">
            <w:pPr>
              <w:pStyle w:val="NoSpacing"/>
              <w:jc w:val="right"/>
              <w:rPr>
                <w:rFonts w:cstheme="minorHAnsi"/>
                <w:sz w:val="20"/>
                <w:szCs w:val="20"/>
              </w:rPr>
            </w:pPr>
            <w:r>
              <w:rPr>
                <w:rFonts w:ascii="Calibri" w:eastAsia="Calibri" w:hAnsi="Calibri" w:cs="Calibri"/>
                <w:color w:val="000000"/>
                <w:kern w:val="24"/>
                <w:sz w:val="20"/>
                <w:szCs w:val="20"/>
              </w:rPr>
              <w:t>-1.1</w:t>
            </w:r>
            <w:r w:rsidR="00E1403D" w:rsidRPr="00024188">
              <w:rPr>
                <w:rFonts w:ascii="Calibri" w:eastAsia="Calibri" w:hAnsi="Calibri" w:cs="Calibri"/>
                <w:color w:val="000000"/>
                <w:kern w:val="24"/>
                <w:sz w:val="20"/>
                <w:szCs w:val="20"/>
              </w:rPr>
              <w:t>%</w:t>
            </w:r>
          </w:p>
        </w:tc>
        <w:tc>
          <w:tcPr>
            <w:tcW w:w="1152" w:type="dxa"/>
            <w:tcBorders>
              <w:top w:val="single" w:sz="4" w:space="0" w:color="DC2F02" w:themeColor="accent3"/>
              <w:left w:val="single" w:sz="4" w:space="0" w:color="auto"/>
              <w:bottom w:val="single" w:sz="4" w:space="0" w:color="DC2F02" w:themeColor="accent3"/>
            </w:tcBorders>
            <w:vAlign w:val="center"/>
          </w:tcPr>
          <w:p w14:paraId="0C78E297" w14:textId="27F6FB8F" w:rsidR="00E1403D" w:rsidRPr="00024188" w:rsidRDefault="008B28CB" w:rsidP="00E1403D">
            <w:pPr>
              <w:pStyle w:val="NoSpacing"/>
              <w:jc w:val="right"/>
              <w:rPr>
                <w:rFonts w:cstheme="minorHAnsi"/>
                <w:sz w:val="20"/>
                <w:szCs w:val="20"/>
              </w:rPr>
            </w:pPr>
            <w:r>
              <w:rPr>
                <w:rFonts w:ascii="Calibri" w:eastAsia="Calibri" w:hAnsi="Calibri" w:cs="Calibri"/>
                <w:color w:val="000000"/>
                <w:kern w:val="24"/>
                <w:sz w:val="20"/>
                <w:szCs w:val="20"/>
              </w:rPr>
              <w:t>8.5</w:t>
            </w:r>
            <w:r w:rsidR="00E1403D" w:rsidRPr="00024188">
              <w:rPr>
                <w:rFonts w:ascii="Calibri" w:eastAsia="Calibri" w:hAnsi="Calibri" w:cs="Calibri"/>
                <w:color w:val="000000"/>
                <w:kern w:val="24"/>
                <w:sz w:val="20"/>
                <w:szCs w:val="20"/>
              </w:rPr>
              <w:t>M</w:t>
            </w:r>
          </w:p>
        </w:tc>
        <w:tc>
          <w:tcPr>
            <w:tcW w:w="864" w:type="dxa"/>
            <w:vAlign w:val="center"/>
          </w:tcPr>
          <w:p w14:paraId="14998231" w14:textId="3A0A9259" w:rsidR="00E1403D" w:rsidRPr="00024188" w:rsidRDefault="008B28CB" w:rsidP="00E1403D">
            <w:pPr>
              <w:pStyle w:val="NoSpacing"/>
              <w:jc w:val="right"/>
              <w:rPr>
                <w:rFonts w:cstheme="minorHAnsi"/>
                <w:color w:val="000000"/>
                <w:sz w:val="20"/>
                <w:szCs w:val="20"/>
              </w:rPr>
            </w:pPr>
            <w:r>
              <w:rPr>
                <w:rFonts w:ascii="Calibri" w:eastAsia="Calibri" w:hAnsi="Calibri" w:cs="Calibri"/>
                <w:color w:val="000000"/>
                <w:kern w:val="24"/>
                <w:sz w:val="20"/>
                <w:szCs w:val="20"/>
              </w:rPr>
              <w:t>35.1</w:t>
            </w:r>
            <w:r w:rsidR="00E1403D" w:rsidRPr="00024188">
              <w:rPr>
                <w:rFonts w:ascii="Calibri" w:eastAsia="Calibri" w:hAnsi="Calibri" w:cs="Calibri"/>
                <w:color w:val="000000"/>
                <w:kern w:val="24"/>
                <w:sz w:val="20"/>
                <w:szCs w:val="20"/>
              </w:rPr>
              <w:t>%</w:t>
            </w:r>
          </w:p>
        </w:tc>
        <w:tc>
          <w:tcPr>
            <w:tcW w:w="1008" w:type="dxa"/>
            <w:vAlign w:val="center"/>
          </w:tcPr>
          <w:p w14:paraId="60244247" w14:textId="460DF869" w:rsidR="00E1403D" w:rsidRPr="00024188" w:rsidRDefault="00E1403D" w:rsidP="00E1403D">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5.2</w:t>
            </w:r>
            <w:r w:rsidRPr="00024188">
              <w:rPr>
                <w:rFonts w:ascii="Calibri" w:eastAsia="Calibri" w:hAnsi="Calibri" w:cs="Calibri"/>
                <w:color w:val="000000"/>
                <w:kern w:val="24"/>
                <w:sz w:val="20"/>
                <w:szCs w:val="20"/>
              </w:rPr>
              <w:t>%</w:t>
            </w:r>
          </w:p>
        </w:tc>
        <w:tc>
          <w:tcPr>
            <w:tcW w:w="864" w:type="dxa"/>
            <w:vAlign w:val="center"/>
          </w:tcPr>
          <w:p w14:paraId="6A0F8BA3" w14:textId="31C0375A" w:rsidR="00E1403D" w:rsidRPr="00024188" w:rsidRDefault="008B28CB" w:rsidP="00E1403D">
            <w:pPr>
              <w:pStyle w:val="NoSpacing"/>
              <w:jc w:val="right"/>
              <w:rPr>
                <w:rFonts w:cstheme="minorHAnsi"/>
                <w:sz w:val="20"/>
                <w:szCs w:val="20"/>
              </w:rPr>
            </w:pPr>
            <w:r>
              <w:rPr>
                <w:rFonts w:ascii="Calibri" w:eastAsia="Calibri" w:hAnsi="Calibri" w:cs="Calibri"/>
                <w:color w:val="000000"/>
                <w:kern w:val="24"/>
                <w:sz w:val="20"/>
                <w:szCs w:val="20"/>
              </w:rPr>
              <w:t>-1.7</w:t>
            </w:r>
            <w:r w:rsidR="00E1403D" w:rsidRPr="00024188">
              <w:rPr>
                <w:rFonts w:ascii="Calibri" w:eastAsia="Calibri" w:hAnsi="Calibri" w:cs="Calibri"/>
                <w:color w:val="000000"/>
                <w:kern w:val="24"/>
                <w:sz w:val="20"/>
                <w:szCs w:val="20"/>
              </w:rPr>
              <w:t>%</w:t>
            </w:r>
          </w:p>
        </w:tc>
      </w:tr>
      <w:tr w:rsidR="00E1403D" w:rsidRPr="00B25DFD" w14:paraId="57FEBDF7" w14:textId="77777777" w:rsidTr="00491B96">
        <w:trPr>
          <w:cnfStyle w:val="000000100000" w:firstRow="0" w:lastRow="0" w:firstColumn="0" w:lastColumn="0" w:oddVBand="0" w:evenVBand="0" w:oddHBand="1" w:evenHBand="0" w:firstRowFirstColumn="0" w:firstRowLastColumn="0" w:lastRowFirstColumn="0" w:lastRowLastColumn="0"/>
          <w:trHeight w:val="20"/>
        </w:trPr>
        <w:tc>
          <w:tcPr>
            <w:tcW w:w="2448" w:type="dxa"/>
            <w:vAlign w:val="center"/>
            <w:hideMark/>
          </w:tcPr>
          <w:p w14:paraId="602D364E" w14:textId="39434D1E" w:rsidR="00E1403D" w:rsidRPr="00024188" w:rsidRDefault="00E1403D" w:rsidP="00E1403D">
            <w:pPr>
              <w:rPr>
                <w:rFonts w:cstheme="minorHAnsi"/>
                <w:sz w:val="20"/>
                <w:szCs w:val="20"/>
              </w:rPr>
            </w:pPr>
            <w:r w:rsidRPr="00024188">
              <w:rPr>
                <w:rFonts w:ascii="Calibri" w:eastAsia="Calibri" w:hAnsi="Calibri" w:cs="Calibri"/>
                <w:color w:val="000000"/>
                <w:kern w:val="24"/>
                <w:sz w:val="20"/>
                <w:szCs w:val="20"/>
              </w:rPr>
              <w:t>Portabella mushrooms</w:t>
            </w:r>
          </w:p>
        </w:tc>
        <w:tc>
          <w:tcPr>
            <w:tcW w:w="1168" w:type="dxa"/>
            <w:vAlign w:val="center"/>
          </w:tcPr>
          <w:p w14:paraId="41892DB8" w14:textId="7BC713CC" w:rsidR="00E1403D" w:rsidRPr="00024188" w:rsidRDefault="00E1403D" w:rsidP="00E1403D">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9.1</w:t>
            </w:r>
            <w:r w:rsidRPr="00024188">
              <w:rPr>
                <w:rFonts w:ascii="Calibri" w:eastAsia="Calibri" w:hAnsi="Calibri" w:cs="Calibri"/>
                <w:color w:val="000000"/>
                <w:kern w:val="24"/>
                <w:sz w:val="20"/>
                <w:szCs w:val="20"/>
              </w:rPr>
              <w:t>M</w:t>
            </w:r>
          </w:p>
        </w:tc>
        <w:tc>
          <w:tcPr>
            <w:tcW w:w="882" w:type="dxa"/>
            <w:vAlign w:val="center"/>
          </w:tcPr>
          <w:p w14:paraId="46ABCE73" w14:textId="0941DB5B" w:rsidR="00E1403D" w:rsidRPr="00024188" w:rsidRDefault="008B28CB" w:rsidP="00E1403D">
            <w:pPr>
              <w:pStyle w:val="NoSpacing"/>
              <w:jc w:val="right"/>
              <w:rPr>
                <w:rFonts w:cstheme="minorHAnsi"/>
                <w:sz w:val="20"/>
                <w:szCs w:val="20"/>
              </w:rPr>
            </w:pPr>
            <w:r>
              <w:rPr>
                <w:rFonts w:ascii="Calibri" w:eastAsia="Calibri" w:hAnsi="Calibri" w:cs="Calibri"/>
                <w:color w:val="000000"/>
                <w:kern w:val="24"/>
                <w:sz w:val="20"/>
                <w:szCs w:val="20"/>
              </w:rPr>
              <w:t>8.4</w:t>
            </w:r>
            <w:r w:rsidR="00E1403D" w:rsidRPr="00024188">
              <w:rPr>
                <w:rFonts w:ascii="Calibri" w:eastAsia="Calibri" w:hAnsi="Calibri" w:cs="Calibri"/>
                <w:color w:val="000000"/>
                <w:kern w:val="24"/>
                <w:sz w:val="20"/>
                <w:szCs w:val="20"/>
              </w:rPr>
              <w:t>%</w:t>
            </w:r>
          </w:p>
        </w:tc>
        <w:tc>
          <w:tcPr>
            <w:tcW w:w="991" w:type="dxa"/>
            <w:vAlign w:val="center"/>
          </w:tcPr>
          <w:p w14:paraId="481BED1D" w14:textId="0AA46A49" w:rsidR="00E1403D" w:rsidRPr="00024188" w:rsidRDefault="00E1403D" w:rsidP="00E1403D">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10.4</w:t>
            </w:r>
            <w:r w:rsidRPr="00024188">
              <w:rPr>
                <w:rFonts w:ascii="Calibri" w:eastAsia="Calibri" w:hAnsi="Calibri" w:cs="Calibri"/>
                <w:color w:val="000000"/>
                <w:kern w:val="24"/>
                <w:sz w:val="20"/>
                <w:szCs w:val="20"/>
              </w:rPr>
              <w:t>%</w:t>
            </w:r>
          </w:p>
        </w:tc>
        <w:tc>
          <w:tcPr>
            <w:tcW w:w="972" w:type="dxa"/>
            <w:tcBorders>
              <w:right w:val="single" w:sz="4" w:space="0" w:color="auto"/>
            </w:tcBorders>
            <w:vAlign w:val="center"/>
          </w:tcPr>
          <w:p w14:paraId="72645B7B" w14:textId="12840BA6" w:rsidR="00E1403D" w:rsidRPr="00024188" w:rsidRDefault="00E1403D" w:rsidP="00E1403D">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29.7</w:t>
            </w:r>
            <w:r w:rsidRPr="00024188">
              <w:rPr>
                <w:rFonts w:ascii="Calibri" w:eastAsia="Calibri" w:hAnsi="Calibri" w:cs="Calibri"/>
                <w:color w:val="000000"/>
                <w:kern w:val="24"/>
                <w:sz w:val="20"/>
                <w:szCs w:val="20"/>
              </w:rPr>
              <w:t>%</w:t>
            </w:r>
          </w:p>
        </w:tc>
        <w:tc>
          <w:tcPr>
            <w:tcW w:w="1152" w:type="dxa"/>
            <w:tcBorders>
              <w:left w:val="single" w:sz="4" w:space="0" w:color="auto"/>
            </w:tcBorders>
            <w:vAlign w:val="center"/>
          </w:tcPr>
          <w:p w14:paraId="0F1677BF" w14:textId="75C92A03" w:rsidR="00E1403D" w:rsidRPr="00024188" w:rsidRDefault="00B6704F" w:rsidP="00E1403D">
            <w:pPr>
              <w:pStyle w:val="NoSpacing"/>
              <w:jc w:val="right"/>
              <w:rPr>
                <w:rFonts w:cstheme="minorHAnsi"/>
                <w:sz w:val="20"/>
                <w:szCs w:val="20"/>
              </w:rPr>
            </w:pPr>
            <w:r>
              <w:rPr>
                <w:rFonts w:ascii="Calibri" w:eastAsia="Calibri" w:hAnsi="Calibri" w:cs="Calibri"/>
                <w:color w:val="000000"/>
                <w:kern w:val="24"/>
                <w:sz w:val="20"/>
                <w:szCs w:val="20"/>
              </w:rPr>
              <w:t>1.7</w:t>
            </w:r>
            <w:r w:rsidR="00E1403D" w:rsidRPr="00024188">
              <w:rPr>
                <w:rFonts w:ascii="Calibri" w:eastAsia="Calibri" w:hAnsi="Calibri" w:cs="Calibri"/>
                <w:color w:val="000000"/>
                <w:kern w:val="24"/>
                <w:sz w:val="20"/>
                <w:szCs w:val="20"/>
              </w:rPr>
              <w:t>M</w:t>
            </w:r>
          </w:p>
        </w:tc>
        <w:tc>
          <w:tcPr>
            <w:tcW w:w="864" w:type="dxa"/>
            <w:vAlign w:val="center"/>
          </w:tcPr>
          <w:p w14:paraId="6BFC89D0" w14:textId="1B9BC627" w:rsidR="00E1403D" w:rsidRPr="00024188" w:rsidRDefault="008B28CB" w:rsidP="00E1403D">
            <w:pPr>
              <w:pStyle w:val="NoSpacing"/>
              <w:jc w:val="right"/>
              <w:rPr>
                <w:rFonts w:cstheme="minorHAnsi"/>
                <w:sz w:val="20"/>
                <w:szCs w:val="20"/>
              </w:rPr>
            </w:pPr>
            <w:r>
              <w:rPr>
                <w:rFonts w:ascii="Calibri" w:eastAsia="Calibri" w:hAnsi="Calibri" w:cs="Calibri"/>
                <w:color w:val="000000"/>
                <w:kern w:val="24"/>
                <w:sz w:val="20"/>
                <w:szCs w:val="20"/>
              </w:rPr>
              <w:t>7.2</w:t>
            </w:r>
            <w:r w:rsidR="00E1403D" w:rsidRPr="00024188">
              <w:rPr>
                <w:rFonts w:ascii="Calibri" w:eastAsia="Calibri" w:hAnsi="Calibri" w:cs="Calibri"/>
                <w:color w:val="000000"/>
                <w:kern w:val="24"/>
                <w:sz w:val="20"/>
                <w:szCs w:val="20"/>
              </w:rPr>
              <w:t>%</w:t>
            </w:r>
          </w:p>
        </w:tc>
        <w:tc>
          <w:tcPr>
            <w:tcW w:w="1008" w:type="dxa"/>
            <w:vAlign w:val="center"/>
          </w:tcPr>
          <w:p w14:paraId="523FEFF1" w14:textId="17722437" w:rsidR="00E1403D" w:rsidRPr="00024188" w:rsidRDefault="00E1403D" w:rsidP="00E1403D">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9.8</w:t>
            </w:r>
            <w:r w:rsidRPr="00024188">
              <w:rPr>
                <w:rFonts w:ascii="Calibri" w:eastAsia="Calibri" w:hAnsi="Calibri" w:cs="Calibri"/>
                <w:color w:val="000000"/>
                <w:kern w:val="24"/>
                <w:sz w:val="20"/>
                <w:szCs w:val="20"/>
              </w:rPr>
              <w:t>%</w:t>
            </w:r>
          </w:p>
        </w:tc>
        <w:tc>
          <w:tcPr>
            <w:tcW w:w="864" w:type="dxa"/>
            <w:vAlign w:val="center"/>
          </w:tcPr>
          <w:p w14:paraId="79E4C24B" w14:textId="27BD39B3" w:rsidR="00E1403D" w:rsidRPr="00024188" w:rsidRDefault="00E1403D" w:rsidP="00E1403D">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27.7</w:t>
            </w:r>
            <w:r w:rsidRPr="00024188">
              <w:rPr>
                <w:rFonts w:ascii="Calibri" w:eastAsia="Calibri" w:hAnsi="Calibri" w:cs="Calibri"/>
                <w:color w:val="000000"/>
                <w:kern w:val="24"/>
                <w:sz w:val="20"/>
                <w:szCs w:val="20"/>
              </w:rPr>
              <w:t>%</w:t>
            </w:r>
          </w:p>
        </w:tc>
      </w:tr>
      <w:tr w:rsidR="00E1403D" w:rsidRPr="00B25DFD" w14:paraId="7E4A2AE4" w14:textId="77777777" w:rsidTr="00491B96">
        <w:trPr>
          <w:trHeight w:val="20"/>
        </w:trPr>
        <w:tc>
          <w:tcPr>
            <w:tcW w:w="2448" w:type="dxa"/>
            <w:vAlign w:val="center"/>
            <w:hideMark/>
          </w:tcPr>
          <w:p w14:paraId="62CA9D59" w14:textId="4E250FE5" w:rsidR="00E1403D" w:rsidRPr="00024188" w:rsidRDefault="00E1403D" w:rsidP="00E1403D">
            <w:pPr>
              <w:rPr>
                <w:rFonts w:cstheme="minorHAnsi"/>
                <w:sz w:val="20"/>
                <w:szCs w:val="20"/>
              </w:rPr>
            </w:pPr>
            <w:r w:rsidRPr="00024188">
              <w:rPr>
                <w:rFonts w:ascii="Calibri" w:eastAsia="Calibri" w:hAnsi="Calibri" w:cs="Calibri"/>
                <w:color w:val="000000"/>
                <w:kern w:val="24"/>
                <w:sz w:val="20"/>
                <w:szCs w:val="20"/>
              </w:rPr>
              <w:t>Specialty mushrooms</w:t>
            </w:r>
          </w:p>
        </w:tc>
        <w:tc>
          <w:tcPr>
            <w:tcW w:w="1168" w:type="dxa"/>
            <w:vAlign w:val="center"/>
            <w:hideMark/>
          </w:tcPr>
          <w:p w14:paraId="12033966" w14:textId="7795359C" w:rsidR="00E1403D" w:rsidRPr="00024188" w:rsidRDefault="00E1403D" w:rsidP="00E1403D">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7.1</w:t>
            </w:r>
            <w:r w:rsidRPr="00024188">
              <w:rPr>
                <w:rFonts w:ascii="Calibri" w:eastAsia="Calibri" w:hAnsi="Calibri" w:cs="Calibri"/>
                <w:color w:val="000000"/>
                <w:kern w:val="24"/>
                <w:sz w:val="20"/>
                <w:szCs w:val="20"/>
              </w:rPr>
              <w:t>M</w:t>
            </w:r>
          </w:p>
        </w:tc>
        <w:tc>
          <w:tcPr>
            <w:tcW w:w="882" w:type="dxa"/>
            <w:vAlign w:val="center"/>
          </w:tcPr>
          <w:p w14:paraId="20BDBE45" w14:textId="2EAAA1A6" w:rsidR="00E1403D" w:rsidRPr="00024188" w:rsidRDefault="00B6704F" w:rsidP="00E1403D">
            <w:pPr>
              <w:pStyle w:val="NoSpacing"/>
              <w:jc w:val="right"/>
              <w:rPr>
                <w:rFonts w:cstheme="minorHAnsi"/>
                <w:sz w:val="20"/>
                <w:szCs w:val="20"/>
              </w:rPr>
            </w:pPr>
            <w:r>
              <w:rPr>
                <w:rFonts w:ascii="Calibri" w:eastAsia="Calibri" w:hAnsi="Calibri" w:cs="Calibri"/>
                <w:color w:val="000000"/>
                <w:kern w:val="24"/>
                <w:sz w:val="20"/>
                <w:szCs w:val="20"/>
              </w:rPr>
              <w:t>6.5</w:t>
            </w:r>
            <w:r w:rsidR="00E1403D" w:rsidRPr="00024188">
              <w:rPr>
                <w:rFonts w:ascii="Calibri" w:eastAsia="Calibri" w:hAnsi="Calibri" w:cs="Calibri"/>
                <w:color w:val="000000"/>
                <w:kern w:val="24"/>
                <w:sz w:val="20"/>
                <w:szCs w:val="20"/>
              </w:rPr>
              <w:t>%</w:t>
            </w:r>
          </w:p>
        </w:tc>
        <w:tc>
          <w:tcPr>
            <w:tcW w:w="991" w:type="dxa"/>
            <w:vAlign w:val="center"/>
            <w:hideMark/>
          </w:tcPr>
          <w:p w14:paraId="2A392A18" w14:textId="3F30C1D9" w:rsidR="00E1403D" w:rsidRPr="00024188" w:rsidRDefault="00E1403D" w:rsidP="00E1403D">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7.4</w:t>
            </w:r>
            <w:r w:rsidRPr="00024188">
              <w:rPr>
                <w:rFonts w:ascii="Calibri" w:eastAsia="Calibri" w:hAnsi="Calibri" w:cs="Calibri"/>
                <w:color w:val="000000"/>
                <w:kern w:val="24"/>
                <w:sz w:val="20"/>
                <w:szCs w:val="20"/>
              </w:rPr>
              <w:t>%</w:t>
            </w:r>
          </w:p>
        </w:tc>
        <w:tc>
          <w:tcPr>
            <w:tcW w:w="972" w:type="dxa"/>
            <w:tcBorders>
              <w:right w:val="single" w:sz="4" w:space="0" w:color="auto"/>
            </w:tcBorders>
            <w:vAlign w:val="center"/>
            <w:hideMark/>
          </w:tcPr>
          <w:p w14:paraId="6E10AA11" w14:textId="2B7E7919" w:rsidR="00E1403D" w:rsidRPr="00024188" w:rsidRDefault="008B28CB" w:rsidP="00E1403D">
            <w:pPr>
              <w:pStyle w:val="NoSpacing"/>
              <w:jc w:val="right"/>
              <w:rPr>
                <w:rFonts w:cstheme="minorHAnsi"/>
                <w:sz w:val="20"/>
                <w:szCs w:val="20"/>
              </w:rPr>
            </w:pPr>
            <w:r>
              <w:rPr>
                <w:rFonts w:ascii="Calibri" w:eastAsia="Calibri" w:hAnsi="Calibri" w:cs="Calibri"/>
                <w:color w:val="000000"/>
                <w:kern w:val="24"/>
                <w:sz w:val="20"/>
                <w:szCs w:val="20"/>
              </w:rPr>
              <w:t>+6.9</w:t>
            </w:r>
            <w:r w:rsidR="00E1403D" w:rsidRPr="00024188">
              <w:rPr>
                <w:rFonts w:ascii="Calibri" w:eastAsia="Calibri" w:hAnsi="Calibri" w:cs="Calibri"/>
                <w:color w:val="000000"/>
                <w:kern w:val="24"/>
                <w:sz w:val="20"/>
                <w:szCs w:val="20"/>
              </w:rPr>
              <w:t>%</w:t>
            </w:r>
          </w:p>
        </w:tc>
        <w:tc>
          <w:tcPr>
            <w:tcW w:w="1152" w:type="dxa"/>
            <w:tcBorders>
              <w:top w:val="single" w:sz="4" w:space="0" w:color="DC2F02" w:themeColor="accent3"/>
              <w:left w:val="single" w:sz="4" w:space="0" w:color="auto"/>
              <w:bottom w:val="single" w:sz="4" w:space="0" w:color="DC2F02" w:themeColor="accent3"/>
            </w:tcBorders>
            <w:vAlign w:val="center"/>
          </w:tcPr>
          <w:p w14:paraId="105935BB" w14:textId="0BC1B1A8" w:rsidR="00E1403D" w:rsidRPr="00024188" w:rsidRDefault="00B6704F" w:rsidP="00E1403D">
            <w:pPr>
              <w:pStyle w:val="NoSpacing"/>
              <w:jc w:val="right"/>
              <w:rPr>
                <w:rFonts w:cstheme="minorHAnsi"/>
                <w:sz w:val="20"/>
                <w:szCs w:val="20"/>
              </w:rPr>
            </w:pPr>
            <w:r>
              <w:rPr>
                <w:rFonts w:ascii="Calibri" w:eastAsia="Calibri" w:hAnsi="Calibri" w:cs="Calibri"/>
                <w:color w:val="000000"/>
                <w:kern w:val="24"/>
                <w:sz w:val="20"/>
                <w:szCs w:val="20"/>
              </w:rPr>
              <w:t>0.5</w:t>
            </w:r>
            <w:r w:rsidR="00E1403D" w:rsidRPr="00024188">
              <w:rPr>
                <w:rFonts w:ascii="Calibri" w:eastAsia="Calibri" w:hAnsi="Calibri" w:cs="Calibri"/>
                <w:color w:val="000000"/>
                <w:kern w:val="24"/>
                <w:sz w:val="20"/>
                <w:szCs w:val="20"/>
              </w:rPr>
              <w:t>M</w:t>
            </w:r>
          </w:p>
        </w:tc>
        <w:tc>
          <w:tcPr>
            <w:tcW w:w="864" w:type="dxa"/>
            <w:vAlign w:val="center"/>
          </w:tcPr>
          <w:p w14:paraId="496EFB9C" w14:textId="2DC88313" w:rsidR="00E1403D" w:rsidRPr="00024188" w:rsidRDefault="00B6704F" w:rsidP="00E1403D">
            <w:pPr>
              <w:pStyle w:val="NoSpacing"/>
              <w:jc w:val="right"/>
              <w:rPr>
                <w:rFonts w:cstheme="minorHAnsi"/>
                <w:sz w:val="20"/>
                <w:szCs w:val="20"/>
              </w:rPr>
            </w:pPr>
            <w:r>
              <w:rPr>
                <w:rFonts w:ascii="Calibri" w:eastAsia="Calibri" w:hAnsi="Calibri" w:cs="Calibri"/>
                <w:color w:val="000000"/>
                <w:kern w:val="24"/>
                <w:sz w:val="20"/>
                <w:szCs w:val="20"/>
              </w:rPr>
              <w:t>2.0</w:t>
            </w:r>
            <w:r w:rsidR="00E1403D" w:rsidRPr="00024188">
              <w:rPr>
                <w:rFonts w:ascii="Calibri" w:eastAsia="Calibri" w:hAnsi="Calibri" w:cs="Calibri"/>
                <w:color w:val="000000"/>
                <w:kern w:val="24"/>
                <w:sz w:val="20"/>
                <w:szCs w:val="20"/>
              </w:rPr>
              <w:t>%</w:t>
            </w:r>
          </w:p>
        </w:tc>
        <w:tc>
          <w:tcPr>
            <w:tcW w:w="1008" w:type="dxa"/>
            <w:vAlign w:val="center"/>
          </w:tcPr>
          <w:p w14:paraId="41B75DBF" w14:textId="5B85745B" w:rsidR="00E1403D" w:rsidRPr="00024188" w:rsidRDefault="00E1403D" w:rsidP="00E1403D">
            <w:pPr>
              <w:pStyle w:val="NoSpacing"/>
              <w:jc w:val="right"/>
              <w:rPr>
                <w:rFonts w:cstheme="minorHAnsi"/>
                <w:sz w:val="20"/>
                <w:szCs w:val="20"/>
              </w:rPr>
            </w:pPr>
            <w:r>
              <w:rPr>
                <w:rFonts w:ascii="Calibri" w:eastAsia="Calibri" w:hAnsi="Calibri" w:cs="Calibri"/>
                <w:color w:val="000000"/>
                <w:kern w:val="24"/>
                <w:sz w:val="20"/>
                <w:szCs w:val="20"/>
              </w:rPr>
              <w:t>-</w:t>
            </w:r>
            <w:r w:rsidR="008B28CB">
              <w:rPr>
                <w:rFonts w:ascii="Calibri" w:eastAsia="Calibri" w:hAnsi="Calibri" w:cs="Calibri"/>
                <w:color w:val="000000"/>
                <w:kern w:val="24"/>
                <w:sz w:val="20"/>
                <w:szCs w:val="20"/>
              </w:rPr>
              <w:t>9.4</w:t>
            </w:r>
            <w:r w:rsidRPr="00024188">
              <w:rPr>
                <w:rFonts w:ascii="Calibri" w:eastAsia="Calibri" w:hAnsi="Calibri" w:cs="Calibri"/>
                <w:color w:val="000000"/>
                <w:kern w:val="24"/>
                <w:sz w:val="20"/>
                <w:szCs w:val="20"/>
              </w:rPr>
              <w:t>%</w:t>
            </w:r>
          </w:p>
        </w:tc>
        <w:tc>
          <w:tcPr>
            <w:tcW w:w="864" w:type="dxa"/>
            <w:vAlign w:val="center"/>
          </w:tcPr>
          <w:p w14:paraId="32944C91" w14:textId="57029881" w:rsidR="00E1403D" w:rsidRPr="00024188" w:rsidRDefault="008B28CB" w:rsidP="00E1403D">
            <w:pPr>
              <w:pStyle w:val="NoSpacing"/>
              <w:jc w:val="right"/>
              <w:rPr>
                <w:rFonts w:cstheme="minorHAnsi"/>
                <w:sz w:val="20"/>
                <w:szCs w:val="20"/>
              </w:rPr>
            </w:pPr>
            <w:r>
              <w:rPr>
                <w:rFonts w:ascii="Calibri" w:eastAsia="Calibri" w:hAnsi="Calibri" w:cs="Calibri"/>
                <w:color w:val="000000"/>
                <w:kern w:val="24"/>
                <w:sz w:val="20"/>
                <w:szCs w:val="20"/>
              </w:rPr>
              <w:t>+0.4</w:t>
            </w:r>
            <w:r w:rsidR="00E1403D" w:rsidRPr="00024188">
              <w:rPr>
                <w:rFonts w:ascii="Calibri" w:eastAsia="Calibri" w:hAnsi="Calibri" w:cs="Calibri"/>
                <w:color w:val="000000"/>
                <w:kern w:val="24"/>
                <w:sz w:val="20"/>
                <w:szCs w:val="20"/>
              </w:rPr>
              <w:t>%</w:t>
            </w:r>
          </w:p>
        </w:tc>
      </w:tr>
    </w:tbl>
    <w:bookmarkEnd w:id="1"/>
    <w:p w14:paraId="7E5C7352" w14:textId="53E07A4F" w:rsidR="00E25C6B" w:rsidRDefault="00E25C6B" w:rsidP="00E25C6B">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Pr>
          <w:color w:val="7F7F7F" w:themeColor="text1" w:themeTint="80"/>
          <w:sz w:val="16"/>
          <w:szCs w:val="16"/>
        </w:rPr>
        <w:t>Circana</w:t>
      </w:r>
      <w:proofErr w:type="spellEnd"/>
      <w:r w:rsidRPr="00555250">
        <w:rPr>
          <w:color w:val="7F7F7F" w:themeColor="text1" w:themeTint="80"/>
          <w:sz w:val="16"/>
          <w:szCs w:val="16"/>
        </w:rPr>
        <w:t xml:space="preserve">, Integrated Fresh, </w:t>
      </w:r>
      <w:r>
        <w:rPr>
          <w:color w:val="7F7F7F" w:themeColor="text1" w:themeTint="80"/>
          <w:sz w:val="16"/>
          <w:szCs w:val="16"/>
        </w:rPr>
        <w:t>MULO+</w:t>
      </w:r>
      <w:r w:rsidRPr="00555250">
        <w:rPr>
          <w:color w:val="7F7F7F" w:themeColor="text1" w:themeTint="80"/>
          <w:sz w:val="16"/>
          <w:szCs w:val="16"/>
        </w:rPr>
        <w:t xml:space="preserve">, </w:t>
      </w:r>
      <w:r>
        <w:rPr>
          <w:color w:val="7F7F7F" w:themeColor="text1" w:themeTint="80"/>
          <w:sz w:val="16"/>
          <w:szCs w:val="16"/>
        </w:rPr>
        <w:t>4</w:t>
      </w:r>
      <w:r w:rsidRPr="00555250">
        <w:rPr>
          <w:color w:val="7F7F7F" w:themeColor="text1" w:themeTint="80"/>
          <w:sz w:val="16"/>
          <w:szCs w:val="16"/>
        </w:rPr>
        <w:t xml:space="preserve"> weeks ending </w:t>
      </w:r>
      <w:r w:rsidR="009E592D">
        <w:rPr>
          <w:color w:val="7F7F7F" w:themeColor="text1" w:themeTint="80"/>
          <w:sz w:val="16"/>
          <w:szCs w:val="16"/>
        </w:rPr>
        <w:t>5/18</w:t>
      </w:r>
      <w:r w:rsidR="000F7C27">
        <w:rPr>
          <w:color w:val="7F7F7F" w:themeColor="text1" w:themeTint="80"/>
          <w:sz w:val="16"/>
          <w:szCs w:val="16"/>
        </w:rPr>
        <w:t>/2025</w:t>
      </w:r>
    </w:p>
    <w:p w14:paraId="3F28C401" w14:textId="77777777" w:rsidR="00481440" w:rsidRDefault="00481440" w:rsidP="005E7FB2">
      <w:pPr>
        <w:pStyle w:val="NoSpacing"/>
      </w:pPr>
    </w:p>
    <w:p w14:paraId="14458122" w14:textId="2AD876FF" w:rsidR="000E0D6B" w:rsidRDefault="00983B89" w:rsidP="005E7FB2">
      <w:pPr>
        <w:pStyle w:val="NoSpacing"/>
      </w:pPr>
      <w:r>
        <w:t>Quad</w:t>
      </w:r>
      <w:r w:rsidR="003E2D02">
        <w:t xml:space="preserve"> </w:t>
      </w:r>
      <w:r>
        <w:t xml:space="preserve">week </w:t>
      </w:r>
      <w:r w:rsidR="006F7442">
        <w:t>five</w:t>
      </w:r>
      <w:r w:rsidR="00DA7A8D">
        <w:t xml:space="preserve"> </w:t>
      </w:r>
      <w:r w:rsidR="003E2D02">
        <w:t xml:space="preserve">is </w:t>
      </w:r>
      <w:r>
        <w:t xml:space="preserve">historically </w:t>
      </w:r>
      <w:r w:rsidR="00DA7A8D">
        <w:t xml:space="preserve">among the </w:t>
      </w:r>
      <w:r>
        <w:t>seven reporting periods in which volume declines in comparison to the prior quad</w:t>
      </w:r>
      <w:r w:rsidR="003E2D02">
        <w:t xml:space="preserve"> </w:t>
      </w:r>
      <w:r>
        <w:t xml:space="preserve">week. Period-over-period decreases have ranged from about </w:t>
      </w:r>
      <w:r w:rsidR="007629E3">
        <w:t>2</w:t>
      </w:r>
      <w:r>
        <w:t xml:space="preserve">% to </w:t>
      </w:r>
      <w:r w:rsidR="007629E3">
        <w:t>4</w:t>
      </w:r>
      <w:r>
        <w:t>% in the past decade</w:t>
      </w:r>
      <w:r w:rsidR="003E2D02">
        <w:t xml:space="preserve"> (the </w:t>
      </w:r>
      <w:r w:rsidR="003E2D02">
        <w:lastRenderedPageBreak/>
        <w:t xml:space="preserve">pandemic year excepted). This year, quad week </w:t>
      </w:r>
      <w:r w:rsidR="00C33004">
        <w:t>four</w:t>
      </w:r>
      <w:r w:rsidR="003E2D02">
        <w:t xml:space="preserve"> f</w:t>
      </w:r>
      <w:r w:rsidR="00E1403D">
        <w:t xml:space="preserve">resh mushroom pounds dropped </w:t>
      </w:r>
      <w:r w:rsidR="007629E3">
        <w:t>5.5</w:t>
      </w:r>
      <w:r w:rsidR="003E2D02">
        <w:t xml:space="preserve">% compared to quad week </w:t>
      </w:r>
      <w:r w:rsidR="007629E3">
        <w:t>four</w:t>
      </w:r>
      <w:r w:rsidR="003E2D02">
        <w:t>. The forecast tab shows the project</w:t>
      </w:r>
      <w:r w:rsidR="00C33004">
        <w:t>ions for quad week</w:t>
      </w:r>
      <w:r w:rsidR="00116655">
        <w:t xml:space="preserve"> five</w:t>
      </w:r>
      <w:r w:rsidR="00C33004">
        <w:t xml:space="preserve">, at </w:t>
      </w:r>
      <w:r w:rsidR="00A05D7D">
        <w:t>23</w:t>
      </w:r>
      <w:r w:rsidR="006F7442">
        <w:t xml:space="preserve"> </w:t>
      </w:r>
      <w:r w:rsidR="003E2D02">
        <w:t xml:space="preserve">million pounds. </w:t>
      </w:r>
    </w:p>
    <w:p w14:paraId="10A894BF" w14:textId="77777777" w:rsidR="005E7FB2" w:rsidRPr="00E72D31" w:rsidRDefault="005E7FB2" w:rsidP="005E7FB2">
      <w:pPr>
        <w:pStyle w:val="NoSpacing"/>
        <w:rPr>
          <w:sz w:val="10"/>
          <w:szCs w:val="10"/>
        </w:rPr>
      </w:pPr>
    </w:p>
    <w:tbl>
      <w:tblPr>
        <w:tblpPr w:leftFromText="141" w:rightFromText="141" w:vertAnchor="text" w:tblpY="1"/>
        <w:tblOverlap w:val="never"/>
        <w:tblW w:w="10253" w:type="dxa"/>
        <w:tblCellMar>
          <w:left w:w="70" w:type="dxa"/>
          <w:right w:w="70" w:type="dxa"/>
        </w:tblCellMar>
        <w:tblLook w:val="04A0" w:firstRow="1" w:lastRow="0" w:firstColumn="1" w:lastColumn="0" w:noHBand="0" w:noVBand="1"/>
      </w:tblPr>
      <w:tblGrid>
        <w:gridCol w:w="1413"/>
        <w:gridCol w:w="680"/>
        <w:gridCol w:w="680"/>
        <w:gridCol w:w="680"/>
        <w:gridCol w:w="680"/>
        <w:gridCol w:w="680"/>
        <w:gridCol w:w="680"/>
        <w:gridCol w:w="680"/>
        <w:gridCol w:w="680"/>
        <w:gridCol w:w="680"/>
        <w:gridCol w:w="680"/>
        <w:gridCol w:w="680"/>
        <w:gridCol w:w="680"/>
        <w:gridCol w:w="680"/>
      </w:tblGrid>
      <w:tr w:rsidR="005E7FB2" w:rsidRPr="005E7FB2" w14:paraId="552B7DD4" w14:textId="77777777" w:rsidTr="00D3797F">
        <w:trPr>
          <w:trHeight w:val="545"/>
        </w:trPr>
        <w:tc>
          <w:tcPr>
            <w:tcW w:w="1413" w:type="dxa"/>
            <w:tcBorders>
              <w:top w:val="single" w:sz="4" w:space="0" w:color="auto"/>
              <w:left w:val="single" w:sz="4" w:space="0" w:color="auto"/>
              <w:bottom w:val="single" w:sz="4" w:space="0" w:color="auto"/>
              <w:right w:val="single" w:sz="4" w:space="0" w:color="auto"/>
            </w:tcBorders>
            <w:shd w:val="clear" w:color="auto" w:fill="800000"/>
            <w:hideMark/>
          </w:tcPr>
          <w:p w14:paraId="54AA7F04" w14:textId="77777777" w:rsidR="005E7FB2" w:rsidRPr="00D3797F" w:rsidRDefault="005E7FB2" w:rsidP="005E7FB2">
            <w:pPr>
              <w:spacing w:after="0" w:line="240" w:lineRule="auto"/>
              <w:rPr>
                <w:rFonts w:eastAsia="Times New Roman" w:cstheme="minorHAnsi"/>
                <w:b/>
                <w:bCs/>
                <w:color w:val="FFFFFF" w:themeColor="background1"/>
                <w:sz w:val="16"/>
                <w:szCs w:val="16"/>
                <w:lang w:val="en-GB" w:eastAsia="nl-NL"/>
              </w:rPr>
            </w:pPr>
            <w:r w:rsidRPr="00D3797F">
              <w:rPr>
                <w:rFonts w:eastAsia="Times New Roman" w:cstheme="minorHAnsi"/>
                <w:b/>
                <w:bCs/>
                <w:color w:val="FFFFFF" w:themeColor="background1"/>
                <w:sz w:val="16"/>
                <w:szCs w:val="16"/>
                <w:lang w:val="en-GB" w:eastAsia="nl-NL"/>
              </w:rPr>
              <w:t>Pound growth rates versus PRIOR PERIOD</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2BD79E2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09DB5F58"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2</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3FE55B48"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3</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CEBA85B"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4</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7A684AC"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5</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2A3C9D9E"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6</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727775C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7</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6BEE937B"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8</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3A9CD271"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9</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2D41FD2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10</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799EC01"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11</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46FFC199"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12</w:t>
            </w:r>
          </w:p>
        </w:tc>
        <w:tc>
          <w:tcPr>
            <w:tcW w:w="680" w:type="dxa"/>
            <w:tcBorders>
              <w:top w:val="single" w:sz="4" w:space="0" w:color="auto"/>
              <w:left w:val="nil"/>
              <w:bottom w:val="single" w:sz="4" w:space="0" w:color="auto"/>
              <w:right w:val="single" w:sz="4" w:space="0" w:color="auto"/>
            </w:tcBorders>
            <w:shd w:val="clear" w:color="auto" w:fill="800000"/>
            <w:vAlign w:val="center"/>
            <w:hideMark/>
          </w:tcPr>
          <w:p w14:paraId="5CB2DF40" w14:textId="77777777" w:rsidR="005E7FB2" w:rsidRPr="00D3797F" w:rsidRDefault="005E7FB2" w:rsidP="005E7FB2">
            <w:pPr>
              <w:spacing w:after="0" w:line="240" w:lineRule="auto"/>
              <w:jc w:val="center"/>
              <w:rPr>
                <w:rFonts w:eastAsia="Times New Roman" w:cstheme="minorHAnsi"/>
                <w:b/>
                <w:bCs/>
                <w:color w:val="FFFFFF" w:themeColor="background1"/>
                <w:sz w:val="16"/>
                <w:szCs w:val="16"/>
                <w:lang w:val="nl-NL" w:eastAsia="nl-NL"/>
              </w:rPr>
            </w:pPr>
            <w:r w:rsidRPr="00D3797F">
              <w:rPr>
                <w:rFonts w:eastAsia="Times New Roman" w:cstheme="minorHAnsi"/>
                <w:b/>
                <w:bCs/>
                <w:color w:val="FFFFFF" w:themeColor="background1"/>
                <w:sz w:val="16"/>
                <w:szCs w:val="16"/>
                <w:lang w:val="nl-NL" w:eastAsia="nl-NL"/>
              </w:rPr>
              <w:t>Quad week 13</w:t>
            </w:r>
          </w:p>
        </w:tc>
      </w:tr>
      <w:tr w:rsidR="0022081A" w:rsidRPr="005E7FB2" w14:paraId="6700F574" w14:textId="77777777" w:rsidTr="0090384F">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871738" w14:textId="44F8C944"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2017</w:t>
            </w:r>
          </w:p>
        </w:tc>
        <w:tc>
          <w:tcPr>
            <w:tcW w:w="680" w:type="dxa"/>
            <w:tcBorders>
              <w:top w:val="nil"/>
              <w:left w:val="nil"/>
              <w:bottom w:val="single" w:sz="4" w:space="0" w:color="auto"/>
              <w:right w:val="single" w:sz="4" w:space="0" w:color="auto"/>
            </w:tcBorders>
            <w:shd w:val="clear" w:color="000000" w:fill="C4D79B"/>
            <w:noWrap/>
            <w:vAlign w:val="bottom"/>
            <w:hideMark/>
          </w:tcPr>
          <w:p w14:paraId="599273B8" w14:textId="2769A82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E6B8B7"/>
            <w:noWrap/>
            <w:vAlign w:val="bottom"/>
            <w:hideMark/>
          </w:tcPr>
          <w:p w14:paraId="626E3269" w14:textId="1BD4C9C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-1.5%</w:t>
            </w:r>
          </w:p>
        </w:tc>
        <w:tc>
          <w:tcPr>
            <w:tcW w:w="680" w:type="dxa"/>
            <w:tcBorders>
              <w:top w:val="nil"/>
              <w:left w:val="nil"/>
              <w:bottom w:val="single" w:sz="4" w:space="0" w:color="auto"/>
              <w:right w:val="single" w:sz="4" w:space="0" w:color="auto"/>
            </w:tcBorders>
            <w:shd w:val="clear" w:color="000000" w:fill="E6B8B7"/>
            <w:noWrap/>
            <w:vAlign w:val="bottom"/>
            <w:hideMark/>
          </w:tcPr>
          <w:p w14:paraId="3890BFE9" w14:textId="512E1B8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E6B8B7"/>
            <w:noWrap/>
            <w:vAlign w:val="bottom"/>
            <w:hideMark/>
          </w:tcPr>
          <w:p w14:paraId="241F185A" w14:textId="5F88FDB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-1.8%</w:t>
            </w:r>
          </w:p>
        </w:tc>
        <w:tc>
          <w:tcPr>
            <w:tcW w:w="680" w:type="dxa"/>
            <w:tcBorders>
              <w:top w:val="nil"/>
              <w:left w:val="nil"/>
              <w:bottom w:val="single" w:sz="4" w:space="0" w:color="auto"/>
              <w:right w:val="single" w:sz="4" w:space="0" w:color="auto"/>
            </w:tcBorders>
            <w:shd w:val="clear" w:color="000000" w:fill="DA9694"/>
            <w:noWrap/>
            <w:vAlign w:val="bottom"/>
            <w:hideMark/>
          </w:tcPr>
          <w:p w14:paraId="57F5EBD7" w14:textId="6F16CC6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DA9694"/>
            <w:noWrap/>
            <w:vAlign w:val="bottom"/>
            <w:hideMark/>
          </w:tcPr>
          <w:p w14:paraId="10658B53" w14:textId="6431DAB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-3.5%</w:t>
            </w:r>
          </w:p>
        </w:tc>
        <w:tc>
          <w:tcPr>
            <w:tcW w:w="680" w:type="dxa"/>
            <w:tcBorders>
              <w:top w:val="nil"/>
              <w:left w:val="nil"/>
              <w:bottom w:val="single" w:sz="4" w:space="0" w:color="auto"/>
              <w:right w:val="single" w:sz="4" w:space="0" w:color="auto"/>
            </w:tcBorders>
            <w:shd w:val="clear" w:color="000000" w:fill="E6B8B7"/>
            <w:noWrap/>
            <w:vAlign w:val="bottom"/>
            <w:hideMark/>
          </w:tcPr>
          <w:p w14:paraId="229E9811" w14:textId="0E7D3E4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F2DCDB"/>
            <w:noWrap/>
            <w:vAlign w:val="bottom"/>
            <w:hideMark/>
          </w:tcPr>
          <w:p w14:paraId="393C7E65" w14:textId="7A39F21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8E4BC"/>
            <w:noWrap/>
            <w:vAlign w:val="bottom"/>
            <w:hideMark/>
          </w:tcPr>
          <w:p w14:paraId="60C9C7B3" w14:textId="22CDEED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D8E4BC"/>
            <w:noWrap/>
            <w:vAlign w:val="bottom"/>
            <w:hideMark/>
          </w:tcPr>
          <w:p w14:paraId="37FF0428" w14:textId="0E897EA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1.5%</w:t>
            </w:r>
          </w:p>
        </w:tc>
        <w:tc>
          <w:tcPr>
            <w:tcW w:w="680" w:type="dxa"/>
            <w:tcBorders>
              <w:top w:val="nil"/>
              <w:left w:val="nil"/>
              <w:bottom w:val="single" w:sz="4" w:space="0" w:color="auto"/>
              <w:right w:val="single" w:sz="4" w:space="0" w:color="auto"/>
            </w:tcBorders>
            <w:shd w:val="clear" w:color="auto" w:fill="D8E4BC"/>
            <w:noWrap/>
            <w:vAlign w:val="bottom"/>
            <w:hideMark/>
          </w:tcPr>
          <w:p w14:paraId="4D4F3C1C" w14:textId="2BC57DA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1.4%</w:t>
            </w:r>
          </w:p>
        </w:tc>
        <w:tc>
          <w:tcPr>
            <w:tcW w:w="680" w:type="dxa"/>
            <w:tcBorders>
              <w:top w:val="nil"/>
              <w:left w:val="nil"/>
              <w:bottom w:val="single" w:sz="4" w:space="0" w:color="auto"/>
              <w:right w:val="single" w:sz="4" w:space="0" w:color="auto"/>
            </w:tcBorders>
            <w:shd w:val="clear" w:color="000000" w:fill="C4D79B"/>
            <w:noWrap/>
            <w:vAlign w:val="bottom"/>
            <w:hideMark/>
          </w:tcPr>
          <w:p w14:paraId="73C1E63F" w14:textId="63C2B643"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7.9%</w:t>
            </w:r>
          </w:p>
        </w:tc>
        <w:tc>
          <w:tcPr>
            <w:tcW w:w="680" w:type="dxa"/>
            <w:tcBorders>
              <w:top w:val="nil"/>
              <w:left w:val="nil"/>
              <w:bottom w:val="single" w:sz="4" w:space="0" w:color="auto"/>
              <w:right w:val="single" w:sz="4" w:space="0" w:color="auto"/>
            </w:tcBorders>
            <w:shd w:val="clear" w:color="000000" w:fill="C4D79B"/>
            <w:noWrap/>
            <w:vAlign w:val="bottom"/>
            <w:hideMark/>
          </w:tcPr>
          <w:p w14:paraId="70AAE430" w14:textId="39CB6A3B"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7.3%</w:t>
            </w:r>
          </w:p>
        </w:tc>
      </w:tr>
      <w:tr w:rsidR="0022081A" w:rsidRPr="005E7FB2" w14:paraId="26A9F9D1" w14:textId="77777777" w:rsidTr="00B07D7F">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D55243" w14:textId="4FEEA250"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2018</w:t>
            </w:r>
          </w:p>
        </w:tc>
        <w:tc>
          <w:tcPr>
            <w:tcW w:w="680" w:type="dxa"/>
            <w:tcBorders>
              <w:top w:val="nil"/>
              <w:left w:val="nil"/>
              <w:bottom w:val="single" w:sz="4" w:space="0" w:color="auto"/>
              <w:right w:val="single" w:sz="4" w:space="0" w:color="auto"/>
            </w:tcBorders>
            <w:shd w:val="clear" w:color="000000" w:fill="C4D79B"/>
            <w:noWrap/>
            <w:vAlign w:val="bottom"/>
            <w:hideMark/>
          </w:tcPr>
          <w:p w14:paraId="54C19620" w14:textId="741DDAFD"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1.1%</w:t>
            </w:r>
          </w:p>
        </w:tc>
        <w:tc>
          <w:tcPr>
            <w:tcW w:w="680" w:type="dxa"/>
            <w:tcBorders>
              <w:top w:val="nil"/>
              <w:left w:val="nil"/>
              <w:bottom w:val="single" w:sz="4" w:space="0" w:color="auto"/>
              <w:right w:val="single" w:sz="4" w:space="0" w:color="auto"/>
            </w:tcBorders>
            <w:shd w:val="clear" w:color="000000" w:fill="DA9694"/>
            <w:noWrap/>
            <w:vAlign w:val="bottom"/>
            <w:hideMark/>
          </w:tcPr>
          <w:p w14:paraId="21A935E6" w14:textId="644FD17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-3.3%</w:t>
            </w:r>
          </w:p>
        </w:tc>
        <w:tc>
          <w:tcPr>
            <w:tcW w:w="680" w:type="dxa"/>
            <w:tcBorders>
              <w:top w:val="nil"/>
              <w:left w:val="nil"/>
              <w:bottom w:val="single" w:sz="4" w:space="0" w:color="auto"/>
              <w:right w:val="single" w:sz="4" w:space="0" w:color="auto"/>
            </w:tcBorders>
            <w:shd w:val="clear" w:color="000000" w:fill="F2DCDB"/>
            <w:noWrap/>
            <w:vAlign w:val="bottom"/>
            <w:hideMark/>
          </w:tcPr>
          <w:p w14:paraId="73857E16" w14:textId="4E28556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-0.9%</w:t>
            </w:r>
          </w:p>
        </w:tc>
        <w:tc>
          <w:tcPr>
            <w:tcW w:w="680" w:type="dxa"/>
            <w:tcBorders>
              <w:top w:val="nil"/>
              <w:left w:val="nil"/>
              <w:bottom w:val="single" w:sz="4" w:space="0" w:color="auto"/>
              <w:right w:val="single" w:sz="4" w:space="0" w:color="auto"/>
            </w:tcBorders>
            <w:shd w:val="clear" w:color="000000" w:fill="DA9694"/>
            <w:noWrap/>
            <w:vAlign w:val="bottom"/>
            <w:hideMark/>
          </w:tcPr>
          <w:p w14:paraId="63430169" w14:textId="19E3229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E6B8B7"/>
            <w:noWrap/>
            <w:vAlign w:val="bottom"/>
            <w:hideMark/>
          </w:tcPr>
          <w:p w14:paraId="1C99F6E2" w14:textId="21A9C7E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DA9694"/>
            <w:noWrap/>
            <w:vAlign w:val="bottom"/>
            <w:hideMark/>
          </w:tcPr>
          <w:p w14:paraId="59A0F87E" w14:textId="264A0EB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-3.8%</w:t>
            </w:r>
          </w:p>
        </w:tc>
        <w:tc>
          <w:tcPr>
            <w:tcW w:w="680" w:type="dxa"/>
            <w:tcBorders>
              <w:top w:val="nil"/>
              <w:left w:val="nil"/>
              <w:bottom w:val="single" w:sz="4" w:space="0" w:color="auto"/>
              <w:right w:val="single" w:sz="4" w:space="0" w:color="auto"/>
            </w:tcBorders>
            <w:shd w:val="clear" w:color="000000" w:fill="DA9694"/>
            <w:noWrap/>
            <w:vAlign w:val="bottom"/>
            <w:hideMark/>
          </w:tcPr>
          <w:p w14:paraId="0F69E30D" w14:textId="33A7B78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-3.4%</w:t>
            </w:r>
          </w:p>
        </w:tc>
        <w:tc>
          <w:tcPr>
            <w:tcW w:w="680" w:type="dxa"/>
            <w:tcBorders>
              <w:top w:val="nil"/>
              <w:left w:val="nil"/>
              <w:bottom w:val="single" w:sz="4" w:space="0" w:color="auto"/>
              <w:right w:val="single" w:sz="4" w:space="0" w:color="auto"/>
            </w:tcBorders>
            <w:shd w:val="clear" w:color="000000" w:fill="E6B8B7"/>
            <w:noWrap/>
            <w:vAlign w:val="bottom"/>
            <w:hideMark/>
          </w:tcPr>
          <w:p w14:paraId="6C382510" w14:textId="27EBF64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auto" w:fill="C4D79B"/>
            <w:noWrap/>
            <w:vAlign w:val="bottom"/>
            <w:hideMark/>
          </w:tcPr>
          <w:p w14:paraId="40F2D19F" w14:textId="6265E2E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2.9%</w:t>
            </w:r>
          </w:p>
        </w:tc>
        <w:tc>
          <w:tcPr>
            <w:tcW w:w="680" w:type="dxa"/>
            <w:tcBorders>
              <w:top w:val="nil"/>
              <w:left w:val="nil"/>
              <w:bottom w:val="single" w:sz="4" w:space="0" w:color="auto"/>
              <w:right w:val="single" w:sz="4" w:space="0" w:color="auto"/>
            </w:tcBorders>
            <w:shd w:val="clear" w:color="000000" w:fill="D8E4BC"/>
            <w:noWrap/>
            <w:vAlign w:val="bottom"/>
            <w:hideMark/>
          </w:tcPr>
          <w:p w14:paraId="3E608F83" w14:textId="28AC80C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1.7%</w:t>
            </w:r>
          </w:p>
        </w:tc>
        <w:tc>
          <w:tcPr>
            <w:tcW w:w="680" w:type="dxa"/>
            <w:tcBorders>
              <w:top w:val="nil"/>
              <w:left w:val="nil"/>
              <w:bottom w:val="single" w:sz="4" w:space="0" w:color="auto"/>
              <w:right w:val="single" w:sz="4" w:space="0" w:color="auto"/>
            </w:tcBorders>
            <w:shd w:val="clear" w:color="auto" w:fill="EBF1DE"/>
            <w:noWrap/>
            <w:vAlign w:val="bottom"/>
            <w:hideMark/>
          </w:tcPr>
          <w:p w14:paraId="196E6AC3" w14:textId="05BAC47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0.4%</w:t>
            </w:r>
          </w:p>
        </w:tc>
        <w:tc>
          <w:tcPr>
            <w:tcW w:w="680" w:type="dxa"/>
            <w:tcBorders>
              <w:top w:val="nil"/>
              <w:left w:val="nil"/>
              <w:bottom w:val="single" w:sz="4" w:space="0" w:color="auto"/>
              <w:right w:val="single" w:sz="4" w:space="0" w:color="auto"/>
            </w:tcBorders>
            <w:shd w:val="clear" w:color="000000" w:fill="C4D79B"/>
            <w:noWrap/>
            <w:vAlign w:val="bottom"/>
            <w:hideMark/>
          </w:tcPr>
          <w:p w14:paraId="3C0269F8" w14:textId="20228B40"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9.4%</w:t>
            </w:r>
          </w:p>
        </w:tc>
        <w:tc>
          <w:tcPr>
            <w:tcW w:w="680" w:type="dxa"/>
            <w:tcBorders>
              <w:top w:val="nil"/>
              <w:left w:val="nil"/>
              <w:bottom w:val="single" w:sz="4" w:space="0" w:color="auto"/>
              <w:right w:val="single" w:sz="4" w:space="0" w:color="auto"/>
            </w:tcBorders>
            <w:shd w:val="clear" w:color="000000" w:fill="C4D79B"/>
            <w:noWrap/>
            <w:vAlign w:val="bottom"/>
            <w:hideMark/>
          </w:tcPr>
          <w:p w14:paraId="43A83299" w14:textId="33C1E1CF"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4.1%</w:t>
            </w:r>
          </w:p>
        </w:tc>
      </w:tr>
      <w:tr w:rsidR="0022081A" w:rsidRPr="005E7FB2" w14:paraId="765FD8B7" w14:textId="77777777" w:rsidTr="00B07D7F">
        <w:trPr>
          <w:trHeight w:val="27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E17F6C" w14:textId="2285FC46" w:rsidR="0022081A" w:rsidRPr="0022081A" w:rsidRDefault="0022081A" w:rsidP="0022081A">
            <w:pPr>
              <w:spacing w:after="0" w:line="240" w:lineRule="auto"/>
              <w:rPr>
                <w:rFonts w:eastAsia="Times New Roman" w:cstheme="minorHAnsi"/>
                <w:b/>
                <w:bCs/>
                <w:color w:val="000000"/>
                <w:sz w:val="16"/>
                <w:szCs w:val="16"/>
                <w:lang w:val="nl-NL" w:eastAsia="nl-NL"/>
              </w:rPr>
            </w:pPr>
            <w:r w:rsidRPr="0022081A">
              <w:rPr>
                <w:rFonts w:cstheme="minorHAnsi"/>
                <w:b/>
                <w:bCs/>
                <w:color w:val="000000"/>
                <w:sz w:val="16"/>
                <w:szCs w:val="16"/>
              </w:rPr>
              <w:t>2019</w:t>
            </w:r>
          </w:p>
        </w:tc>
        <w:tc>
          <w:tcPr>
            <w:tcW w:w="680" w:type="dxa"/>
            <w:tcBorders>
              <w:top w:val="nil"/>
              <w:left w:val="nil"/>
              <w:bottom w:val="single" w:sz="4" w:space="0" w:color="auto"/>
              <w:right w:val="single" w:sz="4" w:space="0" w:color="auto"/>
            </w:tcBorders>
            <w:shd w:val="clear" w:color="000000" w:fill="C4D79B"/>
            <w:noWrap/>
            <w:vAlign w:val="bottom"/>
            <w:hideMark/>
          </w:tcPr>
          <w:p w14:paraId="22E22A6D" w14:textId="6EB8996A"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6.6%</w:t>
            </w:r>
          </w:p>
        </w:tc>
        <w:tc>
          <w:tcPr>
            <w:tcW w:w="680" w:type="dxa"/>
            <w:tcBorders>
              <w:top w:val="nil"/>
              <w:left w:val="nil"/>
              <w:bottom w:val="single" w:sz="4" w:space="0" w:color="auto"/>
              <w:right w:val="single" w:sz="4" w:space="0" w:color="auto"/>
            </w:tcBorders>
            <w:shd w:val="clear" w:color="000000" w:fill="DA9694"/>
            <w:noWrap/>
            <w:vAlign w:val="bottom"/>
            <w:hideMark/>
          </w:tcPr>
          <w:p w14:paraId="5982696B" w14:textId="1C81D997"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-4.4%</w:t>
            </w:r>
          </w:p>
        </w:tc>
        <w:tc>
          <w:tcPr>
            <w:tcW w:w="680" w:type="dxa"/>
            <w:tcBorders>
              <w:top w:val="nil"/>
              <w:left w:val="nil"/>
              <w:bottom w:val="single" w:sz="4" w:space="0" w:color="auto"/>
              <w:right w:val="single" w:sz="4" w:space="0" w:color="auto"/>
            </w:tcBorders>
            <w:shd w:val="clear" w:color="000000" w:fill="E6B8B7"/>
            <w:noWrap/>
            <w:vAlign w:val="bottom"/>
            <w:hideMark/>
          </w:tcPr>
          <w:p w14:paraId="7B131532" w14:textId="5FE7E180"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-2.9%</w:t>
            </w:r>
          </w:p>
        </w:tc>
        <w:tc>
          <w:tcPr>
            <w:tcW w:w="680" w:type="dxa"/>
            <w:tcBorders>
              <w:top w:val="nil"/>
              <w:left w:val="nil"/>
              <w:bottom w:val="single" w:sz="4" w:space="0" w:color="auto"/>
              <w:right w:val="single" w:sz="4" w:space="0" w:color="auto"/>
            </w:tcBorders>
            <w:shd w:val="clear" w:color="000000" w:fill="E6B8B7"/>
            <w:noWrap/>
            <w:vAlign w:val="bottom"/>
            <w:hideMark/>
          </w:tcPr>
          <w:p w14:paraId="26210B83" w14:textId="167DB0BC"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-1.1%</w:t>
            </w:r>
          </w:p>
        </w:tc>
        <w:tc>
          <w:tcPr>
            <w:tcW w:w="680" w:type="dxa"/>
            <w:tcBorders>
              <w:top w:val="nil"/>
              <w:left w:val="nil"/>
              <w:bottom w:val="single" w:sz="4" w:space="0" w:color="auto"/>
              <w:right w:val="single" w:sz="4" w:space="0" w:color="auto"/>
            </w:tcBorders>
            <w:shd w:val="clear" w:color="000000" w:fill="DA9694"/>
            <w:noWrap/>
            <w:vAlign w:val="bottom"/>
            <w:hideMark/>
          </w:tcPr>
          <w:p w14:paraId="5CC36D3D" w14:textId="4E5AC97D"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-2.9%</w:t>
            </w:r>
          </w:p>
        </w:tc>
        <w:tc>
          <w:tcPr>
            <w:tcW w:w="680" w:type="dxa"/>
            <w:tcBorders>
              <w:top w:val="nil"/>
              <w:left w:val="nil"/>
              <w:bottom w:val="single" w:sz="4" w:space="0" w:color="auto"/>
              <w:right w:val="single" w:sz="4" w:space="0" w:color="auto"/>
            </w:tcBorders>
            <w:shd w:val="clear" w:color="000000" w:fill="DA9694"/>
            <w:noWrap/>
            <w:vAlign w:val="bottom"/>
            <w:hideMark/>
          </w:tcPr>
          <w:p w14:paraId="5042B665" w14:textId="28D3157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-3.1%</w:t>
            </w:r>
          </w:p>
        </w:tc>
        <w:tc>
          <w:tcPr>
            <w:tcW w:w="680" w:type="dxa"/>
            <w:tcBorders>
              <w:top w:val="nil"/>
              <w:left w:val="nil"/>
              <w:bottom w:val="single" w:sz="4" w:space="0" w:color="auto"/>
              <w:right w:val="single" w:sz="4" w:space="0" w:color="auto"/>
            </w:tcBorders>
            <w:shd w:val="clear" w:color="000000" w:fill="E6B8B7"/>
            <w:noWrap/>
            <w:vAlign w:val="bottom"/>
            <w:hideMark/>
          </w:tcPr>
          <w:p w14:paraId="2A5C167C" w14:textId="37A7675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-3.9%</w:t>
            </w:r>
          </w:p>
        </w:tc>
        <w:tc>
          <w:tcPr>
            <w:tcW w:w="680" w:type="dxa"/>
            <w:tcBorders>
              <w:top w:val="nil"/>
              <w:left w:val="nil"/>
              <w:bottom w:val="single" w:sz="4" w:space="0" w:color="auto"/>
              <w:right w:val="single" w:sz="4" w:space="0" w:color="auto"/>
            </w:tcBorders>
            <w:shd w:val="clear" w:color="000000" w:fill="E6B8B7"/>
            <w:noWrap/>
            <w:vAlign w:val="bottom"/>
            <w:hideMark/>
          </w:tcPr>
          <w:p w14:paraId="29D76C10" w14:textId="14A8BC54"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-2.4%</w:t>
            </w:r>
          </w:p>
        </w:tc>
        <w:tc>
          <w:tcPr>
            <w:tcW w:w="680" w:type="dxa"/>
            <w:tcBorders>
              <w:top w:val="nil"/>
              <w:left w:val="nil"/>
              <w:bottom w:val="single" w:sz="4" w:space="0" w:color="auto"/>
              <w:right w:val="single" w:sz="4" w:space="0" w:color="auto"/>
            </w:tcBorders>
            <w:shd w:val="clear" w:color="auto" w:fill="C4D79B"/>
            <w:noWrap/>
            <w:vAlign w:val="bottom"/>
            <w:hideMark/>
          </w:tcPr>
          <w:p w14:paraId="4859738F" w14:textId="44D8F36D"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3.4%</w:t>
            </w:r>
          </w:p>
        </w:tc>
        <w:tc>
          <w:tcPr>
            <w:tcW w:w="680" w:type="dxa"/>
            <w:tcBorders>
              <w:top w:val="nil"/>
              <w:left w:val="nil"/>
              <w:bottom w:val="single" w:sz="4" w:space="0" w:color="auto"/>
              <w:right w:val="single" w:sz="4" w:space="0" w:color="auto"/>
            </w:tcBorders>
            <w:shd w:val="clear" w:color="auto" w:fill="EBF1DE"/>
            <w:noWrap/>
            <w:vAlign w:val="bottom"/>
            <w:hideMark/>
          </w:tcPr>
          <w:p w14:paraId="2AB3154F" w14:textId="50FF31E4"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0.9%</w:t>
            </w:r>
          </w:p>
        </w:tc>
        <w:tc>
          <w:tcPr>
            <w:tcW w:w="680" w:type="dxa"/>
            <w:tcBorders>
              <w:top w:val="nil"/>
              <w:left w:val="nil"/>
              <w:bottom w:val="single" w:sz="4" w:space="0" w:color="auto"/>
              <w:right w:val="single" w:sz="4" w:space="0" w:color="auto"/>
            </w:tcBorders>
            <w:shd w:val="clear" w:color="auto" w:fill="EBF1DE"/>
            <w:noWrap/>
            <w:vAlign w:val="bottom"/>
            <w:hideMark/>
          </w:tcPr>
          <w:p w14:paraId="334541CE" w14:textId="07E9B5E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0.4%</w:t>
            </w:r>
          </w:p>
        </w:tc>
        <w:tc>
          <w:tcPr>
            <w:tcW w:w="680" w:type="dxa"/>
            <w:tcBorders>
              <w:top w:val="nil"/>
              <w:left w:val="nil"/>
              <w:bottom w:val="single" w:sz="4" w:space="0" w:color="auto"/>
              <w:right w:val="single" w:sz="4" w:space="0" w:color="auto"/>
            </w:tcBorders>
            <w:shd w:val="clear" w:color="000000" w:fill="C4D79B"/>
            <w:noWrap/>
            <w:vAlign w:val="bottom"/>
            <w:hideMark/>
          </w:tcPr>
          <w:p w14:paraId="02FA47F8" w14:textId="75EFEC03" w:rsidR="0022081A" w:rsidRPr="00E4705F" w:rsidRDefault="0022081A" w:rsidP="0022081A">
            <w:pPr>
              <w:spacing w:after="0" w:line="240" w:lineRule="auto"/>
              <w:jc w:val="right"/>
              <w:rPr>
                <w:rFonts w:eastAsia="Times New Roman" w:cstheme="minorHAnsi"/>
                <w:b/>
                <w:bCs/>
                <w:sz w:val="16"/>
                <w:szCs w:val="16"/>
                <w:lang w:val="nl-NL" w:eastAsia="nl-NL"/>
              </w:rPr>
            </w:pPr>
            <w:r w:rsidRPr="00E4705F">
              <w:rPr>
                <w:rFonts w:cstheme="minorHAnsi"/>
                <w:b/>
                <w:bCs/>
                <w:sz w:val="16"/>
                <w:szCs w:val="16"/>
              </w:rPr>
              <w:t>8.1%</w:t>
            </w:r>
          </w:p>
        </w:tc>
        <w:tc>
          <w:tcPr>
            <w:tcW w:w="680" w:type="dxa"/>
            <w:tcBorders>
              <w:top w:val="nil"/>
              <w:left w:val="nil"/>
              <w:bottom w:val="single" w:sz="4" w:space="0" w:color="auto"/>
              <w:right w:val="single" w:sz="4" w:space="0" w:color="auto"/>
            </w:tcBorders>
            <w:shd w:val="clear" w:color="000000" w:fill="C4D79B"/>
            <w:noWrap/>
            <w:vAlign w:val="bottom"/>
            <w:hideMark/>
          </w:tcPr>
          <w:p w14:paraId="56A7972F" w14:textId="3A813AD3" w:rsidR="0022081A" w:rsidRPr="00E4705F" w:rsidRDefault="0022081A" w:rsidP="0022081A">
            <w:pPr>
              <w:spacing w:after="0" w:line="240" w:lineRule="auto"/>
              <w:jc w:val="right"/>
              <w:rPr>
                <w:rFonts w:eastAsia="Times New Roman" w:cstheme="minorHAnsi"/>
                <w:b/>
                <w:bCs/>
                <w:sz w:val="16"/>
                <w:szCs w:val="16"/>
                <w:lang w:val="nl-NL" w:eastAsia="nl-NL"/>
              </w:rPr>
            </w:pPr>
            <w:r w:rsidRPr="00E4705F">
              <w:rPr>
                <w:rFonts w:cstheme="minorHAnsi"/>
                <w:b/>
                <w:bCs/>
                <w:sz w:val="16"/>
                <w:szCs w:val="16"/>
              </w:rPr>
              <w:t>4.6%</w:t>
            </w:r>
          </w:p>
        </w:tc>
      </w:tr>
      <w:tr w:rsidR="0022081A" w:rsidRPr="005E7FB2" w14:paraId="37295F83" w14:textId="77777777" w:rsidTr="002E6000">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09D1E0" w14:textId="30320307"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2020</w:t>
            </w:r>
          </w:p>
        </w:tc>
        <w:tc>
          <w:tcPr>
            <w:tcW w:w="680" w:type="dxa"/>
            <w:tcBorders>
              <w:top w:val="nil"/>
              <w:left w:val="nil"/>
              <w:bottom w:val="single" w:sz="4" w:space="0" w:color="auto"/>
              <w:right w:val="single" w:sz="4" w:space="0" w:color="auto"/>
            </w:tcBorders>
            <w:shd w:val="clear" w:color="000000" w:fill="C4D79B"/>
            <w:noWrap/>
            <w:vAlign w:val="bottom"/>
            <w:hideMark/>
          </w:tcPr>
          <w:p w14:paraId="51C55FB5" w14:textId="7B917AC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3.1%</w:t>
            </w:r>
          </w:p>
        </w:tc>
        <w:tc>
          <w:tcPr>
            <w:tcW w:w="680" w:type="dxa"/>
            <w:tcBorders>
              <w:top w:val="nil"/>
              <w:left w:val="nil"/>
              <w:bottom w:val="single" w:sz="4" w:space="0" w:color="auto"/>
              <w:right w:val="single" w:sz="4" w:space="0" w:color="auto"/>
            </w:tcBorders>
            <w:shd w:val="clear" w:color="000000" w:fill="E6B8B7"/>
            <w:noWrap/>
            <w:vAlign w:val="bottom"/>
            <w:hideMark/>
          </w:tcPr>
          <w:p w14:paraId="1BF57AB9" w14:textId="377542A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76933C"/>
            <w:noWrap/>
            <w:vAlign w:val="bottom"/>
            <w:hideMark/>
          </w:tcPr>
          <w:p w14:paraId="3371C820" w14:textId="4C19529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12.5%</w:t>
            </w:r>
          </w:p>
        </w:tc>
        <w:tc>
          <w:tcPr>
            <w:tcW w:w="680" w:type="dxa"/>
            <w:tcBorders>
              <w:top w:val="nil"/>
              <w:left w:val="nil"/>
              <w:bottom w:val="single" w:sz="4" w:space="0" w:color="auto"/>
              <w:right w:val="single" w:sz="4" w:space="0" w:color="auto"/>
            </w:tcBorders>
            <w:shd w:val="clear" w:color="000000" w:fill="76933C"/>
            <w:noWrap/>
            <w:vAlign w:val="bottom"/>
            <w:hideMark/>
          </w:tcPr>
          <w:p w14:paraId="2F1740F4" w14:textId="6573950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5.0%</w:t>
            </w:r>
          </w:p>
        </w:tc>
        <w:tc>
          <w:tcPr>
            <w:tcW w:w="680" w:type="dxa"/>
            <w:tcBorders>
              <w:top w:val="nil"/>
              <w:left w:val="nil"/>
              <w:bottom w:val="single" w:sz="4" w:space="0" w:color="auto"/>
              <w:right w:val="single" w:sz="4" w:space="0" w:color="auto"/>
            </w:tcBorders>
            <w:shd w:val="clear" w:color="000000" w:fill="C4D79B"/>
            <w:noWrap/>
            <w:vAlign w:val="bottom"/>
            <w:hideMark/>
          </w:tcPr>
          <w:p w14:paraId="2A239580" w14:textId="1AF54E9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2.1%</w:t>
            </w:r>
          </w:p>
        </w:tc>
        <w:tc>
          <w:tcPr>
            <w:tcW w:w="680" w:type="dxa"/>
            <w:tcBorders>
              <w:top w:val="nil"/>
              <w:left w:val="nil"/>
              <w:bottom w:val="single" w:sz="4" w:space="0" w:color="auto"/>
              <w:right w:val="single" w:sz="4" w:space="0" w:color="auto"/>
            </w:tcBorders>
            <w:shd w:val="clear" w:color="000000" w:fill="DA9694"/>
            <w:noWrap/>
            <w:vAlign w:val="bottom"/>
            <w:hideMark/>
          </w:tcPr>
          <w:p w14:paraId="322B2691" w14:textId="06E8829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-8.3%</w:t>
            </w:r>
          </w:p>
        </w:tc>
        <w:tc>
          <w:tcPr>
            <w:tcW w:w="680" w:type="dxa"/>
            <w:tcBorders>
              <w:top w:val="nil"/>
              <w:left w:val="nil"/>
              <w:bottom w:val="single" w:sz="4" w:space="0" w:color="auto"/>
              <w:right w:val="single" w:sz="4" w:space="0" w:color="auto"/>
            </w:tcBorders>
            <w:shd w:val="clear" w:color="000000" w:fill="DA9694"/>
            <w:noWrap/>
            <w:vAlign w:val="bottom"/>
            <w:hideMark/>
          </w:tcPr>
          <w:p w14:paraId="3C736510" w14:textId="2E0A8EC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-3.9%</w:t>
            </w:r>
          </w:p>
        </w:tc>
        <w:tc>
          <w:tcPr>
            <w:tcW w:w="680" w:type="dxa"/>
            <w:tcBorders>
              <w:top w:val="nil"/>
              <w:left w:val="nil"/>
              <w:bottom w:val="single" w:sz="4" w:space="0" w:color="auto"/>
              <w:right w:val="single" w:sz="4" w:space="0" w:color="auto"/>
            </w:tcBorders>
            <w:shd w:val="clear" w:color="000000" w:fill="E6B8B7"/>
            <w:noWrap/>
            <w:vAlign w:val="bottom"/>
            <w:hideMark/>
          </w:tcPr>
          <w:p w14:paraId="31F8EF3B" w14:textId="3084F7A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-2.9%</w:t>
            </w:r>
          </w:p>
        </w:tc>
        <w:tc>
          <w:tcPr>
            <w:tcW w:w="680" w:type="dxa"/>
            <w:tcBorders>
              <w:top w:val="nil"/>
              <w:left w:val="nil"/>
              <w:bottom w:val="single" w:sz="4" w:space="0" w:color="auto"/>
              <w:right w:val="single" w:sz="4" w:space="0" w:color="auto"/>
            </w:tcBorders>
            <w:shd w:val="clear" w:color="000000" w:fill="F2DCDB"/>
            <w:noWrap/>
            <w:vAlign w:val="bottom"/>
            <w:hideMark/>
          </w:tcPr>
          <w:p w14:paraId="35FE6ACC" w14:textId="4CF3777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EBF1DE"/>
            <w:noWrap/>
            <w:vAlign w:val="bottom"/>
            <w:hideMark/>
          </w:tcPr>
          <w:p w14:paraId="7C53EF12" w14:textId="57126CB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0.3%</w:t>
            </w:r>
          </w:p>
        </w:tc>
        <w:tc>
          <w:tcPr>
            <w:tcW w:w="680" w:type="dxa"/>
            <w:tcBorders>
              <w:top w:val="nil"/>
              <w:left w:val="nil"/>
              <w:bottom w:val="single" w:sz="4" w:space="0" w:color="auto"/>
              <w:right w:val="single" w:sz="4" w:space="0" w:color="auto"/>
            </w:tcBorders>
            <w:shd w:val="clear" w:color="auto" w:fill="C4D79B"/>
            <w:noWrap/>
            <w:vAlign w:val="bottom"/>
            <w:hideMark/>
          </w:tcPr>
          <w:p w14:paraId="3B077303" w14:textId="6BB36BE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auto" w:fill="C4D79B"/>
            <w:noWrap/>
            <w:vAlign w:val="bottom"/>
            <w:hideMark/>
          </w:tcPr>
          <w:p w14:paraId="27D3FC1A" w14:textId="45BB6717"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4.8%</w:t>
            </w:r>
          </w:p>
        </w:tc>
        <w:tc>
          <w:tcPr>
            <w:tcW w:w="680" w:type="dxa"/>
            <w:tcBorders>
              <w:top w:val="nil"/>
              <w:left w:val="nil"/>
              <w:bottom w:val="single" w:sz="4" w:space="0" w:color="auto"/>
              <w:right w:val="single" w:sz="4" w:space="0" w:color="auto"/>
            </w:tcBorders>
            <w:shd w:val="clear" w:color="000000" w:fill="C4D79B"/>
            <w:noWrap/>
            <w:vAlign w:val="bottom"/>
            <w:hideMark/>
          </w:tcPr>
          <w:p w14:paraId="0A7B4C43" w14:textId="4F8AE9EE"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4.0%</w:t>
            </w:r>
          </w:p>
        </w:tc>
      </w:tr>
      <w:tr w:rsidR="0022081A" w:rsidRPr="005E7FB2" w14:paraId="7BFB53F4" w14:textId="77777777" w:rsidTr="002E6000">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41EEC5" w14:textId="09C21100"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2021</w:t>
            </w:r>
          </w:p>
        </w:tc>
        <w:tc>
          <w:tcPr>
            <w:tcW w:w="680" w:type="dxa"/>
            <w:tcBorders>
              <w:top w:val="nil"/>
              <w:left w:val="nil"/>
              <w:bottom w:val="single" w:sz="4" w:space="0" w:color="auto"/>
              <w:right w:val="single" w:sz="4" w:space="0" w:color="auto"/>
            </w:tcBorders>
            <w:shd w:val="clear" w:color="000000" w:fill="C4D79B"/>
            <w:noWrap/>
            <w:vAlign w:val="bottom"/>
            <w:hideMark/>
          </w:tcPr>
          <w:p w14:paraId="0171CEAB" w14:textId="702C1AA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5.2%</w:t>
            </w:r>
          </w:p>
        </w:tc>
        <w:tc>
          <w:tcPr>
            <w:tcW w:w="680" w:type="dxa"/>
            <w:tcBorders>
              <w:top w:val="nil"/>
              <w:left w:val="nil"/>
              <w:bottom w:val="single" w:sz="4" w:space="0" w:color="auto"/>
              <w:right w:val="single" w:sz="4" w:space="0" w:color="auto"/>
            </w:tcBorders>
            <w:shd w:val="clear" w:color="000000" w:fill="DA9694"/>
            <w:noWrap/>
            <w:vAlign w:val="bottom"/>
            <w:hideMark/>
          </w:tcPr>
          <w:p w14:paraId="06121419" w14:textId="0AFE3CE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-5.5%</w:t>
            </w:r>
          </w:p>
        </w:tc>
        <w:tc>
          <w:tcPr>
            <w:tcW w:w="680" w:type="dxa"/>
            <w:tcBorders>
              <w:top w:val="nil"/>
              <w:left w:val="nil"/>
              <w:bottom w:val="single" w:sz="4" w:space="0" w:color="auto"/>
              <w:right w:val="single" w:sz="4" w:space="0" w:color="auto"/>
            </w:tcBorders>
            <w:shd w:val="clear" w:color="000000" w:fill="DA9694"/>
            <w:noWrap/>
            <w:vAlign w:val="bottom"/>
            <w:hideMark/>
          </w:tcPr>
          <w:p w14:paraId="7E99A95E" w14:textId="312EC98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-4.6%</w:t>
            </w:r>
          </w:p>
        </w:tc>
        <w:tc>
          <w:tcPr>
            <w:tcW w:w="680" w:type="dxa"/>
            <w:tcBorders>
              <w:top w:val="nil"/>
              <w:left w:val="nil"/>
              <w:bottom w:val="single" w:sz="4" w:space="0" w:color="auto"/>
              <w:right w:val="single" w:sz="4" w:space="0" w:color="auto"/>
            </w:tcBorders>
            <w:shd w:val="clear" w:color="000000" w:fill="E6B8B7"/>
            <w:noWrap/>
            <w:vAlign w:val="bottom"/>
            <w:hideMark/>
          </w:tcPr>
          <w:p w14:paraId="68037FE1" w14:textId="667AF71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DA9694"/>
            <w:noWrap/>
            <w:vAlign w:val="bottom"/>
            <w:hideMark/>
          </w:tcPr>
          <w:p w14:paraId="694DB792" w14:textId="4B38AED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-4.3%</w:t>
            </w:r>
          </w:p>
        </w:tc>
        <w:tc>
          <w:tcPr>
            <w:tcW w:w="680" w:type="dxa"/>
            <w:tcBorders>
              <w:top w:val="nil"/>
              <w:left w:val="nil"/>
              <w:bottom w:val="single" w:sz="4" w:space="0" w:color="auto"/>
              <w:right w:val="single" w:sz="4" w:space="0" w:color="auto"/>
            </w:tcBorders>
            <w:shd w:val="clear" w:color="000000" w:fill="DA9694"/>
            <w:noWrap/>
            <w:vAlign w:val="bottom"/>
            <w:hideMark/>
          </w:tcPr>
          <w:p w14:paraId="65885E43" w14:textId="43DBDEE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DA9694"/>
            <w:noWrap/>
            <w:vAlign w:val="bottom"/>
            <w:hideMark/>
          </w:tcPr>
          <w:p w14:paraId="3B9524B4" w14:textId="18A39BF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-5.8%</w:t>
            </w:r>
          </w:p>
        </w:tc>
        <w:tc>
          <w:tcPr>
            <w:tcW w:w="680" w:type="dxa"/>
            <w:tcBorders>
              <w:top w:val="nil"/>
              <w:left w:val="nil"/>
              <w:bottom w:val="single" w:sz="4" w:space="0" w:color="auto"/>
              <w:right w:val="single" w:sz="4" w:space="0" w:color="auto"/>
            </w:tcBorders>
            <w:shd w:val="clear" w:color="auto" w:fill="F2DCDB"/>
            <w:noWrap/>
            <w:vAlign w:val="bottom"/>
            <w:hideMark/>
          </w:tcPr>
          <w:p w14:paraId="63ADEA99" w14:textId="12DBB89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-0.8%</w:t>
            </w:r>
          </w:p>
        </w:tc>
        <w:tc>
          <w:tcPr>
            <w:tcW w:w="680" w:type="dxa"/>
            <w:tcBorders>
              <w:top w:val="nil"/>
              <w:left w:val="nil"/>
              <w:bottom w:val="single" w:sz="4" w:space="0" w:color="auto"/>
              <w:right w:val="single" w:sz="4" w:space="0" w:color="auto"/>
            </w:tcBorders>
            <w:shd w:val="clear" w:color="auto" w:fill="C4D79B"/>
            <w:noWrap/>
            <w:vAlign w:val="bottom"/>
            <w:hideMark/>
          </w:tcPr>
          <w:p w14:paraId="220DEE4A" w14:textId="1EA1099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2.1%</w:t>
            </w:r>
          </w:p>
        </w:tc>
        <w:tc>
          <w:tcPr>
            <w:tcW w:w="680" w:type="dxa"/>
            <w:tcBorders>
              <w:top w:val="nil"/>
              <w:left w:val="nil"/>
              <w:bottom w:val="single" w:sz="4" w:space="0" w:color="auto"/>
              <w:right w:val="single" w:sz="4" w:space="0" w:color="auto"/>
            </w:tcBorders>
            <w:shd w:val="clear" w:color="000000" w:fill="F2DCDB"/>
            <w:noWrap/>
            <w:vAlign w:val="bottom"/>
            <w:hideMark/>
          </w:tcPr>
          <w:p w14:paraId="0B7B4648" w14:textId="3C1A188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-0.3%</w:t>
            </w:r>
          </w:p>
        </w:tc>
        <w:tc>
          <w:tcPr>
            <w:tcW w:w="680" w:type="dxa"/>
            <w:tcBorders>
              <w:top w:val="nil"/>
              <w:left w:val="nil"/>
              <w:bottom w:val="single" w:sz="4" w:space="0" w:color="auto"/>
              <w:right w:val="single" w:sz="4" w:space="0" w:color="auto"/>
            </w:tcBorders>
            <w:shd w:val="clear" w:color="auto" w:fill="C4D79B"/>
            <w:noWrap/>
            <w:vAlign w:val="bottom"/>
            <w:hideMark/>
          </w:tcPr>
          <w:p w14:paraId="1343F0E1" w14:textId="3A2F197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2.5%</w:t>
            </w:r>
          </w:p>
        </w:tc>
        <w:tc>
          <w:tcPr>
            <w:tcW w:w="680" w:type="dxa"/>
            <w:tcBorders>
              <w:top w:val="nil"/>
              <w:left w:val="nil"/>
              <w:bottom w:val="single" w:sz="4" w:space="0" w:color="auto"/>
              <w:right w:val="single" w:sz="4" w:space="0" w:color="auto"/>
            </w:tcBorders>
            <w:shd w:val="clear" w:color="000000" w:fill="C4D79B"/>
            <w:noWrap/>
            <w:vAlign w:val="bottom"/>
            <w:hideMark/>
          </w:tcPr>
          <w:p w14:paraId="307CAE79" w14:textId="37C59686"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5.3%</w:t>
            </w:r>
          </w:p>
        </w:tc>
        <w:tc>
          <w:tcPr>
            <w:tcW w:w="680" w:type="dxa"/>
            <w:tcBorders>
              <w:top w:val="nil"/>
              <w:left w:val="nil"/>
              <w:bottom w:val="single" w:sz="4" w:space="0" w:color="auto"/>
              <w:right w:val="single" w:sz="4" w:space="0" w:color="auto"/>
            </w:tcBorders>
            <w:shd w:val="clear" w:color="000000" w:fill="C4D79B"/>
            <w:noWrap/>
            <w:vAlign w:val="bottom"/>
            <w:hideMark/>
          </w:tcPr>
          <w:p w14:paraId="3A3E1D6B" w14:textId="69A2E625"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2.6%</w:t>
            </w:r>
          </w:p>
        </w:tc>
      </w:tr>
      <w:tr w:rsidR="0022081A" w:rsidRPr="005E7FB2" w14:paraId="1317160F" w14:textId="77777777" w:rsidTr="00145E9F">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D0BFC8" w14:textId="0044201A"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2022</w:t>
            </w:r>
          </w:p>
        </w:tc>
        <w:tc>
          <w:tcPr>
            <w:tcW w:w="680" w:type="dxa"/>
            <w:tcBorders>
              <w:top w:val="nil"/>
              <w:left w:val="nil"/>
              <w:bottom w:val="single" w:sz="4" w:space="0" w:color="auto"/>
              <w:right w:val="single" w:sz="4" w:space="0" w:color="auto"/>
            </w:tcBorders>
            <w:shd w:val="clear" w:color="auto" w:fill="C4D79B"/>
            <w:noWrap/>
            <w:vAlign w:val="bottom"/>
            <w:hideMark/>
          </w:tcPr>
          <w:p w14:paraId="2A5A5D82" w14:textId="455AE4A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3.4%</w:t>
            </w:r>
          </w:p>
        </w:tc>
        <w:tc>
          <w:tcPr>
            <w:tcW w:w="680" w:type="dxa"/>
            <w:tcBorders>
              <w:top w:val="nil"/>
              <w:left w:val="nil"/>
              <w:bottom w:val="single" w:sz="4" w:space="0" w:color="auto"/>
              <w:right w:val="single" w:sz="4" w:space="0" w:color="auto"/>
            </w:tcBorders>
            <w:shd w:val="clear" w:color="000000" w:fill="DA9694"/>
            <w:noWrap/>
            <w:vAlign w:val="bottom"/>
            <w:hideMark/>
          </w:tcPr>
          <w:p w14:paraId="67C215D2" w14:textId="28C3D18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-4.7%</w:t>
            </w:r>
          </w:p>
        </w:tc>
        <w:tc>
          <w:tcPr>
            <w:tcW w:w="680" w:type="dxa"/>
            <w:tcBorders>
              <w:top w:val="nil"/>
              <w:left w:val="nil"/>
              <w:bottom w:val="single" w:sz="4" w:space="0" w:color="auto"/>
              <w:right w:val="single" w:sz="4" w:space="0" w:color="auto"/>
            </w:tcBorders>
            <w:shd w:val="clear" w:color="000000" w:fill="E6B8B7"/>
            <w:noWrap/>
            <w:vAlign w:val="bottom"/>
            <w:hideMark/>
          </w:tcPr>
          <w:p w14:paraId="1BCC1213" w14:textId="080B0D9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DA9694"/>
            <w:noWrap/>
            <w:vAlign w:val="bottom"/>
            <w:hideMark/>
          </w:tcPr>
          <w:p w14:paraId="7EDE353F" w14:textId="4231322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-3.0%</w:t>
            </w:r>
          </w:p>
        </w:tc>
        <w:tc>
          <w:tcPr>
            <w:tcW w:w="680" w:type="dxa"/>
            <w:tcBorders>
              <w:top w:val="nil"/>
              <w:left w:val="nil"/>
              <w:bottom w:val="single" w:sz="4" w:space="0" w:color="auto"/>
              <w:right w:val="single" w:sz="4" w:space="0" w:color="auto"/>
            </w:tcBorders>
            <w:shd w:val="clear" w:color="000000" w:fill="DA9694"/>
            <w:noWrap/>
            <w:vAlign w:val="bottom"/>
            <w:hideMark/>
          </w:tcPr>
          <w:p w14:paraId="2DADA3A1" w14:textId="79316DB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-3.1%</w:t>
            </w:r>
          </w:p>
        </w:tc>
        <w:tc>
          <w:tcPr>
            <w:tcW w:w="680" w:type="dxa"/>
            <w:tcBorders>
              <w:top w:val="nil"/>
              <w:left w:val="nil"/>
              <w:bottom w:val="single" w:sz="4" w:space="0" w:color="auto"/>
              <w:right w:val="single" w:sz="4" w:space="0" w:color="auto"/>
            </w:tcBorders>
            <w:shd w:val="clear" w:color="000000" w:fill="DA9694"/>
            <w:noWrap/>
            <w:vAlign w:val="bottom"/>
            <w:hideMark/>
          </w:tcPr>
          <w:p w14:paraId="796B2722" w14:textId="5A54E31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-4.3%</w:t>
            </w:r>
          </w:p>
        </w:tc>
        <w:tc>
          <w:tcPr>
            <w:tcW w:w="680" w:type="dxa"/>
            <w:tcBorders>
              <w:top w:val="nil"/>
              <w:left w:val="nil"/>
              <w:bottom w:val="single" w:sz="4" w:space="0" w:color="auto"/>
              <w:right w:val="single" w:sz="4" w:space="0" w:color="auto"/>
            </w:tcBorders>
            <w:shd w:val="clear" w:color="000000" w:fill="DA9694"/>
            <w:noWrap/>
            <w:vAlign w:val="bottom"/>
            <w:hideMark/>
          </w:tcPr>
          <w:p w14:paraId="1EC946C7" w14:textId="6FDEBDC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-3.3%</w:t>
            </w:r>
          </w:p>
        </w:tc>
        <w:tc>
          <w:tcPr>
            <w:tcW w:w="680" w:type="dxa"/>
            <w:tcBorders>
              <w:top w:val="nil"/>
              <w:left w:val="nil"/>
              <w:bottom w:val="single" w:sz="4" w:space="0" w:color="auto"/>
              <w:right w:val="single" w:sz="4" w:space="0" w:color="auto"/>
            </w:tcBorders>
            <w:shd w:val="clear" w:color="000000" w:fill="E6B8B7"/>
            <w:noWrap/>
            <w:vAlign w:val="bottom"/>
            <w:hideMark/>
          </w:tcPr>
          <w:p w14:paraId="2AAD0AD9" w14:textId="7D28D1C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-1.2%</w:t>
            </w:r>
          </w:p>
        </w:tc>
        <w:tc>
          <w:tcPr>
            <w:tcW w:w="680" w:type="dxa"/>
            <w:tcBorders>
              <w:top w:val="nil"/>
              <w:left w:val="nil"/>
              <w:bottom w:val="single" w:sz="4" w:space="0" w:color="auto"/>
              <w:right w:val="single" w:sz="4" w:space="0" w:color="auto"/>
            </w:tcBorders>
            <w:shd w:val="clear" w:color="000000" w:fill="D8E4BC"/>
            <w:noWrap/>
            <w:vAlign w:val="bottom"/>
            <w:hideMark/>
          </w:tcPr>
          <w:p w14:paraId="4B85F668" w14:textId="22AD7EF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auto" w:fill="EBF1DE"/>
            <w:noWrap/>
            <w:vAlign w:val="bottom"/>
            <w:hideMark/>
          </w:tcPr>
          <w:p w14:paraId="6D4AC9DF" w14:textId="384B672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C4D79B"/>
            <w:noWrap/>
            <w:vAlign w:val="bottom"/>
            <w:hideMark/>
          </w:tcPr>
          <w:p w14:paraId="692F64E6" w14:textId="1887037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3.7%</w:t>
            </w:r>
          </w:p>
        </w:tc>
        <w:tc>
          <w:tcPr>
            <w:tcW w:w="680" w:type="dxa"/>
            <w:tcBorders>
              <w:top w:val="nil"/>
              <w:left w:val="nil"/>
              <w:bottom w:val="single" w:sz="4" w:space="0" w:color="auto"/>
              <w:right w:val="single" w:sz="4" w:space="0" w:color="auto"/>
            </w:tcBorders>
            <w:shd w:val="clear" w:color="000000" w:fill="C4D79B"/>
            <w:noWrap/>
            <w:vAlign w:val="bottom"/>
            <w:hideMark/>
          </w:tcPr>
          <w:p w14:paraId="5A3EB32E" w14:textId="29BEB365"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8.0%</w:t>
            </w:r>
          </w:p>
        </w:tc>
        <w:tc>
          <w:tcPr>
            <w:tcW w:w="680" w:type="dxa"/>
            <w:tcBorders>
              <w:top w:val="nil"/>
              <w:left w:val="nil"/>
              <w:bottom w:val="single" w:sz="4" w:space="0" w:color="auto"/>
              <w:right w:val="single" w:sz="4" w:space="0" w:color="auto"/>
            </w:tcBorders>
            <w:shd w:val="clear" w:color="000000" w:fill="D8E4BC"/>
            <w:noWrap/>
            <w:vAlign w:val="bottom"/>
            <w:hideMark/>
          </w:tcPr>
          <w:p w14:paraId="326CCD92" w14:textId="349343C2"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1.5%</w:t>
            </w:r>
          </w:p>
        </w:tc>
      </w:tr>
      <w:tr w:rsidR="0022081A" w:rsidRPr="005E7FB2" w14:paraId="632BDF7D" w14:textId="77777777" w:rsidTr="00A50E59">
        <w:trPr>
          <w:trHeight w:val="262"/>
        </w:trPr>
        <w:tc>
          <w:tcPr>
            <w:tcW w:w="1413" w:type="dxa"/>
            <w:tcBorders>
              <w:top w:val="nil"/>
              <w:left w:val="single" w:sz="4" w:space="0" w:color="auto"/>
              <w:bottom w:val="single" w:sz="4" w:space="0" w:color="auto"/>
              <w:right w:val="nil"/>
            </w:tcBorders>
            <w:shd w:val="clear" w:color="auto" w:fill="auto"/>
            <w:noWrap/>
            <w:vAlign w:val="bottom"/>
            <w:hideMark/>
          </w:tcPr>
          <w:p w14:paraId="77B603E1" w14:textId="2EDCD2D3"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2023</w:t>
            </w:r>
          </w:p>
        </w:tc>
        <w:tc>
          <w:tcPr>
            <w:tcW w:w="680" w:type="dxa"/>
            <w:tcBorders>
              <w:top w:val="nil"/>
              <w:left w:val="single" w:sz="4" w:space="0" w:color="auto"/>
              <w:bottom w:val="single" w:sz="4" w:space="0" w:color="auto"/>
              <w:right w:val="single" w:sz="4" w:space="0" w:color="auto"/>
            </w:tcBorders>
            <w:shd w:val="clear" w:color="000000" w:fill="D8E4BC"/>
            <w:noWrap/>
            <w:vAlign w:val="bottom"/>
            <w:hideMark/>
          </w:tcPr>
          <w:p w14:paraId="1CBFC50D" w14:textId="120F89A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2.5%</w:t>
            </w:r>
          </w:p>
        </w:tc>
        <w:tc>
          <w:tcPr>
            <w:tcW w:w="680" w:type="dxa"/>
            <w:tcBorders>
              <w:top w:val="nil"/>
              <w:left w:val="nil"/>
              <w:bottom w:val="single" w:sz="4" w:space="0" w:color="auto"/>
              <w:right w:val="single" w:sz="4" w:space="0" w:color="auto"/>
            </w:tcBorders>
            <w:shd w:val="clear" w:color="000000" w:fill="DA9694"/>
            <w:noWrap/>
            <w:vAlign w:val="bottom"/>
            <w:hideMark/>
          </w:tcPr>
          <w:p w14:paraId="03F7565F" w14:textId="5FD12BD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-4.1%</w:t>
            </w:r>
          </w:p>
        </w:tc>
        <w:tc>
          <w:tcPr>
            <w:tcW w:w="680" w:type="dxa"/>
            <w:tcBorders>
              <w:top w:val="nil"/>
              <w:left w:val="nil"/>
              <w:bottom w:val="single" w:sz="4" w:space="0" w:color="auto"/>
              <w:right w:val="single" w:sz="4" w:space="0" w:color="auto"/>
            </w:tcBorders>
            <w:shd w:val="clear" w:color="000000" w:fill="E6B8B7"/>
            <w:noWrap/>
            <w:vAlign w:val="bottom"/>
            <w:hideMark/>
          </w:tcPr>
          <w:p w14:paraId="42B93B66" w14:textId="02C951C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E6B8B7"/>
            <w:noWrap/>
            <w:vAlign w:val="bottom"/>
            <w:hideMark/>
          </w:tcPr>
          <w:p w14:paraId="57289D6E" w14:textId="221A22A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-1.1%</w:t>
            </w:r>
          </w:p>
        </w:tc>
        <w:tc>
          <w:tcPr>
            <w:tcW w:w="680" w:type="dxa"/>
            <w:tcBorders>
              <w:top w:val="nil"/>
              <w:left w:val="nil"/>
              <w:bottom w:val="single" w:sz="4" w:space="0" w:color="auto"/>
              <w:right w:val="single" w:sz="4" w:space="0" w:color="auto"/>
            </w:tcBorders>
            <w:shd w:val="clear" w:color="000000" w:fill="E6B8B7"/>
            <w:noWrap/>
            <w:vAlign w:val="bottom"/>
            <w:hideMark/>
          </w:tcPr>
          <w:p w14:paraId="4C2C7BF2" w14:textId="09DD647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A9694"/>
            <w:noWrap/>
            <w:vAlign w:val="bottom"/>
            <w:hideMark/>
          </w:tcPr>
          <w:p w14:paraId="619BDDD6" w14:textId="3E892E0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-4.2%</w:t>
            </w:r>
          </w:p>
        </w:tc>
        <w:tc>
          <w:tcPr>
            <w:tcW w:w="680" w:type="dxa"/>
            <w:tcBorders>
              <w:top w:val="nil"/>
              <w:left w:val="nil"/>
              <w:bottom w:val="single" w:sz="4" w:space="0" w:color="auto"/>
              <w:right w:val="single" w:sz="4" w:space="0" w:color="auto"/>
            </w:tcBorders>
            <w:shd w:val="clear" w:color="000000" w:fill="DA9694"/>
            <w:noWrap/>
            <w:vAlign w:val="bottom"/>
            <w:hideMark/>
          </w:tcPr>
          <w:p w14:paraId="339A3C4D" w14:textId="1B76B07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-4.0%</w:t>
            </w:r>
          </w:p>
        </w:tc>
        <w:tc>
          <w:tcPr>
            <w:tcW w:w="680" w:type="dxa"/>
            <w:tcBorders>
              <w:top w:val="nil"/>
              <w:left w:val="nil"/>
              <w:bottom w:val="single" w:sz="4" w:space="0" w:color="auto"/>
              <w:right w:val="single" w:sz="4" w:space="0" w:color="auto"/>
            </w:tcBorders>
            <w:shd w:val="clear" w:color="000000" w:fill="E6B8B7"/>
            <w:noWrap/>
            <w:vAlign w:val="bottom"/>
            <w:hideMark/>
          </w:tcPr>
          <w:p w14:paraId="3F081C7B" w14:textId="6252032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-1.8%</w:t>
            </w:r>
          </w:p>
        </w:tc>
        <w:tc>
          <w:tcPr>
            <w:tcW w:w="680" w:type="dxa"/>
            <w:tcBorders>
              <w:top w:val="nil"/>
              <w:left w:val="nil"/>
              <w:bottom w:val="single" w:sz="4" w:space="0" w:color="auto"/>
              <w:right w:val="single" w:sz="4" w:space="0" w:color="auto"/>
            </w:tcBorders>
            <w:shd w:val="clear" w:color="000000" w:fill="EBF1DE"/>
            <w:noWrap/>
            <w:vAlign w:val="bottom"/>
            <w:hideMark/>
          </w:tcPr>
          <w:p w14:paraId="3539719A" w14:textId="4D47F33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0.8%</w:t>
            </w:r>
          </w:p>
        </w:tc>
        <w:tc>
          <w:tcPr>
            <w:tcW w:w="680" w:type="dxa"/>
            <w:tcBorders>
              <w:top w:val="nil"/>
              <w:left w:val="nil"/>
              <w:bottom w:val="single" w:sz="4" w:space="0" w:color="auto"/>
              <w:right w:val="single" w:sz="4" w:space="0" w:color="auto"/>
            </w:tcBorders>
            <w:shd w:val="clear" w:color="000000" w:fill="D8E4BC"/>
            <w:noWrap/>
            <w:vAlign w:val="bottom"/>
            <w:hideMark/>
          </w:tcPr>
          <w:p w14:paraId="77C7EF64" w14:textId="3992554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auto" w:fill="C4D79B"/>
            <w:noWrap/>
            <w:vAlign w:val="bottom"/>
            <w:hideMark/>
          </w:tcPr>
          <w:p w14:paraId="4C37D659" w14:textId="2551D83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auto" w:fill="C4D79B"/>
            <w:noWrap/>
            <w:vAlign w:val="bottom"/>
            <w:hideMark/>
          </w:tcPr>
          <w:p w14:paraId="1526FA76" w14:textId="6E548985"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9.1%</w:t>
            </w:r>
          </w:p>
        </w:tc>
        <w:tc>
          <w:tcPr>
            <w:tcW w:w="680" w:type="dxa"/>
            <w:tcBorders>
              <w:top w:val="nil"/>
              <w:left w:val="nil"/>
              <w:bottom w:val="single" w:sz="4" w:space="0" w:color="auto"/>
              <w:right w:val="single" w:sz="4" w:space="0" w:color="auto"/>
            </w:tcBorders>
            <w:shd w:val="clear" w:color="000000" w:fill="EBF1DE"/>
            <w:noWrap/>
            <w:vAlign w:val="bottom"/>
            <w:hideMark/>
          </w:tcPr>
          <w:p w14:paraId="13634A73" w14:textId="1788A2BE" w:rsidR="0022081A" w:rsidRPr="00E4705F" w:rsidRDefault="0022081A" w:rsidP="0022081A">
            <w:pPr>
              <w:spacing w:after="0" w:line="240" w:lineRule="auto"/>
              <w:jc w:val="right"/>
              <w:rPr>
                <w:rFonts w:eastAsia="Times New Roman" w:cstheme="minorHAnsi"/>
                <w:sz w:val="16"/>
                <w:szCs w:val="16"/>
                <w:lang w:val="nl-NL" w:eastAsia="nl-NL"/>
              </w:rPr>
            </w:pPr>
            <w:r w:rsidRPr="00E4705F">
              <w:rPr>
                <w:rFonts w:cstheme="minorHAnsi"/>
                <w:sz w:val="16"/>
                <w:szCs w:val="16"/>
              </w:rPr>
              <w:t>0.8%</w:t>
            </w:r>
          </w:p>
        </w:tc>
      </w:tr>
      <w:tr w:rsidR="005A72D5" w:rsidRPr="005E7FB2" w14:paraId="02AC87C2" w14:textId="77777777" w:rsidTr="007629E3">
        <w:trPr>
          <w:trHeight w:val="262"/>
        </w:trPr>
        <w:tc>
          <w:tcPr>
            <w:tcW w:w="1413" w:type="dxa"/>
            <w:tcBorders>
              <w:top w:val="single" w:sz="4" w:space="0" w:color="auto"/>
              <w:left w:val="single" w:sz="4" w:space="0" w:color="auto"/>
              <w:bottom w:val="single" w:sz="4" w:space="0" w:color="auto"/>
              <w:right w:val="nil"/>
            </w:tcBorders>
            <w:shd w:val="clear" w:color="auto" w:fill="auto"/>
            <w:noWrap/>
            <w:vAlign w:val="bottom"/>
            <w:hideMark/>
          </w:tcPr>
          <w:p w14:paraId="2529A3B7" w14:textId="4E6703B2" w:rsidR="005A72D5" w:rsidRPr="0022081A" w:rsidRDefault="005A72D5" w:rsidP="005A72D5">
            <w:pPr>
              <w:spacing w:after="0" w:line="240" w:lineRule="auto"/>
              <w:rPr>
                <w:rFonts w:eastAsia="Times New Roman" w:cstheme="minorHAnsi"/>
                <w:sz w:val="16"/>
                <w:szCs w:val="16"/>
                <w:lang w:val="nl-NL" w:eastAsia="nl-NL"/>
              </w:rPr>
            </w:pPr>
            <w:r w:rsidRPr="0022081A">
              <w:rPr>
                <w:rFonts w:cstheme="minorHAnsi"/>
                <w:sz w:val="16"/>
                <w:szCs w:val="16"/>
              </w:rPr>
              <w:t>2024</w:t>
            </w:r>
          </w:p>
        </w:tc>
        <w:tc>
          <w:tcPr>
            <w:tcW w:w="680"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497A6D22" w14:textId="31219C65"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single" w:sz="4" w:space="0" w:color="auto"/>
              <w:left w:val="nil"/>
              <w:bottom w:val="single" w:sz="4" w:space="0" w:color="auto"/>
              <w:right w:val="single" w:sz="4" w:space="0" w:color="auto"/>
            </w:tcBorders>
            <w:shd w:val="clear" w:color="auto" w:fill="DA9694"/>
            <w:noWrap/>
            <w:vAlign w:val="bottom"/>
            <w:hideMark/>
          </w:tcPr>
          <w:p w14:paraId="78B9A064" w14:textId="63C77521"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single" w:sz="4" w:space="0" w:color="auto"/>
              <w:left w:val="nil"/>
              <w:bottom w:val="single" w:sz="4" w:space="0" w:color="auto"/>
              <w:right w:val="single" w:sz="4" w:space="0" w:color="auto"/>
            </w:tcBorders>
            <w:shd w:val="clear" w:color="000000" w:fill="E6B8B7"/>
            <w:noWrap/>
            <w:vAlign w:val="bottom"/>
            <w:hideMark/>
          </w:tcPr>
          <w:p w14:paraId="044B23E1" w14:textId="79062F95"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single" w:sz="4" w:space="0" w:color="auto"/>
              <w:left w:val="nil"/>
              <w:bottom w:val="single" w:sz="4" w:space="0" w:color="auto"/>
              <w:right w:val="single" w:sz="4" w:space="0" w:color="auto"/>
            </w:tcBorders>
            <w:shd w:val="clear" w:color="auto" w:fill="E6B8B7"/>
            <w:noWrap/>
            <w:vAlign w:val="bottom"/>
            <w:hideMark/>
          </w:tcPr>
          <w:p w14:paraId="51AC127A" w14:textId="5996A06C"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single" w:sz="4" w:space="0" w:color="auto"/>
              <w:left w:val="nil"/>
              <w:bottom w:val="single" w:sz="4" w:space="0" w:color="auto"/>
              <w:right w:val="single" w:sz="4" w:space="0" w:color="auto"/>
            </w:tcBorders>
            <w:shd w:val="clear" w:color="auto" w:fill="DA9694"/>
            <w:noWrap/>
            <w:vAlign w:val="bottom"/>
            <w:hideMark/>
          </w:tcPr>
          <w:p w14:paraId="514DC4CF" w14:textId="319FF531"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-4.0%</w:t>
            </w:r>
          </w:p>
        </w:tc>
        <w:tc>
          <w:tcPr>
            <w:tcW w:w="680" w:type="dxa"/>
            <w:tcBorders>
              <w:top w:val="single" w:sz="4" w:space="0" w:color="auto"/>
              <w:left w:val="nil"/>
              <w:bottom w:val="single" w:sz="4" w:space="0" w:color="auto"/>
              <w:right w:val="single" w:sz="4" w:space="0" w:color="auto"/>
            </w:tcBorders>
            <w:shd w:val="clear" w:color="000000" w:fill="DA9694"/>
            <w:noWrap/>
            <w:vAlign w:val="bottom"/>
            <w:hideMark/>
          </w:tcPr>
          <w:p w14:paraId="2F842805" w14:textId="4AA6E157"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single" w:sz="4" w:space="0" w:color="auto"/>
              <w:left w:val="nil"/>
              <w:bottom w:val="single" w:sz="4" w:space="0" w:color="auto"/>
              <w:right w:val="single" w:sz="4" w:space="0" w:color="auto"/>
            </w:tcBorders>
            <w:shd w:val="clear" w:color="000000" w:fill="DA9694"/>
            <w:noWrap/>
            <w:vAlign w:val="bottom"/>
            <w:hideMark/>
          </w:tcPr>
          <w:p w14:paraId="7C001417" w14:textId="79753CF0" w:rsidR="005A72D5" w:rsidRPr="0022081A" w:rsidRDefault="005A72D5" w:rsidP="005A72D5">
            <w:pPr>
              <w:spacing w:after="0" w:line="240" w:lineRule="auto"/>
              <w:jc w:val="right"/>
              <w:rPr>
                <w:rFonts w:eastAsia="Times New Roman" w:cstheme="minorHAnsi"/>
                <w:sz w:val="16"/>
                <w:szCs w:val="16"/>
                <w:lang w:val="nl-NL" w:eastAsia="nl-NL"/>
              </w:rPr>
            </w:pPr>
            <w:r w:rsidRPr="0022081A">
              <w:rPr>
                <w:rFonts w:cstheme="minorHAnsi"/>
                <w:sz w:val="16"/>
                <w:szCs w:val="16"/>
              </w:rPr>
              <w:t>-4.1%</w:t>
            </w:r>
          </w:p>
        </w:tc>
        <w:tc>
          <w:tcPr>
            <w:tcW w:w="680" w:type="dxa"/>
            <w:tcBorders>
              <w:top w:val="single" w:sz="4" w:space="0" w:color="auto"/>
              <w:left w:val="nil"/>
              <w:bottom w:val="single" w:sz="4" w:space="0" w:color="auto"/>
              <w:right w:val="single" w:sz="4" w:space="0" w:color="auto"/>
            </w:tcBorders>
            <w:shd w:val="clear" w:color="auto" w:fill="F2DCDB"/>
            <w:noWrap/>
            <w:vAlign w:val="bottom"/>
            <w:hideMark/>
          </w:tcPr>
          <w:p w14:paraId="375723A5" w14:textId="0E3D894D" w:rsidR="005A72D5" w:rsidRPr="00105C56" w:rsidRDefault="005A72D5" w:rsidP="005A72D5">
            <w:pPr>
              <w:spacing w:after="0" w:line="240" w:lineRule="auto"/>
              <w:jc w:val="right"/>
              <w:rPr>
                <w:rFonts w:eastAsia="Times New Roman" w:cstheme="minorHAnsi"/>
                <w:sz w:val="16"/>
                <w:szCs w:val="16"/>
                <w:lang w:eastAsia="nl-NL"/>
              </w:rPr>
            </w:pPr>
            <w:r w:rsidRPr="00105C56">
              <w:rPr>
                <w:rFonts w:eastAsia="Times New Roman" w:cstheme="minorHAnsi"/>
                <w:sz w:val="16"/>
                <w:szCs w:val="16"/>
                <w:lang w:eastAsia="nl-NL"/>
              </w:rPr>
              <w:t>-0</w:t>
            </w:r>
            <w:r>
              <w:rPr>
                <w:rFonts w:eastAsia="Times New Roman" w:cstheme="minorHAnsi"/>
                <w:sz w:val="16"/>
                <w:szCs w:val="16"/>
                <w:lang w:eastAsia="nl-NL"/>
              </w:rPr>
              <w:t>.</w:t>
            </w:r>
            <w:r w:rsidRPr="00105C56">
              <w:rPr>
                <w:rFonts w:eastAsia="Times New Roman" w:cstheme="minorHAnsi"/>
                <w:sz w:val="16"/>
                <w:szCs w:val="16"/>
                <w:lang w:eastAsia="nl-NL"/>
              </w:rPr>
              <w:t>6%</w:t>
            </w:r>
          </w:p>
        </w:tc>
        <w:tc>
          <w:tcPr>
            <w:tcW w:w="680" w:type="dxa"/>
            <w:tcBorders>
              <w:top w:val="single" w:sz="4" w:space="0" w:color="auto"/>
              <w:left w:val="single" w:sz="4" w:space="0" w:color="auto"/>
              <w:bottom w:val="single" w:sz="4" w:space="0" w:color="auto"/>
              <w:right w:val="single" w:sz="4" w:space="0" w:color="auto"/>
            </w:tcBorders>
            <w:shd w:val="clear" w:color="auto" w:fill="C4D79B"/>
            <w:vAlign w:val="bottom"/>
          </w:tcPr>
          <w:p w14:paraId="63A52816" w14:textId="7A64AA39" w:rsidR="005A72D5" w:rsidRPr="0022081A" w:rsidRDefault="005A72D5" w:rsidP="005A72D5">
            <w:pPr>
              <w:spacing w:after="0" w:line="240" w:lineRule="auto"/>
              <w:jc w:val="right"/>
              <w:rPr>
                <w:rFonts w:eastAsia="Times New Roman" w:cstheme="minorHAnsi"/>
                <w:sz w:val="16"/>
                <w:szCs w:val="16"/>
                <w:lang w:val="nl-NL" w:eastAsia="nl-NL"/>
              </w:rPr>
            </w:pPr>
            <w:r>
              <w:rPr>
                <w:rFonts w:eastAsia="Times New Roman" w:cstheme="minorHAnsi"/>
                <w:sz w:val="16"/>
                <w:szCs w:val="16"/>
                <w:lang w:val="nl-NL" w:eastAsia="nl-NL"/>
              </w:rPr>
              <w:t>2.9%</w:t>
            </w:r>
          </w:p>
        </w:tc>
        <w:tc>
          <w:tcPr>
            <w:tcW w:w="680" w:type="dxa"/>
            <w:tcBorders>
              <w:top w:val="single" w:sz="4" w:space="0" w:color="auto"/>
              <w:left w:val="single" w:sz="4" w:space="0" w:color="auto"/>
              <w:bottom w:val="single" w:sz="4" w:space="0" w:color="auto"/>
              <w:right w:val="single" w:sz="4" w:space="0" w:color="auto"/>
            </w:tcBorders>
            <w:shd w:val="clear" w:color="auto" w:fill="EBF1DE"/>
            <w:noWrap/>
            <w:vAlign w:val="bottom"/>
            <w:hideMark/>
          </w:tcPr>
          <w:p w14:paraId="24FF4F0E" w14:textId="4E925BF1" w:rsidR="005A72D5" w:rsidRPr="0022081A" w:rsidRDefault="005A72D5" w:rsidP="005A72D5">
            <w:pPr>
              <w:spacing w:after="0" w:line="240" w:lineRule="auto"/>
              <w:jc w:val="right"/>
              <w:rPr>
                <w:rFonts w:eastAsia="Times New Roman" w:cstheme="minorHAnsi"/>
                <w:sz w:val="16"/>
                <w:szCs w:val="16"/>
                <w:lang w:val="nl-NL" w:eastAsia="nl-NL"/>
              </w:rPr>
            </w:pPr>
            <w:r>
              <w:rPr>
                <w:rFonts w:eastAsia="Times New Roman" w:cstheme="minorHAnsi"/>
                <w:sz w:val="16"/>
                <w:szCs w:val="16"/>
                <w:lang w:val="nl-NL" w:eastAsia="nl-NL"/>
              </w:rPr>
              <w:t>0.7%</w:t>
            </w:r>
          </w:p>
        </w:tc>
        <w:tc>
          <w:tcPr>
            <w:tcW w:w="680" w:type="dxa"/>
            <w:tcBorders>
              <w:top w:val="single" w:sz="4" w:space="0" w:color="auto"/>
              <w:left w:val="single" w:sz="4" w:space="0" w:color="auto"/>
              <w:bottom w:val="single" w:sz="4" w:space="0" w:color="auto"/>
              <w:right w:val="single" w:sz="4" w:space="0" w:color="auto"/>
            </w:tcBorders>
            <w:shd w:val="clear" w:color="auto" w:fill="D8E4BC"/>
            <w:noWrap/>
            <w:vAlign w:val="bottom"/>
            <w:hideMark/>
          </w:tcPr>
          <w:p w14:paraId="718884F4" w14:textId="770CD77B" w:rsidR="005A72D5" w:rsidRPr="0022081A" w:rsidRDefault="005A72D5" w:rsidP="005A72D5">
            <w:pPr>
              <w:spacing w:after="0" w:line="240" w:lineRule="auto"/>
              <w:jc w:val="right"/>
              <w:rPr>
                <w:rFonts w:eastAsia="Times New Roman" w:cstheme="minorHAnsi"/>
                <w:sz w:val="16"/>
                <w:szCs w:val="16"/>
                <w:lang w:val="nl-NL" w:eastAsia="nl-NL"/>
              </w:rPr>
            </w:pPr>
            <w:r>
              <w:rPr>
                <w:rFonts w:eastAsia="Times New Roman" w:cstheme="minorHAnsi"/>
                <w:sz w:val="16"/>
                <w:szCs w:val="16"/>
                <w:lang w:val="nl-NL" w:eastAsia="nl-NL"/>
              </w:rPr>
              <w:t>1.3%</w:t>
            </w:r>
          </w:p>
        </w:tc>
        <w:tc>
          <w:tcPr>
            <w:tcW w:w="680" w:type="dxa"/>
            <w:tcBorders>
              <w:top w:val="single" w:sz="4" w:space="0" w:color="auto"/>
              <w:left w:val="single" w:sz="4" w:space="0" w:color="auto"/>
              <w:bottom w:val="single" w:sz="4" w:space="0" w:color="auto"/>
              <w:right w:val="single" w:sz="4" w:space="0" w:color="auto"/>
            </w:tcBorders>
            <w:shd w:val="clear" w:color="auto" w:fill="C4D79B"/>
            <w:noWrap/>
            <w:vAlign w:val="bottom"/>
            <w:hideMark/>
          </w:tcPr>
          <w:p w14:paraId="1D617FAD" w14:textId="1E869E9A" w:rsidR="005A72D5" w:rsidRPr="0022081A" w:rsidRDefault="005A72D5" w:rsidP="005A72D5">
            <w:pPr>
              <w:spacing w:after="0" w:line="240" w:lineRule="auto"/>
              <w:jc w:val="right"/>
              <w:rPr>
                <w:rFonts w:eastAsia="Times New Roman" w:cstheme="minorHAnsi"/>
                <w:sz w:val="16"/>
                <w:szCs w:val="16"/>
                <w:lang w:val="nl-NL" w:eastAsia="nl-NL"/>
              </w:rPr>
            </w:pPr>
            <w:r>
              <w:rPr>
                <w:rFonts w:cstheme="minorHAnsi"/>
                <w:sz w:val="16"/>
                <w:szCs w:val="16"/>
              </w:rPr>
              <w:t>10.9</w:t>
            </w:r>
            <w:r w:rsidRPr="00E4705F">
              <w:rPr>
                <w:rFonts w:cstheme="minorHAnsi"/>
                <w:sz w:val="16"/>
                <w:szCs w:val="16"/>
              </w:rPr>
              <w:t>%</w:t>
            </w:r>
          </w:p>
        </w:tc>
        <w:tc>
          <w:tcPr>
            <w:tcW w:w="680" w:type="dxa"/>
            <w:tcBorders>
              <w:top w:val="single" w:sz="4" w:space="0" w:color="auto"/>
              <w:left w:val="nil"/>
              <w:bottom w:val="single" w:sz="4" w:space="0" w:color="auto"/>
              <w:right w:val="single" w:sz="4" w:space="0" w:color="auto"/>
            </w:tcBorders>
            <w:shd w:val="clear" w:color="000000" w:fill="E6B8B7"/>
            <w:noWrap/>
            <w:vAlign w:val="bottom"/>
            <w:hideMark/>
          </w:tcPr>
          <w:p w14:paraId="406BCD37" w14:textId="0B67B302" w:rsidR="005A72D5" w:rsidRPr="005E7FB2" w:rsidRDefault="005A72D5" w:rsidP="005A72D5">
            <w:pPr>
              <w:spacing w:after="0" w:line="240" w:lineRule="auto"/>
              <w:jc w:val="right"/>
              <w:rPr>
                <w:rFonts w:ascii="Times New Roman" w:eastAsia="Times New Roman" w:hAnsi="Times New Roman" w:cs="Times New Roman"/>
                <w:sz w:val="20"/>
                <w:szCs w:val="20"/>
                <w:lang w:val="nl-NL" w:eastAsia="nl-NL"/>
              </w:rPr>
            </w:pPr>
            <w:r w:rsidRPr="0022081A">
              <w:rPr>
                <w:rFonts w:cstheme="minorHAnsi"/>
                <w:sz w:val="16"/>
                <w:szCs w:val="16"/>
              </w:rPr>
              <w:t>-1.</w:t>
            </w:r>
            <w:r>
              <w:rPr>
                <w:rFonts w:cstheme="minorHAnsi"/>
                <w:sz w:val="16"/>
                <w:szCs w:val="16"/>
              </w:rPr>
              <w:t>5</w:t>
            </w:r>
            <w:r w:rsidRPr="0022081A">
              <w:rPr>
                <w:rFonts w:cstheme="minorHAnsi"/>
                <w:sz w:val="16"/>
                <w:szCs w:val="16"/>
              </w:rPr>
              <w:t>%</w:t>
            </w:r>
          </w:p>
        </w:tc>
      </w:tr>
      <w:tr w:rsidR="003E2D02" w:rsidRPr="005E7FB2" w14:paraId="4CA10958" w14:textId="77777777" w:rsidTr="007629E3">
        <w:trPr>
          <w:trHeight w:val="262"/>
        </w:trPr>
        <w:tc>
          <w:tcPr>
            <w:tcW w:w="1413" w:type="dxa"/>
            <w:tcBorders>
              <w:top w:val="single" w:sz="4" w:space="0" w:color="auto"/>
              <w:left w:val="single" w:sz="4" w:space="0" w:color="auto"/>
              <w:bottom w:val="single" w:sz="4" w:space="0" w:color="auto"/>
              <w:right w:val="nil"/>
            </w:tcBorders>
            <w:shd w:val="clear" w:color="auto" w:fill="auto"/>
            <w:noWrap/>
            <w:vAlign w:val="bottom"/>
          </w:tcPr>
          <w:p w14:paraId="13D21686" w14:textId="56067B3A" w:rsidR="003E2D02" w:rsidRPr="0022081A" w:rsidRDefault="003E2D02" w:rsidP="003E2D02">
            <w:pPr>
              <w:spacing w:after="0" w:line="240" w:lineRule="auto"/>
              <w:rPr>
                <w:rFonts w:cstheme="minorHAnsi"/>
                <w:sz w:val="16"/>
                <w:szCs w:val="16"/>
              </w:rPr>
            </w:pPr>
            <w:r>
              <w:rPr>
                <w:rFonts w:cstheme="minorHAnsi"/>
                <w:sz w:val="16"/>
                <w:szCs w:val="16"/>
              </w:rPr>
              <w:t>2025</w:t>
            </w:r>
          </w:p>
        </w:tc>
        <w:tc>
          <w:tcPr>
            <w:tcW w:w="680" w:type="dxa"/>
            <w:tcBorders>
              <w:top w:val="single" w:sz="4" w:space="0" w:color="auto"/>
              <w:left w:val="single" w:sz="4" w:space="0" w:color="auto"/>
              <w:bottom w:val="single" w:sz="4" w:space="0" w:color="auto"/>
              <w:right w:val="single" w:sz="4" w:space="0" w:color="auto"/>
            </w:tcBorders>
            <w:shd w:val="clear" w:color="auto" w:fill="C4D79B"/>
            <w:noWrap/>
            <w:vAlign w:val="bottom"/>
          </w:tcPr>
          <w:p w14:paraId="7DB6CDCB" w14:textId="36E42EF7" w:rsidR="003E2D02" w:rsidRPr="0022081A" w:rsidRDefault="003E2D02" w:rsidP="003E2D02">
            <w:pPr>
              <w:spacing w:after="0" w:line="240" w:lineRule="auto"/>
              <w:jc w:val="right"/>
              <w:rPr>
                <w:rFonts w:cstheme="minorHAnsi"/>
                <w:sz w:val="16"/>
                <w:szCs w:val="16"/>
              </w:rPr>
            </w:pPr>
            <w:r>
              <w:rPr>
                <w:rFonts w:cstheme="minorHAnsi"/>
                <w:sz w:val="16"/>
                <w:szCs w:val="16"/>
              </w:rPr>
              <w:t>3.7%</w:t>
            </w:r>
          </w:p>
        </w:tc>
        <w:tc>
          <w:tcPr>
            <w:tcW w:w="680" w:type="dxa"/>
            <w:tcBorders>
              <w:top w:val="single" w:sz="4" w:space="0" w:color="auto"/>
              <w:left w:val="nil"/>
              <w:bottom w:val="single" w:sz="4" w:space="0" w:color="auto"/>
              <w:right w:val="single" w:sz="4" w:space="0" w:color="auto"/>
            </w:tcBorders>
            <w:shd w:val="clear" w:color="auto" w:fill="DA9694"/>
            <w:noWrap/>
            <w:vAlign w:val="bottom"/>
          </w:tcPr>
          <w:p w14:paraId="6901F102" w14:textId="799FD50E" w:rsidR="003E2D02" w:rsidRPr="0022081A" w:rsidRDefault="003E2D02" w:rsidP="003E2D02">
            <w:pPr>
              <w:spacing w:after="0" w:line="240" w:lineRule="auto"/>
              <w:jc w:val="right"/>
              <w:rPr>
                <w:rFonts w:cstheme="minorHAnsi"/>
                <w:sz w:val="16"/>
                <w:szCs w:val="16"/>
              </w:rPr>
            </w:pPr>
            <w:r>
              <w:rPr>
                <w:rFonts w:cstheme="minorHAnsi"/>
                <w:sz w:val="16"/>
                <w:szCs w:val="16"/>
              </w:rPr>
              <w:t>-4.7</w:t>
            </w:r>
            <w:r w:rsidRPr="0022081A">
              <w:rPr>
                <w:rFonts w:cstheme="minorHAnsi"/>
                <w:sz w:val="16"/>
                <w:szCs w:val="16"/>
              </w:rPr>
              <w:t>%</w:t>
            </w:r>
          </w:p>
        </w:tc>
        <w:tc>
          <w:tcPr>
            <w:tcW w:w="680" w:type="dxa"/>
            <w:tcBorders>
              <w:top w:val="single" w:sz="4" w:space="0" w:color="auto"/>
              <w:left w:val="nil"/>
              <w:bottom w:val="single" w:sz="4" w:space="0" w:color="auto"/>
              <w:right w:val="single" w:sz="4" w:space="0" w:color="auto"/>
            </w:tcBorders>
            <w:shd w:val="clear" w:color="auto" w:fill="DA9694"/>
            <w:noWrap/>
            <w:vAlign w:val="bottom"/>
          </w:tcPr>
          <w:p w14:paraId="0A87DB22" w14:textId="266FE96E" w:rsidR="003E2D02" w:rsidRPr="0022081A" w:rsidRDefault="003E2D02" w:rsidP="003E2D02">
            <w:pPr>
              <w:spacing w:after="0" w:line="240" w:lineRule="auto"/>
              <w:jc w:val="right"/>
              <w:rPr>
                <w:rFonts w:cstheme="minorHAnsi"/>
                <w:sz w:val="16"/>
                <w:szCs w:val="16"/>
              </w:rPr>
            </w:pPr>
            <w:r w:rsidRPr="0022081A">
              <w:rPr>
                <w:rFonts w:cstheme="minorHAnsi"/>
                <w:sz w:val="16"/>
                <w:szCs w:val="16"/>
              </w:rPr>
              <w:t>-3.1%</w:t>
            </w:r>
          </w:p>
        </w:tc>
        <w:tc>
          <w:tcPr>
            <w:tcW w:w="680" w:type="dxa"/>
            <w:tcBorders>
              <w:top w:val="single" w:sz="4" w:space="0" w:color="auto"/>
              <w:left w:val="nil"/>
              <w:bottom w:val="single" w:sz="4" w:space="0" w:color="auto"/>
              <w:right w:val="single" w:sz="4" w:space="0" w:color="auto"/>
            </w:tcBorders>
            <w:shd w:val="clear" w:color="auto" w:fill="E6B8B7"/>
            <w:noWrap/>
            <w:vAlign w:val="bottom"/>
          </w:tcPr>
          <w:p w14:paraId="18EE4F11" w14:textId="479FE475" w:rsidR="003E2D02" w:rsidRPr="0022081A" w:rsidRDefault="00C33004" w:rsidP="003E2D02">
            <w:pPr>
              <w:spacing w:after="0" w:line="240" w:lineRule="auto"/>
              <w:jc w:val="right"/>
              <w:rPr>
                <w:rFonts w:cstheme="minorHAnsi"/>
                <w:sz w:val="16"/>
                <w:szCs w:val="16"/>
              </w:rPr>
            </w:pPr>
            <w:r w:rsidRPr="0022081A">
              <w:rPr>
                <w:rFonts w:cstheme="minorHAnsi"/>
                <w:sz w:val="16"/>
                <w:szCs w:val="16"/>
              </w:rPr>
              <w:t>-0.7%</w:t>
            </w:r>
          </w:p>
        </w:tc>
        <w:tc>
          <w:tcPr>
            <w:tcW w:w="680" w:type="dxa"/>
            <w:tcBorders>
              <w:top w:val="single" w:sz="4" w:space="0" w:color="auto"/>
              <w:left w:val="nil"/>
              <w:bottom w:val="single" w:sz="4" w:space="0" w:color="auto"/>
              <w:right w:val="single" w:sz="4" w:space="0" w:color="auto"/>
            </w:tcBorders>
            <w:shd w:val="clear" w:color="auto" w:fill="DA9694"/>
            <w:noWrap/>
            <w:vAlign w:val="bottom"/>
          </w:tcPr>
          <w:p w14:paraId="095BFCFF" w14:textId="78EB543A" w:rsidR="003E2D02" w:rsidRPr="0022081A" w:rsidRDefault="007629E3" w:rsidP="003E2D02">
            <w:pPr>
              <w:spacing w:after="0" w:line="240" w:lineRule="auto"/>
              <w:jc w:val="right"/>
              <w:rPr>
                <w:rFonts w:cstheme="minorHAnsi"/>
                <w:sz w:val="16"/>
                <w:szCs w:val="16"/>
              </w:rPr>
            </w:pPr>
            <w:r>
              <w:rPr>
                <w:rFonts w:cstheme="minorHAnsi"/>
                <w:sz w:val="16"/>
                <w:szCs w:val="16"/>
              </w:rPr>
              <w:t>-5.5%</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2905707F" w14:textId="77777777" w:rsidR="003E2D02" w:rsidRPr="0022081A" w:rsidRDefault="003E2D02" w:rsidP="003E2D02">
            <w:pPr>
              <w:spacing w:after="0" w:line="240" w:lineRule="auto"/>
              <w:jc w:val="right"/>
              <w:rPr>
                <w:rFonts w:cstheme="minorHAnsi"/>
                <w:sz w:val="16"/>
                <w:szCs w:val="16"/>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50B971E8" w14:textId="77777777" w:rsidR="003E2D02" w:rsidRPr="0022081A" w:rsidRDefault="003E2D02" w:rsidP="003E2D02">
            <w:pPr>
              <w:spacing w:after="0" w:line="240" w:lineRule="auto"/>
              <w:jc w:val="right"/>
              <w:rPr>
                <w:rFonts w:cstheme="minorHAnsi"/>
                <w:sz w:val="16"/>
                <w:szCs w:val="16"/>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7553ACD7" w14:textId="77777777" w:rsidR="003E2D02" w:rsidRPr="00105C56" w:rsidRDefault="003E2D02" w:rsidP="003E2D02">
            <w:pPr>
              <w:spacing w:after="0" w:line="240" w:lineRule="auto"/>
              <w:jc w:val="right"/>
              <w:rPr>
                <w:rFonts w:eastAsia="Times New Roman" w:cstheme="minorHAnsi"/>
                <w:sz w:val="16"/>
                <w:szCs w:val="16"/>
                <w:lang w:eastAsia="nl-NL"/>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14:paraId="261AB2F6" w14:textId="77777777" w:rsidR="003E2D02" w:rsidRDefault="003E2D02" w:rsidP="003E2D02">
            <w:pPr>
              <w:spacing w:after="0" w:line="240" w:lineRule="auto"/>
              <w:jc w:val="right"/>
              <w:rPr>
                <w:rFonts w:eastAsia="Times New Roman" w:cstheme="minorHAnsi"/>
                <w:sz w:val="16"/>
                <w:szCs w:val="16"/>
                <w:lang w:val="nl-NL" w:eastAsia="nl-NL"/>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04EC6" w14:textId="77777777" w:rsidR="003E2D02" w:rsidRDefault="003E2D02" w:rsidP="003E2D02">
            <w:pPr>
              <w:spacing w:after="0" w:line="240" w:lineRule="auto"/>
              <w:jc w:val="right"/>
              <w:rPr>
                <w:rFonts w:eastAsia="Times New Roman" w:cstheme="minorHAnsi"/>
                <w:sz w:val="16"/>
                <w:szCs w:val="16"/>
                <w:lang w:val="nl-NL" w:eastAsia="nl-NL"/>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ADFBD" w14:textId="77777777" w:rsidR="003E2D02" w:rsidRDefault="003E2D02" w:rsidP="003E2D02">
            <w:pPr>
              <w:spacing w:after="0" w:line="240" w:lineRule="auto"/>
              <w:jc w:val="right"/>
              <w:rPr>
                <w:rFonts w:eastAsia="Times New Roman" w:cstheme="minorHAnsi"/>
                <w:sz w:val="16"/>
                <w:szCs w:val="16"/>
                <w:lang w:val="nl-NL" w:eastAsia="nl-NL"/>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63F62" w14:textId="77777777" w:rsidR="003E2D02" w:rsidRDefault="003E2D02" w:rsidP="003E2D02">
            <w:pPr>
              <w:spacing w:after="0" w:line="240" w:lineRule="auto"/>
              <w:jc w:val="right"/>
              <w:rPr>
                <w:rFonts w:cstheme="minorHAnsi"/>
                <w:sz w:val="16"/>
                <w:szCs w:val="16"/>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200A77C2" w14:textId="77777777" w:rsidR="003E2D02" w:rsidRPr="0022081A" w:rsidRDefault="003E2D02" w:rsidP="003E2D02">
            <w:pPr>
              <w:spacing w:after="0" w:line="240" w:lineRule="auto"/>
              <w:jc w:val="right"/>
              <w:rPr>
                <w:rFonts w:cstheme="minorHAnsi"/>
                <w:sz w:val="16"/>
                <w:szCs w:val="16"/>
              </w:rPr>
            </w:pPr>
          </w:p>
        </w:tc>
      </w:tr>
    </w:tbl>
    <w:p w14:paraId="0A7B459F" w14:textId="77777777" w:rsidR="0022081A" w:rsidRPr="00E72D31" w:rsidRDefault="0022081A" w:rsidP="000E0D6B">
      <w:pPr>
        <w:pStyle w:val="NoSpacing"/>
        <w:rPr>
          <w:color w:val="7F7F7F" w:themeColor="text1" w:themeTint="80"/>
          <w:sz w:val="6"/>
          <w:szCs w:val="6"/>
        </w:rPr>
      </w:pPr>
    </w:p>
    <w:p w14:paraId="6771805F" w14:textId="74B89027" w:rsidR="005E7FB2" w:rsidRPr="000E0D6B" w:rsidRDefault="005E7FB2" w:rsidP="000E0D6B">
      <w:pPr>
        <w:pStyle w:val="NoSpacing"/>
      </w:pPr>
      <w:r w:rsidRPr="00555250">
        <w:rPr>
          <w:color w:val="7F7F7F" w:themeColor="text1" w:themeTint="80"/>
          <w:sz w:val="16"/>
          <w:szCs w:val="16"/>
        </w:rPr>
        <w:t xml:space="preserve">Source: </w:t>
      </w:r>
      <w:proofErr w:type="spellStart"/>
      <w:r>
        <w:rPr>
          <w:color w:val="7F7F7F" w:themeColor="text1" w:themeTint="80"/>
          <w:sz w:val="16"/>
          <w:szCs w:val="16"/>
        </w:rPr>
        <w:t>Circana</w:t>
      </w:r>
      <w:proofErr w:type="spellEnd"/>
      <w:r w:rsidRPr="00555250">
        <w:rPr>
          <w:color w:val="7F7F7F" w:themeColor="text1" w:themeTint="80"/>
          <w:sz w:val="16"/>
          <w:szCs w:val="16"/>
        </w:rPr>
        <w:t xml:space="preserve">, Integrated Fresh, </w:t>
      </w:r>
      <w:r>
        <w:rPr>
          <w:color w:val="7F7F7F" w:themeColor="text1" w:themeTint="80"/>
          <w:sz w:val="16"/>
          <w:szCs w:val="16"/>
        </w:rPr>
        <w:t>MULO+</w:t>
      </w:r>
      <w:r w:rsidRPr="00555250">
        <w:rPr>
          <w:color w:val="7F7F7F" w:themeColor="text1" w:themeTint="80"/>
          <w:sz w:val="16"/>
          <w:szCs w:val="16"/>
        </w:rPr>
        <w:t xml:space="preserve">, </w:t>
      </w:r>
      <w:r>
        <w:rPr>
          <w:color w:val="7F7F7F" w:themeColor="text1" w:themeTint="80"/>
          <w:sz w:val="16"/>
          <w:szCs w:val="16"/>
        </w:rPr>
        <w:t>quad weeks 2017-</w:t>
      </w:r>
      <w:r w:rsidR="003E2D02">
        <w:rPr>
          <w:color w:val="7F7F7F" w:themeColor="text1" w:themeTint="80"/>
          <w:sz w:val="16"/>
          <w:szCs w:val="16"/>
        </w:rPr>
        <w:t>2025</w:t>
      </w:r>
      <w:r>
        <w:br w:type="textWrapping" w:clear="all"/>
      </w:r>
    </w:p>
    <w:p w14:paraId="2A45DBD8" w14:textId="573B7B08" w:rsidR="00666D40" w:rsidRPr="00D3797F" w:rsidRDefault="00666D40" w:rsidP="00927EAC">
      <w:pPr>
        <w:pStyle w:val="Heading2"/>
        <w:rPr>
          <w:b/>
          <w:bCs/>
          <w:color w:val="800000"/>
        </w:rPr>
      </w:pPr>
      <w:r w:rsidRPr="00D3797F">
        <w:rPr>
          <w:b/>
          <w:bCs/>
          <w:color w:val="800000"/>
        </w:rPr>
        <w:t>Inflation</w:t>
      </w:r>
      <w:r w:rsidR="00D3797F">
        <w:rPr>
          <w:b/>
          <w:bCs/>
          <w:color w:val="800000"/>
        </w:rPr>
        <w:t xml:space="preserve"> and promotions</w:t>
      </w:r>
    </w:p>
    <w:p w14:paraId="4A3C02BB" w14:textId="3C05F6D4" w:rsidR="00666D40" w:rsidRDefault="00030ABF" w:rsidP="00472B02">
      <w:pPr>
        <w:pStyle w:val="NoSpacing"/>
      </w:pPr>
      <w:r>
        <w:t>M</w:t>
      </w:r>
      <w:r w:rsidR="000E2A1D">
        <w:t xml:space="preserve">ushroom prices </w:t>
      </w:r>
      <w:r w:rsidR="00F83117">
        <w:t xml:space="preserve">decreased </w:t>
      </w:r>
      <w:r w:rsidR="00983B89">
        <w:t xml:space="preserve">by </w:t>
      </w:r>
      <w:r w:rsidR="009E592D">
        <w:t xml:space="preserve">about </w:t>
      </w:r>
      <w:r w:rsidR="00C73C3E">
        <w:t>1</w:t>
      </w:r>
      <w:r w:rsidR="0095540D">
        <w:t xml:space="preserve">% </w:t>
      </w:r>
      <w:r w:rsidR="00024D78">
        <w:t>over the</w:t>
      </w:r>
      <w:r w:rsidR="00AD75ED">
        <w:t xml:space="preserve"> past four week</w:t>
      </w:r>
      <w:r w:rsidR="00A05D7D">
        <w:t xml:space="preserve"> and were virtually unchanged during the past year. </w:t>
      </w:r>
    </w:p>
    <w:p w14:paraId="484C35C9" w14:textId="2EB83AFC" w:rsidR="0094219B" w:rsidRPr="00E72D31" w:rsidRDefault="0094219B" w:rsidP="00472B02">
      <w:pPr>
        <w:pStyle w:val="NoSpacing"/>
        <w:rPr>
          <w:sz w:val="10"/>
          <w:szCs w:val="10"/>
        </w:rPr>
      </w:pPr>
    </w:p>
    <w:tbl>
      <w:tblPr>
        <w:tblStyle w:val="ListTable3-Accent3"/>
        <w:tblW w:w="10075" w:type="dxa"/>
        <w:tblLook w:val="04A0" w:firstRow="1" w:lastRow="0" w:firstColumn="1" w:lastColumn="0" w:noHBand="0" w:noVBand="1"/>
      </w:tblPr>
      <w:tblGrid>
        <w:gridCol w:w="2875"/>
        <w:gridCol w:w="1450"/>
        <w:gridCol w:w="973"/>
        <w:gridCol w:w="909"/>
        <w:gridCol w:w="1776"/>
        <w:gridCol w:w="817"/>
        <w:gridCol w:w="1275"/>
      </w:tblGrid>
      <w:tr w:rsidR="00AD75ED" w:rsidRPr="00124CB7" w14:paraId="6E9D1AEF" w14:textId="162D7E86" w:rsidTr="00F831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shd w:val="clear" w:color="auto" w:fill="800000"/>
          </w:tcPr>
          <w:p w14:paraId="74759AF7" w14:textId="77777777" w:rsidR="00AD75ED" w:rsidRPr="00124CB7" w:rsidRDefault="00AD75ED" w:rsidP="00AD75ED">
            <w:pPr>
              <w:pStyle w:val="NoSpacing"/>
            </w:pPr>
            <w:r w:rsidRPr="00124CB7">
              <w:t>Fresh mushrooms</w:t>
            </w:r>
          </w:p>
        </w:tc>
        <w:tc>
          <w:tcPr>
            <w:tcW w:w="1450" w:type="dxa"/>
            <w:shd w:val="clear" w:color="auto" w:fill="800000"/>
          </w:tcPr>
          <w:p w14:paraId="5EC6EFF0" w14:textId="3B6B18B3"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4 </w:t>
            </w:r>
            <w:proofErr w:type="spellStart"/>
            <w:r>
              <w:t>w.e</w:t>
            </w:r>
            <w:proofErr w:type="spellEnd"/>
            <w:r>
              <w:t xml:space="preserve">. </w:t>
            </w:r>
            <w:r w:rsidR="009E592D">
              <w:t>5/18</w:t>
            </w:r>
            <w:r w:rsidR="000F7C27">
              <w:t>/2025</w:t>
            </w:r>
          </w:p>
        </w:tc>
        <w:tc>
          <w:tcPr>
            <w:tcW w:w="973" w:type="dxa"/>
            <w:shd w:val="clear" w:color="auto" w:fill="800000"/>
          </w:tcPr>
          <w:p w14:paraId="10EFADEC" w14:textId="3B28B708"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909" w:type="dxa"/>
            <w:tcBorders>
              <w:right w:val="single" w:sz="4" w:space="0" w:color="auto"/>
            </w:tcBorders>
            <w:shd w:val="clear" w:color="auto" w:fill="800000"/>
          </w:tcPr>
          <w:p w14:paraId="55EFE125" w14:textId="24027876"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c>
          <w:tcPr>
            <w:tcW w:w="1776" w:type="dxa"/>
            <w:tcBorders>
              <w:top w:val="single" w:sz="4" w:space="0" w:color="DC2F02" w:themeColor="accent3"/>
              <w:left w:val="single" w:sz="4" w:space="0" w:color="auto"/>
              <w:bottom w:val="single" w:sz="4" w:space="0" w:color="DC2F02" w:themeColor="accent3"/>
            </w:tcBorders>
            <w:shd w:val="clear" w:color="auto" w:fill="800000"/>
          </w:tcPr>
          <w:p w14:paraId="6A5B944C" w14:textId="78FC4C33"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t>
            </w:r>
            <w:proofErr w:type="spellStart"/>
            <w:r>
              <w:t>w.e</w:t>
            </w:r>
            <w:proofErr w:type="spellEnd"/>
            <w:r>
              <w:t xml:space="preserve">. </w:t>
            </w:r>
            <w:r w:rsidR="009E592D">
              <w:t>5/18</w:t>
            </w:r>
            <w:r w:rsidR="000F7C27">
              <w:t>/2025</w:t>
            </w:r>
          </w:p>
        </w:tc>
        <w:tc>
          <w:tcPr>
            <w:tcW w:w="817" w:type="dxa"/>
            <w:shd w:val="clear" w:color="auto" w:fill="800000"/>
          </w:tcPr>
          <w:p w14:paraId="56551B99" w14:textId="2A902884"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1275" w:type="dxa"/>
            <w:shd w:val="clear" w:color="auto" w:fill="800000"/>
          </w:tcPr>
          <w:p w14:paraId="1A109D51" w14:textId="7DD14BDB"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r>
      <w:tr w:rsidR="008B28CB" w14:paraId="2B35BE12" w14:textId="0A6FF303" w:rsidTr="00F83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5B4CB702" w14:textId="77777777" w:rsidR="008B28CB" w:rsidRPr="00124CB7" w:rsidRDefault="008B28CB" w:rsidP="008B28CB">
            <w:pPr>
              <w:pStyle w:val="NoSpacing"/>
              <w:rPr>
                <w:b w:val="0"/>
                <w:bCs w:val="0"/>
              </w:rPr>
            </w:pPr>
            <w:r>
              <w:rPr>
                <w:b w:val="0"/>
                <w:bCs w:val="0"/>
              </w:rPr>
              <w:t>Price/unit</w:t>
            </w:r>
          </w:p>
        </w:tc>
        <w:tc>
          <w:tcPr>
            <w:tcW w:w="1450" w:type="dxa"/>
          </w:tcPr>
          <w:p w14:paraId="2915A28B" w14:textId="1CCAAB8C" w:rsidR="008B28CB" w:rsidRDefault="008B28CB" w:rsidP="008B28CB">
            <w:pPr>
              <w:pStyle w:val="NoSpacing"/>
              <w:jc w:val="right"/>
              <w:cnfStyle w:val="000000100000" w:firstRow="0" w:lastRow="0" w:firstColumn="0" w:lastColumn="0" w:oddVBand="0" w:evenVBand="0" w:oddHBand="1" w:evenHBand="0" w:firstRowFirstColumn="0" w:firstRowLastColumn="0" w:lastRowFirstColumn="0" w:lastRowLastColumn="0"/>
            </w:pPr>
            <w:r>
              <w:t>$2.98</w:t>
            </w:r>
          </w:p>
        </w:tc>
        <w:tc>
          <w:tcPr>
            <w:tcW w:w="973" w:type="dxa"/>
          </w:tcPr>
          <w:p w14:paraId="3E0967AB" w14:textId="7FC464A6" w:rsidR="008B28CB" w:rsidRDefault="008B28CB" w:rsidP="008B28CB">
            <w:pPr>
              <w:pStyle w:val="NoSpacing"/>
              <w:jc w:val="right"/>
              <w:cnfStyle w:val="000000100000" w:firstRow="0" w:lastRow="0" w:firstColumn="0" w:lastColumn="0" w:oddVBand="0" w:evenVBand="0" w:oddHBand="1" w:evenHBand="0" w:firstRowFirstColumn="0" w:firstRowLastColumn="0" w:lastRowFirstColumn="0" w:lastRowLastColumn="0"/>
            </w:pPr>
            <w:r w:rsidRPr="00737ABE">
              <w:t>-</w:t>
            </w:r>
            <w:r>
              <w:t>1.0</w:t>
            </w:r>
            <w:r w:rsidRPr="00737ABE">
              <w:t>%</w:t>
            </w:r>
          </w:p>
        </w:tc>
        <w:tc>
          <w:tcPr>
            <w:tcW w:w="909" w:type="dxa"/>
            <w:tcBorders>
              <w:right w:val="single" w:sz="4" w:space="0" w:color="auto"/>
            </w:tcBorders>
          </w:tcPr>
          <w:p w14:paraId="09DAD54E" w14:textId="25622589" w:rsidR="008B28CB" w:rsidRDefault="00F94A26" w:rsidP="008B28CB">
            <w:pPr>
              <w:pStyle w:val="NoSpacing"/>
              <w:jc w:val="right"/>
              <w:cnfStyle w:val="000000100000" w:firstRow="0" w:lastRow="0" w:firstColumn="0" w:lastColumn="0" w:oddVBand="0" w:evenVBand="0" w:oddHBand="1" w:evenHBand="0" w:firstRowFirstColumn="0" w:firstRowLastColumn="0" w:lastRowFirstColumn="0" w:lastRowLastColumn="0"/>
            </w:pPr>
            <w:r>
              <w:t>+3.1</w:t>
            </w:r>
            <w:r w:rsidR="008B28CB" w:rsidRPr="00737ABE">
              <w:t>%</w:t>
            </w:r>
          </w:p>
        </w:tc>
        <w:tc>
          <w:tcPr>
            <w:tcW w:w="1776" w:type="dxa"/>
            <w:tcBorders>
              <w:left w:val="single" w:sz="4" w:space="0" w:color="auto"/>
            </w:tcBorders>
          </w:tcPr>
          <w:p w14:paraId="03CA719E" w14:textId="43010320" w:rsidR="008B28CB" w:rsidRDefault="008B28CB" w:rsidP="008B28CB">
            <w:pPr>
              <w:pStyle w:val="NoSpacing"/>
              <w:jc w:val="right"/>
              <w:cnfStyle w:val="000000100000" w:firstRow="0" w:lastRow="0" w:firstColumn="0" w:lastColumn="0" w:oddVBand="0" w:evenVBand="0" w:oddHBand="1" w:evenHBand="0" w:firstRowFirstColumn="0" w:firstRowLastColumn="0" w:lastRowFirstColumn="0" w:lastRowLastColumn="0"/>
            </w:pPr>
            <w:r>
              <w:t>$3.02</w:t>
            </w:r>
          </w:p>
        </w:tc>
        <w:tc>
          <w:tcPr>
            <w:tcW w:w="817" w:type="dxa"/>
          </w:tcPr>
          <w:p w14:paraId="08755E5E" w14:textId="3D57DE7A" w:rsidR="008B28CB" w:rsidRDefault="00F94A26" w:rsidP="008B28CB">
            <w:pPr>
              <w:pStyle w:val="NoSpacing"/>
              <w:jc w:val="right"/>
              <w:cnfStyle w:val="000000100000" w:firstRow="0" w:lastRow="0" w:firstColumn="0" w:lastColumn="0" w:oddVBand="0" w:evenVBand="0" w:oddHBand="1" w:evenHBand="0" w:firstRowFirstColumn="0" w:firstRowLastColumn="0" w:lastRowFirstColumn="0" w:lastRowLastColumn="0"/>
            </w:pPr>
            <w:r>
              <w:t>0.0</w:t>
            </w:r>
            <w:r w:rsidR="008B28CB" w:rsidRPr="007F4F17">
              <w:t>%</w:t>
            </w:r>
          </w:p>
        </w:tc>
        <w:tc>
          <w:tcPr>
            <w:tcW w:w="1275" w:type="dxa"/>
          </w:tcPr>
          <w:p w14:paraId="19B1F6D2" w14:textId="2F4BD0DE" w:rsidR="008B28CB" w:rsidRDefault="00F94A26" w:rsidP="008B28CB">
            <w:pPr>
              <w:pStyle w:val="NoSpacing"/>
              <w:jc w:val="right"/>
              <w:cnfStyle w:val="000000100000" w:firstRow="0" w:lastRow="0" w:firstColumn="0" w:lastColumn="0" w:oddVBand="0" w:evenVBand="0" w:oddHBand="1" w:evenHBand="0" w:firstRowFirstColumn="0" w:firstRowLastColumn="0" w:lastRowFirstColumn="0" w:lastRowLastColumn="0"/>
            </w:pPr>
            <w:r>
              <w:t>+6.4</w:t>
            </w:r>
            <w:r w:rsidR="008B28CB" w:rsidRPr="007F4F17">
              <w:t>%</w:t>
            </w:r>
          </w:p>
        </w:tc>
      </w:tr>
      <w:tr w:rsidR="008B28CB" w14:paraId="7C18640F" w14:textId="5B569261" w:rsidTr="00F83117">
        <w:tc>
          <w:tcPr>
            <w:cnfStyle w:val="001000000000" w:firstRow="0" w:lastRow="0" w:firstColumn="1" w:lastColumn="0" w:oddVBand="0" w:evenVBand="0" w:oddHBand="0" w:evenHBand="0" w:firstRowFirstColumn="0" w:firstRowLastColumn="0" w:lastRowFirstColumn="0" w:lastRowLastColumn="0"/>
            <w:tcW w:w="2875" w:type="dxa"/>
          </w:tcPr>
          <w:p w14:paraId="47C97CE0" w14:textId="77777777" w:rsidR="008B28CB" w:rsidRPr="00124CB7" w:rsidRDefault="008B28CB" w:rsidP="008B28CB">
            <w:pPr>
              <w:pStyle w:val="NoSpacing"/>
              <w:rPr>
                <w:b w:val="0"/>
                <w:bCs w:val="0"/>
              </w:rPr>
            </w:pPr>
            <w:r>
              <w:rPr>
                <w:b w:val="0"/>
                <w:bCs w:val="0"/>
              </w:rPr>
              <w:t>Price/volume</w:t>
            </w:r>
          </w:p>
        </w:tc>
        <w:tc>
          <w:tcPr>
            <w:tcW w:w="1450" w:type="dxa"/>
          </w:tcPr>
          <w:p w14:paraId="17C86A08" w14:textId="034DA6F3" w:rsidR="008B28CB" w:rsidRDefault="008B28CB" w:rsidP="008B28CB">
            <w:pPr>
              <w:pStyle w:val="NoSpacing"/>
              <w:jc w:val="right"/>
              <w:cnfStyle w:val="000000000000" w:firstRow="0" w:lastRow="0" w:firstColumn="0" w:lastColumn="0" w:oddVBand="0" w:evenVBand="0" w:oddHBand="0" w:evenHBand="0" w:firstRowFirstColumn="0" w:firstRowLastColumn="0" w:lastRowFirstColumn="0" w:lastRowLastColumn="0"/>
            </w:pPr>
            <w:r>
              <w:t>$4.47</w:t>
            </w:r>
          </w:p>
        </w:tc>
        <w:tc>
          <w:tcPr>
            <w:tcW w:w="973" w:type="dxa"/>
          </w:tcPr>
          <w:p w14:paraId="7E986169" w14:textId="51A290F7" w:rsidR="008B28CB" w:rsidRDefault="008B28CB" w:rsidP="008B28CB">
            <w:pPr>
              <w:pStyle w:val="NoSpacing"/>
              <w:jc w:val="right"/>
              <w:cnfStyle w:val="000000000000" w:firstRow="0" w:lastRow="0" w:firstColumn="0" w:lastColumn="0" w:oddVBand="0" w:evenVBand="0" w:oddHBand="0" w:evenHBand="0" w:firstRowFirstColumn="0" w:firstRowLastColumn="0" w:lastRowFirstColumn="0" w:lastRowLastColumn="0"/>
            </w:pPr>
            <w:r w:rsidRPr="00737ABE">
              <w:t>-</w:t>
            </w:r>
            <w:r>
              <w:t>1.1</w:t>
            </w:r>
            <w:r w:rsidRPr="00737ABE">
              <w:t>%</w:t>
            </w:r>
          </w:p>
        </w:tc>
        <w:tc>
          <w:tcPr>
            <w:tcW w:w="909" w:type="dxa"/>
            <w:tcBorders>
              <w:right w:val="single" w:sz="4" w:space="0" w:color="auto"/>
            </w:tcBorders>
          </w:tcPr>
          <w:p w14:paraId="36DDF54D" w14:textId="175FACE5" w:rsidR="008B28CB" w:rsidRDefault="00F94A26" w:rsidP="008B28CB">
            <w:pPr>
              <w:pStyle w:val="NoSpacing"/>
              <w:jc w:val="right"/>
              <w:cnfStyle w:val="000000000000" w:firstRow="0" w:lastRow="0" w:firstColumn="0" w:lastColumn="0" w:oddVBand="0" w:evenVBand="0" w:oddHBand="0" w:evenHBand="0" w:firstRowFirstColumn="0" w:firstRowLastColumn="0" w:lastRowFirstColumn="0" w:lastRowLastColumn="0"/>
            </w:pPr>
            <w:r>
              <w:t>+2.0</w:t>
            </w:r>
            <w:r w:rsidR="008B28CB" w:rsidRPr="00737ABE">
              <w:t>%</w:t>
            </w:r>
          </w:p>
        </w:tc>
        <w:tc>
          <w:tcPr>
            <w:tcW w:w="1776" w:type="dxa"/>
            <w:tcBorders>
              <w:top w:val="single" w:sz="4" w:space="0" w:color="DC2F02" w:themeColor="accent3"/>
              <w:left w:val="single" w:sz="4" w:space="0" w:color="auto"/>
              <w:bottom w:val="single" w:sz="4" w:space="0" w:color="DC2F02" w:themeColor="accent3"/>
            </w:tcBorders>
          </w:tcPr>
          <w:p w14:paraId="233A8701" w14:textId="4CF8EB22" w:rsidR="008B28CB" w:rsidRDefault="008B28CB" w:rsidP="008B28CB">
            <w:pPr>
              <w:pStyle w:val="NoSpacing"/>
              <w:jc w:val="right"/>
              <w:cnfStyle w:val="000000000000" w:firstRow="0" w:lastRow="0" w:firstColumn="0" w:lastColumn="0" w:oddVBand="0" w:evenVBand="0" w:oddHBand="0" w:evenHBand="0" w:firstRowFirstColumn="0" w:firstRowLastColumn="0" w:lastRowFirstColumn="0" w:lastRowLastColumn="0"/>
            </w:pPr>
            <w:r>
              <w:t>$4.52</w:t>
            </w:r>
          </w:p>
        </w:tc>
        <w:tc>
          <w:tcPr>
            <w:tcW w:w="817" w:type="dxa"/>
          </w:tcPr>
          <w:p w14:paraId="1759FD32" w14:textId="32C561C1" w:rsidR="008B28CB" w:rsidRDefault="008B28CB" w:rsidP="008B28CB">
            <w:pPr>
              <w:pStyle w:val="NoSpacing"/>
              <w:jc w:val="right"/>
              <w:cnfStyle w:val="000000000000" w:firstRow="0" w:lastRow="0" w:firstColumn="0" w:lastColumn="0" w:oddVBand="0" w:evenVBand="0" w:oddHBand="0" w:evenHBand="0" w:firstRowFirstColumn="0" w:firstRowLastColumn="0" w:lastRowFirstColumn="0" w:lastRowLastColumn="0"/>
            </w:pPr>
            <w:r w:rsidRPr="007F4F17">
              <w:t>-</w:t>
            </w:r>
            <w:r w:rsidR="00F94A26">
              <w:t>0.4</w:t>
            </w:r>
            <w:r w:rsidRPr="007F4F17">
              <w:t>%</w:t>
            </w:r>
          </w:p>
        </w:tc>
        <w:tc>
          <w:tcPr>
            <w:tcW w:w="1275" w:type="dxa"/>
          </w:tcPr>
          <w:p w14:paraId="725313BE" w14:textId="5150DF6C" w:rsidR="008B28CB" w:rsidRDefault="00F94A26" w:rsidP="008B28CB">
            <w:pPr>
              <w:pStyle w:val="NoSpacing"/>
              <w:jc w:val="right"/>
              <w:cnfStyle w:val="000000000000" w:firstRow="0" w:lastRow="0" w:firstColumn="0" w:lastColumn="0" w:oddVBand="0" w:evenVBand="0" w:oddHBand="0" w:evenHBand="0" w:firstRowFirstColumn="0" w:firstRowLastColumn="0" w:lastRowFirstColumn="0" w:lastRowLastColumn="0"/>
            </w:pPr>
            <w:r>
              <w:t>+5.6</w:t>
            </w:r>
            <w:r w:rsidR="008B28CB" w:rsidRPr="007F4F17">
              <w:t>%</w:t>
            </w:r>
          </w:p>
        </w:tc>
      </w:tr>
    </w:tbl>
    <w:p w14:paraId="5CF68DB9" w14:textId="77777777" w:rsidR="00170260" w:rsidRDefault="00170260" w:rsidP="00170260">
      <w:pPr>
        <w:pStyle w:val="NoSpacing"/>
      </w:pPr>
    </w:p>
    <w:p w14:paraId="611C2D9A" w14:textId="2A9FB97D" w:rsidR="00170260" w:rsidRDefault="00E72D31" w:rsidP="00170260">
      <w:pPr>
        <w:pStyle w:val="NoSpacing"/>
      </w:pPr>
      <w:r>
        <w:t>Fresh</w:t>
      </w:r>
      <w:r w:rsidR="00266BBD">
        <w:t xml:space="preserve"> m</w:t>
      </w:r>
      <w:r w:rsidR="00865920">
        <w:t xml:space="preserve">ushroom promotions averaged </w:t>
      </w:r>
      <w:r w:rsidR="008B28CB">
        <w:t>18.2</w:t>
      </w:r>
      <w:r>
        <w:t xml:space="preserve">% of total dollars during the quad week, </w:t>
      </w:r>
      <w:r w:rsidR="005A72D5">
        <w:t xml:space="preserve">which was </w:t>
      </w:r>
      <w:r w:rsidR="00E31AC9">
        <w:t>a de</w:t>
      </w:r>
      <w:r w:rsidR="00481440">
        <w:t xml:space="preserve">crease of </w:t>
      </w:r>
      <w:r w:rsidR="008B28CB">
        <w:t>8.8</w:t>
      </w:r>
      <w:r w:rsidR="0081571E">
        <w:t>% year-over-year</w:t>
      </w:r>
      <w:r w:rsidR="00B672D0">
        <w:t>.</w:t>
      </w:r>
      <w:r w:rsidR="00E508BB">
        <w:t xml:space="preserve"> </w:t>
      </w:r>
    </w:p>
    <w:p w14:paraId="363D2F2B" w14:textId="77777777" w:rsidR="00170260" w:rsidRPr="00E72D31" w:rsidRDefault="00170260" w:rsidP="00170260">
      <w:pPr>
        <w:pStyle w:val="NoSpacing"/>
        <w:rPr>
          <w:sz w:val="10"/>
          <w:szCs w:val="10"/>
        </w:rPr>
      </w:pPr>
    </w:p>
    <w:tbl>
      <w:tblPr>
        <w:tblStyle w:val="ListTable3-Accent3"/>
        <w:tblW w:w="10070" w:type="dxa"/>
        <w:tblLook w:val="04A0" w:firstRow="1" w:lastRow="0" w:firstColumn="1" w:lastColumn="0" w:noHBand="0" w:noVBand="1"/>
      </w:tblPr>
      <w:tblGrid>
        <w:gridCol w:w="3505"/>
        <w:gridCol w:w="1773"/>
        <w:gridCol w:w="1369"/>
        <w:gridCol w:w="2054"/>
        <w:gridCol w:w="1369"/>
      </w:tblGrid>
      <w:tr w:rsidR="00972570" w:rsidRPr="00124CB7" w14:paraId="5DFB9CAB" w14:textId="77777777" w:rsidTr="00F83117">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3505" w:type="dxa"/>
            <w:shd w:val="clear" w:color="auto" w:fill="800000"/>
          </w:tcPr>
          <w:p w14:paraId="4168BC1A" w14:textId="77777777" w:rsidR="00972570" w:rsidRPr="00124CB7" w:rsidRDefault="00972570" w:rsidP="009A5A3B">
            <w:pPr>
              <w:pStyle w:val="NoSpacing"/>
            </w:pPr>
            <w:r w:rsidRPr="00124CB7">
              <w:t>Fresh mushrooms</w:t>
            </w:r>
          </w:p>
        </w:tc>
        <w:tc>
          <w:tcPr>
            <w:tcW w:w="1773" w:type="dxa"/>
            <w:shd w:val="clear" w:color="auto" w:fill="800000"/>
          </w:tcPr>
          <w:p w14:paraId="6A0500B8" w14:textId="78F78EE2"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t xml:space="preserve">4 </w:t>
            </w:r>
            <w:proofErr w:type="spellStart"/>
            <w:r>
              <w:t>w.e</w:t>
            </w:r>
            <w:proofErr w:type="spellEnd"/>
            <w:r>
              <w:t xml:space="preserve">. </w:t>
            </w:r>
            <w:r w:rsidR="009E592D">
              <w:t>5/18</w:t>
            </w:r>
            <w:r w:rsidR="000F7C27">
              <w:t>/2025</w:t>
            </w:r>
          </w:p>
        </w:tc>
        <w:tc>
          <w:tcPr>
            <w:tcW w:w="1369" w:type="dxa"/>
            <w:tcBorders>
              <w:right w:val="single" w:sz="4" w:space="0" w:color="auto"/>
            </w:tcBorders>
            <w:shd w:val="clear" w:color="auto" w:fill="800000"/>
          </w:tcPr>
          <w:p w14:paraId="5CF9736D" w14:textId="780DB308"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c>
          <w:tcPr>
            <w:tcW w:w="2054" w:type="dxa"/>
            <w:tcBorders>
              <w:top w:val="single" w:sz="4" w:space="0" w:color="DC2F02" w:themeColor="accent3"/>
              <w:left w:val="single" w:sz="4" w:space="0" w:color="auto"/>
              <w:bottom w:val="single" w:sz="4" w:space="0" w:color="DC2F02" w:themeColor="accent3"/>
            </w:tcBorders>
            <w:shd w:val="clear" w:color="auto" w:fill="800000"/>
          </w:tcPr>
          <w:p w14:paraId="413A4F70" w14:textId="1F816603" w:rsidR="00972570"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t>
            </w:r>
            <w:proofErr w:type="spellStart"/>
            <w:r>
              <w:t>w.e</w:t>
            </w:r>
            <w:proofErr w:type="spellEnd"/>
            <w:r>
              <w:t>.</w:t>
            </w:r>
            <w:r w:rsidR="00972570">
              <w:t xml:space="preserve"> </w:t>
            </w:r>
            <w:r w:rsidR="009E592D">
              <w:t>5/18</w:t>
            </w:r>
            <w:r w:rsidR="000F7C27">
              <w:t>/2025</w:t>
            </w:r>
          </w:p>
        </w:tc>
        <w:tc>
          <w:tcPr>
            <w:tcW w:w="1369" w:type="dxa"/>
            <w:shd w:val="clear" w:color="auto" w:fill="800000"/>
          </w:tcPr>
          <w:p w14:paraId="75064544" w14:textId="312D7093"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r>
      <w:tr w:rsidR="00D15B2D" w14:paraId="3B76FFA3" w14:textId="78296325" w:rsidTr="00F8311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505" w:type="dxa"/>
          </w:tcPr>
          <w:p w14:paraId="2B5B6C81" w14:textId="6313A9FC" w:rsidR="00D15B2D" w:rsidRDefault="00D15B2D" w:rsidP="00D15B2D">
            <w:pPr>
              <w:pStyle w:val="NoSpacing"/>
              <w:rPr>
                <w:b w:val="0"/>
                <w:bCs w:val="0"/>
              </w:rPr>
            </w:pPr>
            <w:r>
              <w:rPr>
                <w:b w:val="0"/>
                <w:bCs w:val="0"/>
              </w:rPr>
              <w:t>Share of dollars sold on promotion</w:t>
            </w:r>
          </w:p>
        </w:tc>
        <w:tc>
          <w:tcPr>
            <w:tcW w:w="1773" w:type="dxa"/>
          </w:tcPr>
          <w:p w14:paraId="6D5E5F03" w14:textId="7419972A" w:rsidR="00D15B2D" w:rsidRPr="00D15B2D" w:rsidRDefault="008B28CB"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18.2</w:t>
            </w:r>
            <w:r w:rsidR="00D15B2D" w:rsidRPr="00D15B2D">
              <w:rPr>
                <w:rFonts w:ascii="Calibri" w:eastAsia="Calibri" w:hAnsi="Calibri"/>
                <w:kern w:val="24"/>
              </w:rPr>
              <w:t>%</w:t>
            </w:r>
          </w:p>
        </w:tc>
        <w:tc>
          <w:tcPr>
            <w:tcW w:w="1369" w:type="dxa"/>
            <w:tcBorders>
              <w:right w:val="single" w:sz="4" w:space="0" w:color="auto"/>
            </w:tcBorders>
          </w:tcPr>
          <w:p w14:paraId="586FECBD" w14:textId="6490C078" w:rsidR="00D15B2D" w:rsidRPr="00D15B2D" w:rsidRDefault="009E592D"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w:t>
            </w:r>
            <w:r w:rsidR="008B28CB">
              <w:rPr>
                <w:rFonts w:ascii="Calibri" w:eastAsia="Calibri" w:hAnsi="Calibri"/>
                <w:kern w:val="24"/>
              </w:rPr>
              <w:t>8.8</w:t>
            </w:r>
            <w:r w:rsidR="00D15B2D" w:rsidRPr="00D15B2D">
              <w:rPr>
                <w:rFonts w:ascii="Calibri" w:eastAsia="Calibri" w:hAnsi="Calibri"/>
                <w:kern w:val="24"/>
              </w:rPr>
              <w:t>%</w:t>
            </w:r>
          </w:p>
        </w:tc>
        <w:tc>
          <w:tcPr>
            <w:tcW w:w="2054" w:type="dxa"/>
            <w:tcBorders>
              <w:left w:val="single" w:sz="4" w:space="0" w:color="auto"/>
            </w:tcBorders>
          </w:tcPr>
          <w:p w14:paraId="66CD7DD9" w14:textId="5EE64E43" w:rsidR="00D15B2D" w:rsidRPr="00D15B2D" w:rsidRDefault="008B28CB"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18.0</w:t>
            </w:r>
            <w:r w:rsidR="00D15B2D" w:rsidRPr="00D15B2D">
              <w:rPr>
                <w:rFonts w:ascii="Calibri" w:eastAsia="Calibri" w:hAnsi="Calibri"/>
                <w:kern w:val="24"/>
              </w:rPr>
              <w:t>%</w:t>
            </w:r>
          </w:p>
        </w:tc>
        <w:tc>
          <w:tcPr>
            <w:tcW w:w="1369" w:type="dxa"/>
          </w:tcPr>
          <w:p w14:paraId="7461CDF6" w14:textId="254B9AE2" w:rsidR="00D15B2D" w:rsidRPr="00D15B2D" w:rsidRDefault="00481440"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w:t>
            </w:r>
            <w:r w:rsidR="008B28CB">
              <w:rPr>
                <w:rFonts w:ascii="Calibri" w:eastAsia="Calibri" w:hAnsi="Calibri"/>
                <w:kern w:val="24"/>
              </w:rPr>
              <w:t>1.1</w:t>
            </w:r>
            <w:r w:rsidR="00D15B2D" w:rsidRPr="00D15B2D">
              <w:rPr>
                <w:rFonts w:ascii="Calibri" w:eastAsia="Calibri" w:hAnsi="Calibri"/>
                <w:kern w:val="24"/>
              </w:rPr>
              <w:t>%</w:t>
            </w:r>
          </w:p>
        </w:tc>
      </w:tr>
    </w:tbl>
    <w:p w14:paraId="23606064" w14:textId="43713975" w:rsidR="00555250"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004C5B27">
        <w:rPr>
          <w:color w:val="7F7F7F" w:themeColor="text1" w:themeTint="80"/>
          <w:sz w:val="16"/>
          <w:szCs w:val="16"/>
        </w:rPr>
        <w:t xml:space="preserve">, </w:t>
      </w:r>
      <w:r w:rsidRPr="00555250">
        <w:rPr>
          <w:color w:val="7F7F7F" w:themeColor="text1" w:themeTint="80"/>
          <w:sz w:val="16"/>
          <w:szCs w:val="16"/>
        </w:rPr>
        <w:t xml:space="preserve">Integrated Fresh, </w:t>
      </w:r>
      <w:r w:rsidR="00FA0530">
        <w:rPr>
          <w:color w:val="7F7F7F" w:themeColor="text1" w:themeTint="80"/>
          <w:sz w:val="16"/>
          <w:szCs w:val="16"/>
        </w:rPr>
        <w:t>MULO+</w:t>
      </w:r>
      <w:r w:rsidRPr="00555250">
        <w:rPr>
          <w:color w:val="7F7F7F" w:themeColor="text1" w:themeTint="80"/>
          <w:sz w:val="16"/>
          <w:szCs w:val="16"/>
        </w:rPr>
        <w:t xml:space="preserve">, </w:t>
      </w:r>
      <w:r w:rsidR="00A657C4">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9E592D">
        <w:rPr>
          <w:color w:val="7F7F7F" w:themeColor="text1" w:themeTint="80"/>
          <w:sz w:val="16"/>
          <w:szCs w:val="16"/>
        </w:rPr>
        <w:t>5/18</w:t>
      </w:r>
      <w:r w:rsidR="000F7C27">
        <w:rPr>
          <w:color w:val="7F7F7F" w:themeColor="text1" w:themeTint="80"/>
          <w:sz w:val="16"/>
          <w:szCs w:val="16"/>
        </w:rPr>
        <w:t>/2025</w:t>
      </w:r>
    </w:p>
    <w:p w14:paraId="0804BC52" w14:textId="568E8254" w:rsidR="0092088E" w:rsidRDefault="0092088E" w:rsidP="00472B02">
      <w:pPr>
        <w:pStyle w:val="NoSpacing"/>
      </w:pPr>
    </w:p>
    <w:p w14:paraId="59E70896" w14:textId="52CB107E" w:rsidR="004C2808" w:rsidRPr="00D3797F" w:rsidRDefault="004C2808" w:rsidP="004462C1">
      <w:pPr>
        <w:pStyle w:val="Heading2"/>
        <w:rPr>
          <w:b/>
          <w:bCs/>
          <w:color w:val="800000"/>
        </w:rPr>
      </w:pPr>
      <w:r w:rsidRPr="00D3797F">
        <w:rPr>
          <w:b/>
          <w:bCs/>
          <w:color w:val="800000"/>
        </w:rPr>
        <w:t>Additional observations:</w:t>
      </w:r>
    </w:p>
    <w:p w14:paraId="22421914" w14:textId="638B739C" w:rsidR="00C9550B" w:rsidRDefault="00C9550B" w:rsidP="009A5A3B">
      <w:pPr>
        <w:pStyle w:val="NoSpacing"/>
        <w:numPr>
          <w:ilvl w:val="0"/>
          <w:numId w:val="2"/>
        </w:numPr>
        <w:rPr>
          <w:color w:val="000000" w:themeColor="text1"/>
        </w:rPr>
      </w:pPr>
      <w:r w:rsidRPr="00B11421">
        <w:rPr>
          <w:color w:val="000000" w:themeColor="text1"/>
          <w:u w:val="single"/>
        </w:rPr>
        <w:t>Package size</w:t>
      </w:r>
      <w:r w:rsidRPr="00B11421">
        <w:rPr>
          <w:color w:val="000000" w:themeColor="text1"/>
        </w:rPr>
        <w:t xml:space="preserve">: </w:t>
      </w:r>
      <w:r w:rsidR="00B672D0" w:rsidRPr="00B11421">
        <w:rPr>
          <w:color w:val="000000" w:themeColor="text1"/>
        </w:rPr>
        <w:t>8</w:t>
      </w:r>
      <w:r w:rsidRPr="00B11421">
        <w:rPr>
          <w:color w:val="000000" w:themeColor="text1"/>
        </w:rPr>
        <w:t xml:space="preserve">-ounce packages </w:t>
      </w:r>
      <w:r w:rsidR="00B42A49" w:rsidRPr="00B11421">
        <w:rPr>
          <w:color w:val="000000" w:themeColor="text1"/>
        </w:rPr>
        <w:t xml:space="preserve">generated </w:t>
      </w:r>
      <w:r w:rsidR="00FA0530">
        <w:rPr>
          <w:color w:val="000000" w:themeColor="text1"/>
        </w:rPr>
        <w:t>$</w:t>
      </w:r>
      <w:r w:rsidR="00FA503C">
        <w:rPr>
          <w:color w:val="000000" w:themeColor="text1"/>
        </w:rPr>
        <w:t>715.8</w:t>
      </w:r>
      <w:r w:rsidR="00F565B7">
        <w:rPr>
          <w:color w:val="000000" w:themeColor="text1"/>
        </w:rPr>
        <w:t xml:space="preserve"> million</w:t>
      </w:r>
      <w:r w:rsidR="00B672D0" w:rsidRPr="00B11421">
        <w:rPr>
          <w:color w:val="000000" w:themeColor="text1"/>
        </w:rPr>
        <w:t xml:space="preserve"> in the </w:t>
      </w:r>
      <w:r w:rsidR="00F565B7">
        <w:rPr>
          <w:color w:val="000000" w:themeColor="text1"/>
        </w:rPr>
        <w:t>past year</w:t>
      </w:r>
      <w:r w:rsidR="00195B70">
        <w:rPr>
          <w:color w:val="000000" w:themeColor="text1"/>
        </w:rPr>
        <w:t>, a</w:t>
      </w:r>
      <w:r w:rsidR="00FA0530">
        <w:rPr>
          <w:color w:val="000000" w:themeColor="text1"/>
        </w:rPr>
        <w:t xml:space="preserve"> decrease of </w:t>
      </w:r>
      <w:r w:rsidR="00FA503C">
        <w:rPr>
          <w:color w:val="000000" w:themeColor="text1"/>
        </w:rPr>
        <w:t>3.6</w:t>
      </w:r>
      <w:r w:rsidR="00F06A94">
        <w:rPr>
          <w:color w:val="000000" w:themeColor="text1"/>
        </w:rPr>
        <w:t>% versus year-ago levels.</w:t>
      </w:r>
      <w:r w:rsidR="00834A70">
        <w:rPr>
          <w:color w:val="000000" w:themeColor="text1"/>
        </w:rPr>
        <w:t xml:space="preserve"> </w:t>
      </w:r>
      <w:r w:rsidR="00D3797F">
        <w:rPr>
          <w:color w:val="000000" w:themeColor="text1"/>
        </w:rPr>
        <w:t xml:space="preserve">Meanwhile, 24-ounce packages grew </w:t>
      </w:r>
      <w:r w:rsidR="00F565B7">
        <w:rPr>
          <w:color w:val="000000" w:themeColor="text1"/>
        </w:rPr>
        <w:t>dollar, uni</w:t>
      </w:r>
      <w:r w:rsidR="00D3797F">
        <w:rPr>
          <w:color w:val="000000" w:themeColor="text1"/>
        </w:rPr>
        <w:t>t</w:t>
      </w:r>
      <w:r w:rsidR="00F565B7">
        <w:rPr>
          <w:color w:val="000000" w:themeColor="text1"/>
        </w:rPr>
        <w:t xml:space="preserve"> and pound</w:t>
      </w:r>
      <w:r w:rsidR="00D3797F">
        <w:rPr>
          <w:color w:val="000000" w:themeColor="text1"/>
        </w:rPr>
        <w:t xml:space="preserve"> sales versus last year</w:t>
      </w:r>
      <w:r w:rsidR="00F83117">
        <w:rPr>
          <w:color w:val="000000" w:themeColor="text1"/>
        </w:rPr>
        <w:t>, whereas 16-ounce packages had a below-average performance</w:t>
      </w:r>
      <w:r w:rsidR="00F565B7">
        <w:rPr>
          <w:color w:val="000000" w:themeColor="text1"/>
        </w:rPr>
        <w:t xml:space="preserve">. </w:t>
      </w:r>
      <w:r w:rsidR="005A72D5">
        <w:rPr>
          <w:color w:val="000000" w:themeColor="text1"/>
        </w:rPr>
        <w:t>The 24-ounce packages also performed best in the quad-week view.</w:t>
      </w:r>
      <w:r w:rsidR="00A05D7D">
        <w:rPr>
          <w:color w:val="000000" w:themeColor="text1"/>
        </w:rPr>
        <w:t xml:space="preserve"> Larger pack sizes do particularly well during the holidays. </w:t>
      </w:r>
    </w:p>
    <w:p w14:paraId="39BF4FC8" w14:textId="3ADC0032" w:rsidR="00E72D31" w:rsidRPr="00B04889" w:rsidRDefault="004462C1" w:rsidP="009718A1">
      <w:pPr>
        <w:pStyle w:val="NoSpacing"/>
        <w:numPr>
          <w:ilvl w:val="0"/>
          <w:numId w:val="2"/>
        </w:numPr>
        <w:rPr>
          <w:color w:val="000000" w:themeColor="text1"/>
        </w:rPr>
      </w:pPr>
      <w:r w:rsidRPr="00E72D31">
        <w:rPr>
          <w:color w:val="000000" w:themeColor="text1"/>
          <w:u w:val="single"/>
        </w:rPr>
        <w:t>Organic vs</w:t>
      </w:r>
      <w:r w:rsidR="005B6968" w:rsidRPr="00E72D31">
        <w:rPr>
          <w:color w:val="000000" w:themeColor="text1"/>
          <w:u w:val="single"/>
        </w:rPr>
        <w:t>.</w:t>
      </w:r>
      <w:r w:rsidRPr="00E72D31">
        <w:rPr>
          <w:color w:val="000000" w:themeColor="text1"/>
          <w:u w:val="single"/>
        </w:rPr>
        <w:t xml:space="preserve"> conventional</w:t>
      </w:r>
      <w:r w:rsidRPr="00E72D31">
        <w:rPr>
          <w:color w:val="000000" w:themeColor="text1"/>
        </w:rPr>
        <w:t xml:space="preserve">: Organic </w:t>
      </w:r>
      <w:r w:rsidR="005B6968" w:rsidRPr="00E72D31">
        <w:rPr>
          <w:color w:val="000000" w:themeColor="text1"/>
        </w:rPr>
        <w:t xml:space="preserve">mushrooms </w:t>
      </w:r>
      <w:r w:rsidR="002511F5">
        <w:rPr>
          <w:color w:val="000000" w:themeColor="text1"/>
        </w:rPr>
        <w:t>generated $</w:t>
      </w:r>
      <w:r w:rsidR="00FA503C">
        <w:rPr>
          <w:color w:val="000000" w:themeColor="text1"/>
        </w:rPr>
        <w:t>25.4</w:t>
      </w:r>
      <w:r w:rsidR="002511F5">
        <w:rPr>
          <w:color w:val="000000" w:themeColor="text1"/>
        </w:rPr>
        <w:t xml:space="preserve"> million in sales over the</w:t>
      </w:r>
      <w:r w:rsidR="005A72D5">
        <w:rPr>
          <w:color w:val="000000" w:themeColor="text1"/>
        </w:rPr>
        <w:t xml:space="preserve"> quad-week period</w:t>
      </w:r>
      <w:r w:rsidR="00FC3E0A">
        <w:rPr>
          <w:color w:val="000000" w:themeColor="text1"/>
        </w:rPr>
        <w:t xml:space="preserve">, </w:t>
      </w:r>
      <w:r w:rsidR="0095540D">
        <w:rPr>
          <w:color w:val="000000" w:themeColor="text1"/>
        </w:rPr>
        <w:t>down</w:t>
      </w:r>
      <w:r w:rsidR="002511F5">
        <w:rPr>
          <w:color w:val="000000" w:themeColor="text1"/>
        </w:rPr>
        <w:t xml:space="preserve"> </w:t>
      </w:r>
      <w:r w:rsidR="00FA503C">
        <w:rPr>
          <w:color w:val="000000" w:themeColor="text1"/>
        </w:rPr>
        <w:t>2.8</w:t>
      </w:r>
      <w:r w:rsidR="002511F5">
        <w:rPr>
          <w:color w:val="000000" w:themeColor="text1"/>
        </w:rPr>
        <w:t xml:space="preserve">% over year ago levels. Additionally, organic mushrooms </w:t>
      </w:r>
      <w:r w:rsidR="0095540D">
        <w:rPr>
          <w:color w:val="000000" w:themeColor="text1"/>
        </w:rPr>
        <w:t>decreased</w:t>
      </w:r>
      <w:r w:rsidR="002511F5">
        <w:rPr>
          <w:color w:val="000000" w:themeColor="text1"/>
        </w:rPr>
        <w:t xml:space="preserve"> in volume sales</w:t>
      </w:r>
      <w:r w:rsidR="009E592D">
        <w:rPr>
          <w:color w:val="000000" w:themeColor="text1"/>
        </w:rPr>
        <w:t>, at -</w:t>
      </w:r>
      <w:r w:rsidR="00FA503C">
        <w:rPr>
          <w:color w:val="000000" w:themeColor="text1"/>
        </w:rPr>
        <w:t>4.5</w:t>
      </w:r>
      <w:r w:rsidR="0086077B">
        <w:rPr>
          <w:color w:val="000000" w:themeColor="text1"/>
        </w:rPr>
        <w:t>%</w:t>
      </w:r>
      <w:r w:rsidR="005A72D5">
        <w:rPr>
          <w:color w:val="000000" w:themeColor="text1"/>
        </w:rPr>
        <w:t xml:space="preserve">. </w:t>
      </w:r>
    </w:p>
    <w:p w14:paraId="6D934167" w14:textId="5334C5EE" w:rsidR="00B07D7F" w:rsidRPr="00B04889" w:rsidRDefault="002511F5" w:rsidP="009718A1">
      <w:pPr>
        <w:pStyle w:val="NoSpacing"/>
        <w:numPr>
          <w:ilvl w:val="0"/>
          <w:numId w:val="2"/>
        </w:numPr>
        <w:rPr>
          <w:color w:val="000000" w:themeColor="text1"/>
        </w:rPr>
      </w:pPr>
      <w:r w:rsidRPr="00B04889">
        <w:rPr>
          <w:color w:val="000000" w:themeColor="text1"/>
          <w:u w:val="single"/>
        </w:rPr>
        <w:t>Value added</w:t>
      </w:r>
      <w:r w:rsidR="00B11421" w:rsidRPr="00B04889">
        <w:rPr>
          <w:color w:val="000000" w:themeColor="text1"/>
        </w:rPr>
        <w:t xml:space="preserve">: </w:t>
      </w:r>
      <w:r w:rsidR="00B07D7F" w:rsidRPr="00B04889">
        <w:rPr>
          <w:color w:val="000000" w:themeColor="text1"/>
        </w:rPr>
        <w:t>Value</w:t>
      </w:r>
      <w:r w:rsidR="002B3335">
        <w:rPr>
          <w:color w:val="000000" w:themeColor="text1"/>
        </w:rPr>
        <w:t>-</w:t>
      </w:r>
      <w:r w:rsidR="00B07D7F" w:rsidRPr="00B04889">
        <w:rPr>
          <w:color w:val="000000" w:themeColor="text1"/>
        </w:rPr>
        <w:t>added mushrooms represented $</w:t>
      </w:r>
      <w:r w:rsidR="00FA503C">
        <w:rPr>
          <w:color w:val="000000" w:themeColor="text1"/>
        </w:rPr>
        <w:t>43.6</w:t>
      </w:r>
      <w:r w:rsidR="00B07D7F" w:rsidRPr="00B04889">
        <w:rPr>
          <w:color w:val="000000" w:themeColor="text1"/>
        </w:rPr>
        <w:t xml:space="preserve"> million in</w:t>
      </w:r>
      <w:r w:rsidR="0086077B">
        <w:rPr>
          <w:color w:val="000000" w:themeColor="text1"/>
        </w:rPr>
        <w:t xml:space="preserve"> sales during the quad</w:t>
      </w:r>
      <w:r w:rsidR="002B3335">
        <w:rPr>
          <w:color w:val="000000" w:themeColor="text1"/>
        </w:rPr>
        <w:t xml:space="preserve"> </w:t>
      </w:r>
      <w:r w:rsidR="0086077B">
        <w:rPr>
          <w:color w:val="000000" w:themeColor="text1"/>
        </w:rPr>
        <w:t>week</w:t>
      </w:r>
      <w:r w:rsidR="00B07D7F" w:rsidRPr="00B04889">
        <w:rPr>
          <w:color w:val="000000" w:themeColor="text1"/>
        </w:rPr>
        <w:t xml:space="preserve">. </w:t>
      </w:r>
      <w:r w:rsidR="005A72D5" w:rsidRPr="00B04889">
        <w:rPr>
          <w:color w:val="000000" w:themeColor="text1"/>
        </w:rPr>
        <w:t>Value-added makes up a bigger share of sales than produce in general, however, conventional</w:t>
      </w:r>
      <w:r w:rsidR="00116655">
        <w:rPr>
          <w:color w:val="000000" w:themeColor="text1"/>
        </w:rPr>
        <w:t xml:space="preserve"> whole</w:t>
      </w:r>
      <w:r w:rsidR="005A72D5" w:rsidRPr="00B04889">
        <w:rPr>
          <w:color w:val="000000" w:themeColor="text1"/>
        </w:rPr>
        <w:t xml:space="preserve"> mushrooms outperformed in the shorter- and longer-time periods. </w:t>
      </w:r>
      <w:r w:rsidR="0086077B">
        <w:rPr>
          <w:color w:val="000000" w:themeColor="text1"/>
        </w:rPr>
        <w:t xml:space="preserve">This is true for total produce as well and attributable to consumers prioritizing savings as well as shelf life. </w:t>
      </w:r>
    </w:p>
    <w:p w14:paraId="5CC8E748" w14:textId="69D8E539" w:rsidR="00300A5F" w:rsidRPr="00E72D31" w:rsidRDefault="00B07D7F" w:rsidP="009718A1">
      <w:pPr>
        <w:pStyle w:val="NoSpacing"/>
        <w:numPr>
          <w:ilvl w:val="0"/>
          <w:numId w:val="2"/>
        </w:numPr>
        <w:rPr>
          <w:color w:val="000000" w:themeColor="text1"/>
        </w:rPr>
      </w:pPr>
      <w:r>
        <w:rPr>
          <w:color w:val="000000" w:themeColor="text1"/>
          <w:u w:val="single"/>
        </w:rPr>
        <w:t>Preparation</w:t>
      </w:r>
      <w:r w:rsidRPr="00B07D7F">
        <w:rPr>
          <w:color w:val="000000" w:themeColor="text1"/>
        </w:rPr>
        <w:t>:</w:t>
      </w:r>
      <w:r w:rsidR="00B32067">
        <w:rPr>
          <w:color w:val="000000" w:themeColor="text1"/>
        </w:rPr>
        <w:t xml:space="preserve"> </w:t>
      </w:r>
      <w:r w:rsidR="00FC51AD">
        <w:rPr>
          <w:color w:val="000000" w:themeColor="text1"/>
        </w:rPr>
        <w:t xml:space="preserve">Within value added, </w:t>
      </w:r>
      <w:r w:rsidR="0086077B">
        <w:rPr>
          <w:color w:val="000000" w:themeColor="text1"/>
        </w:rPr>
        <w:t>slice</w:t>
      </w:r>
      <w:r w:rsidR="00E1403D">
        <w:rPr>
          <w:color w:val="000000" w:themeColor="text1"/>
        </w:rPr>
        <w:t>d mushroom sales generated $</w:t>
      </w:r>
      <w:r w:rsidR="004C31BA">
        <w:rPr>
          <w:color w:val="000000" w:themeColor="text1"/>
        </w:rPr>
        <w:t>37.9</w:t>
      </w:r>
      <w:r w:rsidR="0086077B">
        <w:rPr>
          <w:color w:val="000000" w:themeColor="text1"/>
        </w:rPr>
        <w:t xml:space="preserve"> million in sales during the quad wee</w:t>
      </w:r>
      <w:r w:rsidR="00E1403D">
        <w:rPr>
          <w:color w:val="000000" w:themeColor="text1"/>
        </w:rPr>
        <w:t xml:space="preserve">k. This reflects a decline of </w:t>
      </w:r>
      <w:r w:rsidR="004C31BA">
        <w:rPr>
          <w:color w:val="000000" w:themeColor="text1"/>
        </w:rPr>
        <w:t>9.0</w:t>
      </w:r>
      <w:r w:rsidR="0086077B">
        <w:rPr>
          <w:color w:val="000000" w:themeColor="text1"/>
        </w:rPr>
        <w:t>% year-on-year. S</w:t>
      </w:r>
      <w:r w:rsidR="00FC51AD">
        <w:rPr>
          <w:color w:val="000000" w:themeColor="text1"/>
        </w:rPr>
        <w:t xml:space="preserve">tuffed mushroom sales </w:t>
      </w:r>
      <w:r w:rsidR="00A50E59">
        <w:rPr>
          <w:color w:val="000000" w:themeColor="text1"/>
        </w:rPr>
        <w:t>reached $</w:t>
      </w:r>
      <w:r w:rsidR="004C31BA">
        <w:rPr>
          <w:color w:val="000000" w:themeColor="text1"/>
        </w:rPr>
        <w:t>2.0</w:t>
      </w:r>
      <w:r w:rsidR="00F83117">
        <w:rPr>
          <w:color w:val="000000" w:themeColor="text1"/>
        </w:rPr>
        <w:t xml:space="preserve"> million, which was down </w:t>
      </w:r>
      <w:r w:rsidR="004C31BA">
        <w:rPr>
          <w:color w:val="000000" w:themeColor="text1"/>
        </w:rPr>
        <w:t>8.3</w:t>
      </w:r>
      <w:r w:rsidR="0086077B">
        <w:rPr>
          <w:color w:val="000000" w:themeColor="text1"/>
        </w:rPr>
        <w:t>%.</w:t>
      </w:r>
    </w:p>
    <w:p w14:paraId="45744048" w14:textId="77777777" w:rsidR="00A05D7D" w:rsidRDefault="00A05D7D" w:rsidP="00C9550B">
      <w:pPr>
        <w:pStyle w:val="NoSpacing"/>
        <w:rPr>
          <w:color w:val="7F7F7F" w:themeColor="text1" w:themeTint="80"/>
          <w:sz w:val="16"/>
          <w:szCs w:val="16"/>
        </w:rPr>
      </w:pPr>
    </w:p>
    <w:p w14:paraId="612B03EE" w14:textId="77DF1D4E" w:rsidR="000C7E82" w:rsidRPr="00B34EF7" w:rsidRDefault="00782D09" w:rsidP="00C9550B">
      <w:pPr>
        <w:pStyle w:val="NoSpacing"/>
      </w:pPr>
      <w:r w:rsidRPr="00EB30C7">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Pr="00EB30C7">
        <w:rPr>
          <w:color w:val="7F7F7F" w:themeColor="text1" w:themeTint="80"/>
          <w:sz w:val="16"/>
          <w:szCs w:val="16"/>
        </w:rPr>
        <w:t xml:space="preserve">, Integrated Fresh, </w:t>
      </w:r>
      <w:r w:rsidR="00FA0530">
        <w:rPr>
          <w:color w:val="7F7F7F" w:themeColor="text1" w:themeTint="80"/>
          <w:sz w:val="16"/>
          <w:szCs w:val="16"/>
        </w:rPr>
        <w:t>MULO+</w:t>
      </w:r>
      <w:r w:rsidRPr="00EB30C7">
        <w:rPr>
          <w:color w:val="7F7F7F" w:themeColor="text1" w:themeTint="80"/>
          <w:sz w:val="16"/>
          <w:szCs w:val="16"/>
        </w:rPr>
        <w:t xml:space="preserve">, </w:t>
      </w:r>
      <w:r w:rsidR="004B7951" w:rsidRPr="00EB30C7">
        <w:rPr>
          <w:color w:val="7F7F7F" w:themeColor="text1" w:themeTint="80"/>
          <w:sz w:val="16"/>
          <w:szCs w:val="16"/>
        </w:rPr>
        <w:t>4</w:t>
      </w:r>
      <w:r w:rsidR="0009067E">
        <w:rPr>
          <w:color w:val="7F7F7F" w:themeColor="text1" w:themeTint="80"/>
          <w:sz w:val="16"/>
          <w:szCs w:val="16"/>
        </w:rPr>
        <w:t xml:space="preserve"> or 52</w:t>
      </w:r>
      <w:r w:rsidRPr="00EB30C7">
        <w:rPr>
          <w:color w:val="7F7F7F" w:themeColor="text1" w:themeTint="80"/>
          <w:sz w:val="16"/>
          <w:szCs w:val="16"/>
        </w:rPr>
        <w:t xml:space="preserve"> weeks ending </w:t>
      </w:r>
      <w:r w:rsidR="009E592D">
        <w:rPr>
          <w:color w:val="7F7F7F" w:themeColor="text1" w:themeTint="80"/>
          <w:sz w:val="16"/>
          <w:szCs w:val="16"/>
        </w:rPr>
        <w:t>5/18</w:t>
      </w:r>
      <w:r w:rsidR="000F7C27">
        <w:rPr>
          <w:color w:val="7F7F7F" w:themeColor="text1" w:themeTint="80"/>
          <w:sz w:val="16"/>
          <w:szCs w:val="16"/>
        </w:rPr>
        <w:t>/2025</w:t>
      </w:r>
      <w:r w:rsidR="00B34EF7">
        <w:t xml:space="preserve"> </w:t>
      </w:r>
    </w:p>
    <w:sectPr w:rsidR="000C7E82" w:rsidRPr="00B34EF7" w:rsidSect="003B4E77">
      <w:pgSz w:w="12240" w:h="15840"/>
      <w:pgMar w:top="720" w:right="108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1CAE" w14:textId="77777777" w:rsidR="005777CE" w:rsidRDefault="005777CE" w:rsidP="004E49DD">
      <w:pPr>
        <w:spacing w:after="0" w:line="240" w:lineRule="auto"/>
      </w:pPr>
      <w:r>
        <w:separator/>
      </w:r>
    </w:p>
  </w:endnote>
  <w:endnote w:type="continuationSeparator" w:id="0">
    <w:p w14:paraId="3980FEA4" w14:textId="77777777" w:rsidR="005777CE" w:rsidRDefault="005777CE" w:rsidP="004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AD35" w14:textId="77777777" w:rsidR="005777CE" w:rsidRDefault="005777CE" w:rsidP="004E49DD">
      <w:pPr>
        <w:spacing w:after="0" w:line="240" w:lineRule="auto"/>
      </w:pPr>
      <w:r>
        <w:separator/>
      </w:r>
    </w:p>
  </w:footnote>
  <w:footnote w:type="continuationSeparator" w:id="0">
    <w:p w14:paraId="43D661F0" w14:textId="77777777" w:rsidR="005777CE" w:rsidRDefault="005777CE" w:rsidP="004E4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7DB0"/>
    <w:multiLevelType w:val="hybridMultilevel"/>
    <w:tmpl w:val="4F1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0259"/>
    <w:multiLevelType w:val="hybridMultilevel"/>
    <w:tmpl w:val="908CB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D1A02"/>
    <w:multiLevelType w:val="hybridMultilevel"/>
    <w:tmpl w:val="C4AA5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77733"/>
    <w:multiLevelType w:val="hybridMultilevel"/>
    <w:tmpl w:val="C798BC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0B7EE9"/>
    <w:multiLevelType w:val="hybridMultilevel"/>
    <w:tmpl w:val="2954D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87C96"/>
    <w:multiLevelType w:val="hybridMultilevel"/>
    <w:tmpl w:val="BDBA23DE"/>
    <w:lvl w:ilvl="0" w:tplc="648CDD64">
      <w:start w:val="1"/>
      <w:numFmt w:val="bullet"/>
      <w:lvlText w:val=""/>
      <w:lvlJc w:val="left"/>
      <w:pPr>
        <w:tabs>
          <w:tab w:val="num" w:pos="720"/>
        </w:tabs>
        <w:ind w:left="720" w:hanging="360"/>
      </w:pPr>
      <w:rPr>
        <w:rFonts w:ascii="Wingdings" w:hAnsi="Wingdings" w:hint="default"/>
      </w:rPr>
    </w:lvl>
    <w:lvl w:ilvl="1" w:tplc="E13AF354" w:tentative="1">
      <w:start w:val="1"/>
      <w:numFmt w:val="bullet"/>
      <w:lvlText w:val=""/>
      <w:lvlJc w:val="left"/>
      <w:pPr>
        <w:tabs>
          <w:tab w:val="num" w:pos="1440"/>
        </w:tabs>
        <w:ind w:left="1440" w:hanging="360"/>
      </w:pPr>
      <w:rPr>
        <w:rFonts w:ascii="Wingdings" w:hAnsi="Wingdings" w:hint="default"/>
      </w:rPr>
    </w:lvl>
    <w:lvl w:ilvl="2" w:tplc="5F6C3E82" w:tentative="1">
      <w:start w:val="1"/>
      <w:numFmt w:val="bullet"/>
      <w:lvlText w:val=""/>
      <w:lvlJc w:val="left"/>
      <w:pPr>
        <w:tabs>
          <w:tab w:val="num" w:pos="2160"/>
        </w:tabs>
        <w:ind w:left="2160" w:hanging="360"/>
      </w:pPr>
      <w:rPr>
        <w:rFonts w:ascii="Wingdings" w:hAnsi="Wingdings" w:hint="default"/>
      </w:rPr>
    </w:lvl>
    <w:lvl w:ilvl="3" w:tplc="77EC3CA6" w:tentative="1">
      <w:start w:val="1"/>
      <w:numFmt w:val="bullet"/>
      <w:lvlText w:val=""/>
      <w:lvlJc w:val="left"/>
      <w:pPr>
        <w:tabs>
          <w:tab w:val="num" w:pos="2880"/>
        </w:tabs>
        <w:ind w:left="2880" w:hanging="360"/>
      </w:pPr>
      <w:rPr>
        <w:rFonts w:ascii="Wingdings" w:hAnsi="Wingdings" w:hint="default"/>
      </w:rPr>
    </w:lvl>
    <w:lvl w:ilvl="4" w:tplc="F4AE55C4" w:tentative="1">
      <w:start w:val="1"/>
      <w:numFmt w:val="bullet"/>
      <w:lvlText w:val=""/>
      <w:lvlJc w:val="left"/>
      <w:pPr>
        <w:tabs>
          <w:tab w:val="num" w:pos="3600"/>
        </w:tabs>
        <w:ind w:left="3600" w:hanging="360"/>
      </w:pPr>
      <w:rPr>
        <w:rFonts w:ascii="Wingdings" w:hAnsi="Wingdings" w:hint="default"/>
      </w:rPr>
    </w:lvl>
    <w:lvl w:ilvl="5" w:tplc="9F5AA64E" w:tentative="1">
      <w:start w:val="1"/>
      <w:numFmt w:val="bullet"/>
      <w:lvlText w:val=""/>
      <w:lvlJc w:val="left"/>
      <w:pPr>
        <w:tabs>
          <w:tab w:val="num" w:pos="4320"/>
        </w:tabs>
        <w:ind w:left="4320" w:hanging="360"/>
      </w:pPr>
      <w:rPr>
        <w:rFonts w:ascii="Wingdings" w:hAnsi="Wingdings" w:hint="default"/>
      </w:rPr>
    </w:lvl>
    <w:lvl w:ilvl="6" w:tplc="8C10A300" w:tentative="1">
      <w:start w:val="1"/>
      <w:numFmt w:val="bullet"/>
      <w:lvlText w:val=""/>
      <w:lvlJc w:val="left"/>
      <w:pPr>
        <w:tabs>
          <w:tab w:val="num" w:pos="5040"/>
        </w:tabs>
        <w:ind w:left="5040" w:hanging="360"/>
      </w:pPr>
      <w:rPr>
        <w:rFonts w:ascii="Wingdings" w:hAnsi="Wingdings" w:hint="default"/>
      </w:rPr>
    </w:lvl>
    <w:lvl w:ilvl="7" w:tplc="EA264E74" w:tentative="1">
      <w:start w:val="1"/>
      <w:numFmt w:val="bullet"/>
      <w:lvlText w:val=""/>
      <w:lvlJc w:val="left"/>
      <w:pPr>
        <w:tabs>
          <w:tab w:val="num" w:pos="5760"/>
        </w:tabs>
        <w:ind w:left="5760" w:hanging="360"/>
      </w:pPr>
      <w:rPr>
        <w:rFonts w:ascii="Wingdings" w:hAnsi="Wingdings" w:hint="default"/>
      </w:rPr>
    </w:lvl>
    <w:lvl w:ilvl="8" w:tplc="19F884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56333"/>
    <w:multiLevelType w:val="hybridMultilevel"/>
    <w:tmpl w:val="DBDAD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632060"/>
    <w:multiLevelType w:val="hybridMultilevel"/>
    <w:tmpl w:val="727C6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543B87"/>
    <w:multiLevelType w:val="hybridMultilevel"/>
    <w:tmpl w:val="F7BE0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092F24"/>
    <w:multiLevelType w:val="hybridMultilevel"/>
    <w:tmpl w:val="B5BC8C1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E222FAB"/>
    <w:multiLevelType w:val="hybridMultilevel"/>
    <w:tmpl w:val="D3A4B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E31FD0"/>
    <w:multiLevelType w:val="hybridMultilevel"/>
    <w:tmpl w:val="49DCE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39032F"/>
    <w:multiLevelType w:val="hybridMultilevel"/>
    <w:tmpl w:val="2C6C9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C266F7"/>
    <w:multiLevelType w:val="hybridMultilevel"/>
    <w:tmpl w:val="AB3EF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1B0A5F"/>
    <w:multiLevelType w:val="hybridMultilevel"/>
    <w:tmpl w:val="2056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214409"/>
    <w:multiLevelType w:val="hybridMultilevel"/>
    <w:tmpl w:val="3BF6A0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952958"/>
    <w:multiLevelType w:val="hybridMultilevel"/>
    <w:tmpl w:val="A35C8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BC79E5"/>
    <w:multiLevelType w:val="hybridMultilevel"/>
    <w:tmpl w:val="36A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137452"/>
    <w:multiLevelType w:val="hybridMultilevel"/>
    <w:tmpl w:val="9800D6F0"/>
    <w:lvl w:ilvl="0" w:tplc="6F08E3BE">
      <w:start w:val="1"/>
      <w:numFmt w:val="bullet"/>
      <w:lvlText w:val=""/>
      <w:lvlJc w:val="left"/>
      <w:pPr>
        <w:tabs>
          <w:tab w:val="num" w:pos="720"/>
        </w:tabs>
        <w:ind w:left="720" w:hanging="360"/>
      </w:pPr>
      <w:rPr>
        <w:rFonts w:ascii="Wingdings" w:hAnsi="Wingdings" w:hint="default"/>
      </w:rPr>
    </w:lvl>
    <w:lvl w:ilvl="1" w:tplc="B6C4224E" w:tentative="1">
      <w:start w:val="1"/>
      <w:numFmt w:val="bullet"/>
      <w:lvlText w:val=""/>
      <w:lvlJc w:val="left"/>
      <w:pPr>
        <w:tabs>
          <w:tab w:val="num" w:pos="1440"/>
        </w:tabs>
        <w:ind w:left="1440" w:hanging="360"/>
      </w:pPr>
      <w:rPr>
        <w:rFonts w:ascii="Wingdings" w:hAnsi="Wingdings" w:hint="default"/>
      </w:rPr>
    </w:lvl>
    <w:lvl w:ilvl="2" w:tplc="4D087FC6" w:tentative="1">
      <w:start w:val="1"/>
      <w:numFmt w:val="bullet"/>
      <w:lvlText w:val=""/>
      <w:lvlJc w:val="left"/>
      <w:pPr>
        <w:tabs>
          <w:tab w:val="num" w:pos="2160"/>
        </w:tabs>
        <w:ind w:left="2160" w:hanging="360"/>
      </w:pPr>
      <w:rPr>
        <w:rFonts w:ascii="Wingdings" w:hAnsi="Wingdings" w:hint="default"/>
      </w:rPr>
    </w:lvl>
    <w:lvl w:ilvl="3" w:tplc="65FAB55C" w:tentative="1">
      <w:start w:val="1"/>
      <w:numFmt w:val="bullet"/>
      <w:lvlText w:val=""/>
      <w:lvlJc w:val="left"/>
      <w:pPr>
        <w:tabs>
          <w:tab w:val="num" w:pos="2880"/>
        </w:tabs>
        <w:ind w:left="2880" w:hanging="360"/>
      </w:pPr>
      <w:rPr>
        <w:rFonts w:ascii="Wingdings" w:hAnsi="Wingdings" w:hint="default"/>
      </w:rPr>
    </w:lvl>
    <w:lvl w:ilvl="4" w:tplc="185CF4B0" w:tentative="1">
      <w:start w:val="1"/>
      <w:numFmt w:val="bullet"/>
      <w:lvlText w:val=""/>
      <w:lvlJc w:val="left"/>
      <w:pPr>
        <w:tabs>
          <w:tab w:val="num" w:pos="3600"/>
        </w:tabs>
        <w:ind w:left="3600" w:hanging="360"/>
      </w:pPr>
      <w:rPr>
        <w:rFonts w:ascii="Wingdings" w:hAnsi="Wingdings" w:hint="default"/>
      </w:rPr>
    </w:lvl>
    <w:lvl w:ilvl="5" w:tplc="867CDEDA" w:tentative="1">
      <w:start w:val="1"/>
      <w:numFmt w:val="bullet"/>
      <w:lvlText w:val=""/>
      <w:lvlJc w:val="left"/>
      <w:pPr>
        <w:tabs>
          <w:tab w:val="num" w:pos="4320"/>
        </w:tabs>
        <w:ind w:left="4320" w:hanging="360"/>
      </w:pPr>
      <w:rPr>
        <w:rFonts w:ascii="Wingdings" w:hAnsi="Wingdings" w:hint="default"/>
      </w:rPr>
    </w:lvl>
    <w:lvl w:ilvl="6" w:tplc="EDC41216" w:tentative="1">
      <w:start w:val="1"/>
      <w:numFmt w:val="bullet"/>
      <w:lvlText w:val=""/>
      <w:lvlJc w:val="left"/>
      <w:pPr>
        <w:tabs>
          <w:tab w:val="num" w:pos="5040"/>
        </w:tabs>
        <w:ind w:left="5040" w:hanging="360"/>
      </w:pPr>
      <w:rPr>
        <w:rFonts w:ascii="Wingdings" w:hAnsi="Wingdings" w:hint="default"/>
      </w:rPr>
    </w:lvl>
    <w:lvl w:ilvl="7" w:tplc="4C782DCE" w:tentative="1">
      <w:start w:val="1"/>
      <w:numFmt w:val="bullet"/>
      <w:lvlText w:val=""/>
      <w:lvlJc w:val="left"/>
      <w:pPr>
        <w:tabs>
          <w:tab w:val="num" w:pos="5760"/>
        </w:tabs>
        <w:ind w:left="5760" w:hanging="360"/>
      </w:pPr>
      <w:rPr>
        <w:rFonts w:ascii="Wingdings" w:hAnsi="Wingdings" w:hint="default"/>
      </w:rPr>
    </w:lvl>
    <w:lvl w:ilvl="8" w:tplc="8112F4A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DD128A"/>
    <w:multiLevelType w:val="hybridMultilevel"/>
    <w:tmpl w:val="E1844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0039301">
    <w:abstractNumId w:val="17"/>
  </w:num>
  <w:num w:numId="2" w16cid:durableId="190995372">
    <w:abstractNumId w:val="20"/>
  </w:num>
  <w:num w:numId="3" w16cid:durableId="1896161758">
    <w:abstractNumId w:val="23"/>
  </w:num>
  <w:num w:numId="4" w16cid:durableId="1800147900">
    <w:abstractNumId w:val="10"/>
  </w:num>
  <w:num w:numId="5" w16cid:durableId="2041785751">
    <w:abstractNumId w:val="28"/>
  </w:num>
  <w:num w:numId="6" w16cid:durableId="1479224409">
    <w:abstractNumId w:val="21"/>
  </w:num>
  <w:num w:numId="7" w16cid:durableId="2037340117">
    <w:abstractNumId w:val="13"/>
  </w:num>
  <w:num w:numId="8" w16cid:durableId="1893926942">
    <w:abstractNumId w:val="8"/>
  </w:num>
  <w:num w:numId="9" w16cid:durableId="1087966306">
    <w:abstractNumId w:val="5"/>
  </w:num>
  <w:num w:numId="10" w16cid:durableId="1618176919">
    <w:abstractNumId w:val="25"/>
  </w:num>
  <w:num w:numId="11" w16cid:durableId="113670897">
    <w:abstractNumId w:val="7"/>
  </w:num>
  <w:num w:numId="12" w16cid:durableId="453059736">
    <w:abstractNumId w:val="24"/>
  </w:num>
  <w:num w:numId="13" w16cid:durableId="1390957270">
    <w:abstractNumId w:val="11"/>
  </w:num>
  <w:num w:numId="14" w16cid:durableId="920482176">
    <w:abstractNumId w:val="15"/>
  </w:num>
  <w:num w:numId="15" w16cid:durableId="866793815">
    <w:abstractNumId w:val="31"/>
  </w:num>
  <w:num w:numId="16" w16cid:durableId="198665548">
    <w:abstractNumId w:val="0"/>
  </w:num>
  <w:num w:numId="17" w16cid:durableId="571549145">
    <w:abstractNumId w:val="18"/>
  </w:num>
  <w:num w:numId="18" w16cid:durableId="536625888">
    <w:abstractNumId w:val="30"/>
  </w:num>
  <w:num w:numId="19" w16cid:durableId="818575520">
    <w:abstractNumId w:val="16"/>
  </w:num>
  <w:num w:numId="20" w16cid:durableId="1745100547">
    <w:abstractNumId w:val="26"/>
  </w:num>
  <w:num w:numId="21" w16cid:durableId="1742294316">
    <w:abstractNumId w:val="14"/>
  </w:num>
  <w:num w:numId="22" w16cid:durableId="1032613398">
    <w:abstractNumId w:val="1"/>
  </w:num>
  <w:num w:numId="23" w16cid:durableId="2036149636">
    <w:abstractNumId w:val="4"/>
  </w:num>
  <w:num w:numId="24" w16cid:durableId="1580825058">
    <w:abstractNumId w:val="22"/>
  </w:num>
  <w:num w:numId="25" w16cid:durableId="1894003412">
    <w:abstractNumId w:val="27"/>
  </w:num>
  <w:num w:numId="26" w16cid:durableId="605236710">
    <w:abstractNumId w:val="3"/>
  </w:num>
  <w:num w:numId="27" w16cid:durableId="303000835">
    <w:abstractNumId w:val="6"/>
  </w:num>
  <w:num w:numId="28" w16cid:durableId="1536045898">
    <w:abstractNumId w:val="29"/>
  </w:num>
  <w:num w:numId="29" w16cid:durableId="1300452177">
    <w:abstractNumId w:val="2"/>
  </w:num>
  <w:num w:numId="30" w16cid:durableId="154490834">
    <w:abstractNumId w:val="19"/>
  </w:num>
  <w:num w:numId="31" w16cid:durableId="1719932112">
    <w:abstractNumId w:val="9"/>
  </w:num>
  <w:num w:numId="32" w16cid:durableId="802583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F7"/>
    <w:rsid w:val="00002FF4"/>
    <w:rsid w:val="000073AF"/>
    <w:rsid w:val="00014870"/>
    <w:rsid w:val="00015E7B"/>
    <w:rsid w:val="00023241"/>
    <w:rsid w:val="00024188"/>
    <w:rsid w:val="00024D78"/>
    <w:rsid w:val="00026928"/>
    <w:rsid w:val="00030ABF"/>
    <w:rsid w:val="00031FFF"/>
    <w:rsid w:val="00035D16"/>
    <w:rsid w:val="0003642F"/>
    <w:rsid w:val="00040942"/>
    <w:rsid w:val="0004266D"/>
    <w:rsid w:val="00044279"/>
    <w:rsid w:val="00047054"/>
    <w:rsid w:val="00047C86"/>
    <w:rsid w:val="00052654"/>
    <w:rsid w:val="0005390A"/>
    <w:rsid w:val="0005415B"/>
    <w:rsid w:val="00057984"/>
    <w:rsid w:val="00070F7C"/>
    <w:rsid w:val="00072B0E"/>
    <w:rsid w:val="0007328F"/>
    <w:rsid w:val="00074705"/>
    <w:rsid w:val="0007660D"/>
    <w:rsid w:val="000809C3"/>
    <w:rsid w:val="00082B37"/>
    <w:rsid w:val="00085508"/>
    <w:rsid w:val="00085F10"/>
    <w:rsid w:val="00087F7E"/>
    <w:rsid w:val="00090109"/>
    <w:rsid w:val="0009067E"/>
    <w:rsid w:val="00092E55"/>
    <w:rsid w:val="000963FA"/>
    <w:rsid w:val="00096615"/>
    <w:rsid w:val="0009676C"/>
    <w:rsid w:val="000A4146"/>
    <w:rsid w:val="000B2A64"/>
    <w:rsid w:val="000C03B1"/>
    <w:rsid w:val="000C1DF9"/>
    <w:rsid w:val="000C29FA"/>
    <w:rsid w:val="000C3CC4"/>
    <w:rsid w:val="000C7E82"/>
    <w:rsid w:val="000D5A69"/>
    <w:rsid w:val="000D7A79"/>
    <w:rsid w:val="000E0D6B"/>
    <w:rsid w:val="000E2A1D"/>
    <w:rsid w:val="000E537C"/>
    <w:rsid w:val="000E61FF"/>
    <w:rsid w:val="000F31B1"/>
    <w:rsid w:val="000F7C27"/>
    <w:rsid w:val="001026FB"/>
    <w:rsid w:val="001055A7"/>
    <w:rsid w:val="00105C56"/>
    <w:rsid w:val="001119BD"/>
    <w:rsid w:val="00113A33"/>
    <w:rsid w:val="00114E6C"/>
    <w:rsid w:val="00116655"/>
    <w:rsid w:val="0011683C"/>
    <w:rsid w:val="00117FE8"/>
    <w:rsid w:val="00124C8B"/>
    <w:rsid w:val="00124CB7"/>
    <w:rsid w:val="00133971"/>
    <w:rsid w:val="00137C12"/>
    <w:rsid w:val="00142A42"/>
    <w:rsid w:val="00145E27"/>
    <w:rsid w:val="00145E9F"/>
    <w:rsid w:val="001525BA"/>
    <w:rsid w:val="00154309"/>
    <w:rsid w:val="00157136"/>
    <w:rsid w:val="00164656"/>
    <w:rsid w:val="001667D9"/>
    <w:rsid w:val="00170260"/>
    <w:rsid w:val="001818D9"/>
    <w:rsid w:val="00181944"/>
    <w:rsid w:val="00184281"/>
    <w:rsid w:val="00195B70"/>
    <w:rsid w:val="001A2890"/>
    <w:rsid w:val="001A33F9"/>
    <w:rsid w:val="001A4D44"/>
    <w:rsid w:val="001A601E"/>
    <w:rsid w:val="001B1351"/>
    <w:rsid w:val="001B18A2"/>
    <w:rsid w:val="001B68E6"/>
    <w:rsid w:val="001B762B"/>
    <w:rsid w:val="001C4DB2"/>
    <w:rsid w:val="001C7D0B"/>
    <w:rsid w:val="001D16CA"/>
    <w:rsid w:val="001D2675"/>
    <w:rsid w:val="001D4C76"/>
    <w:rsid w:val="001E7C8B"/>
    <w:rsid w:val="002007AF"/>
    <w:rsid w:val="00200AD1"/>
    <w:rsid w:val="00201075"/>
    <w:rsid w:val="00205BAF"/>
    <w:rsid w:val="0021794C"/>
    <w:rsid w:val="0022081A"/>
    <w:rsid w:val="00221F2D"/>
    <w:rsid w:val="00222054"/>
    <w:rsid w:val="002225C6"/>
    <w:rsid w:val="00224A21"/>
    <w:rsid w:val="002253FE"/>
    <w:rsid w:val="0022580E"/>
    <w:rsid w:val="00226D0D"/>
    <w:rsid w:val="00226EF3"/>
    <w:rsid w:val="00232F2D"/>
    <w:rsid w:val="00240137"/>
    <w:rsid w:val="0024111A"/>
    <w:rsid w:val="002437CE"/>
    <w:rsid w:val="00245EFD"/>
    <w:rsid w:val="00250C2D"/>
    <w:rsid w:val="002511F5"/>
    <w:rsid w:val="00251BBC"/>
    <w:rsid w:val="00253F46"/>
    <w:rsid w:val="00262603"/>
    <w:rsid w:val="00264BA7"/>
    <w:rsid w:val="00264EDA"/>
    <w:rsid w:val="00266BBD"/>
    <w:rsid w:val="002712E8"/>
    <w:rsid w:val="00273580"/>
    <w:rsid w:val="002759F4"/>
    <w:rsid w:val="00276C09"/>
    <w:rsid w:val="00277D7C"/>
    <w:rsid w:val="00281498"/>
    <w:rsid w:val="0028314E"/>
    <w:rsid w:val="00283776"/>
    <w:rsid w:val="00283DB2"/>
    <w:rsid w:val="00284A86"/>
    <w:rsid w:val="00287B67"/>
    <w:rsid w:val="0029118F"/>
    <w:rsid w:val="00291F75"/>
    <w:rsid w:val="00292678"/>
    <w:rsid w:val="00293624"/>
    <w:rsid w:val="002952B2"/>
    <w:rsid w:val="002B3335"/>
    <w:rsid w:val="002B3879"/>
    <w:rsid w:val="002B7DCE"/>
    <w:rsid w:val="002B7E48"/>
    <w:rsid w:val="002D2524"/>
    <w:rsid w:val="002E2CD2"/>
    <w:rsid w:val="002E4276"/>
    <w:rsid w:val="002E6000"/>
    <w:rsid w:val="002F23A1"/>
    <w:rsid w:val="002F442E"/>
    <w:rsid w:val="00300A5F"/>
    <w:rsid w:val="003045B7"/>
    <w:rsid w:val="003070A2"/>
    <w:rsid w:val="0031233D"/>
    <w:rsid w:val="00312734"/>
    <w:rsid w:val="00314DA1"/>
    <w:rsid w:val="00322039"/>
    <w:rsid w:val="003222DB"/>
    <w:rsid w:val="003223C7"/>
    <w:rsid w:val="00323F77"/>
    <w:rsid w:val="003263AC"/>
    <w:rsid w:val="003305B1"/>
    <w:rsid w:val="00337F18"/>
    <w:rsid w:val="00347118"/>
    <w:rsid w:val="00347E3A"/>
    <w:rsid w:val="003516FA"/>
    <w:rsid w:val="00351F79"/>
    <w:rsid w:val="003534A1"/>
    <w:rsid w:val="003621B3"/>
    <w:rsid w:val="00362BB1"/>
    <w:rsid w:val="00363853"/>
    <w:rsid w:val="003648C5"/>
    <w:rsid w:val="00371EA9"/>
    <w:rsid w:val="00372196"/>
    <w:rsid w:val="00375863"/>
    <w:rsid w:val="0039393A"/>
    <w:rsid w:val="00395541"/>
    <w:rsid w:val="00396448"/>
    <w:rsid w:val="003A3323"/>
    <w:rsid w:val="003A5AFE"/>
    <w:rsid w:val="003A6A4B"/>
    <w:rsid w:val="003B4DEB"/>
    <w:rsid w:val="003B4E77"/>
    <w:rsid w:val="003B5638"/>
    <w:rsid w:val="003C014B"/>
    <w:rsid w:val="003C1DD2"/>
    <w:rsid w:val="003C2891"/>
    <w:rsid w:val="003C4CCE"/>
    <w:rsid w:val="003C72DD"/>
    <w:rsid w:val="003C7AA5"/>
    <w:rsid w:val="003D184D"/>
    <w:rsid w:val="003D3BDA"/>
    <w:rsid w:val="003D3C99"/>
    <w:rsid w:val="003D5B00"/>
    <w:rsid w:val="003D6A0F"/>
    <w:rsid w:val="003E2D02"/>
    <w:rsid w:val="003E466E"/>
    <w:rsid w:val="003E61D0"/>
    <w:rsid w:val="003E7319"/>
    <w:rsid w:val="003E75D3"/>
    <w:rsid w:val="003F4A65"/>
    <w:rsid w:val="003F7344"/>
    <w:rsid w:val="003F77CF"/>
    <w:rsid w:val="003F7D52"/>
    <w:rsid w:val="00400111"/>
    <w:rsid w:val="00403666"/>
    <w:rsid w:val="00406762"/>
    <w:rsid w:val="00410F05"/>
    <w:rsid w:val="00411710"/>
    <w:rsid w:val="004147E0"/>
    <w:rsid w:val="00415721"/>
    <w:rsid w:val="00417945"/>
    <w:rsid w:val="00421D7D"/>
    <w:rsid w:val="00421E2A"/>
    <w:rsid w:val="00423CCF"/>
    <w:rsid w:val="00424BD4"/>
    <w:rsid w:val="00425C26"/>
    <w:rsid w:val="00430E6B"/>
    <w:rsid w:val="00432771"/>
    <w:rsid w:val="00432D1F"/>
    <w:rsid w:val="00445779"/>
    <w:rsid w:val="004462C1"/>
    <w:rsid w:val="00451263"/>
    <w:rsid w:val="00455F77"/>
    <w:rsid w:val="0045625B"/>
    <w:rsid w:val="0045784D"/>
    <w:rsid w:val="00461D8C"/>
    <w:rsid w:val="00467FB5"/>
    <w:rsid w:val="00471DC7"/>
    <w:rsid w:val="00472B02"/>
    <w:rsid w:val="0047570E"/>
    <w:rsid w:val="00476A3C"/>
    <w:rsid w:val="00476C12"/>
    <w:rsid w:val="004811FD"/>
    <w:rsid w:val="00481440"/>
    <w:rsid w:val="00483711"/>
    <w:rsid w:val="00485429"/>
    <w:rsid w:val="0048662A"/>
    <w:rsid w:val="00487F75"/>
    <w:rsid w:val="00493AD2"/>
    <w:rsid w:val="00496964"/>
    <w:rsid w:val="004A3A95"/>
    <w:rsid w:val="004A50D2"/>
    <w:rsid w:val="004B6371"/>
    <w:rsid w:val="004B7951"/>
    <w:rsid w:val="004C088A"/>
    <w:rsid w:val="004C1DB1"/>
    <w:rsid w:val="004C2808"/>
    <w:rsid w:val="004C31BA"/>
    <w:rsid w:val="004C5B27"/>
    <w:rsid w:val="004C625A"/>
    <w:rsid w:val="004E1EE4"/>
    <w:rsid w:val="004E49DD"/>
    <w:rsid w:val="004E4F69"/>
    <w:rsid w:val="004E6889"/>
    <w:rsid w:val="004F04E2"/>
    <w:rsid w:val="004F4C4D"/>
    <w:rsid w:val="004F7487"/>
    <w:rsid w:val="00504377"/>
    <w:rsid w:val="00504861"/>
    <w:rsid w:val="005049A9"/>
    <w:rsid w:val="00510C02"/>
    <w:rsid w:val="00511CD0"/>
    <w:rsid w:val="005233A4"/>
    <w:rsid w:val="00525F06"/>
    <w:rsid w:val="00526E95"/>
    <w:rsid w:val="00527BE9"/>
    <w:rsid w:val="00535D22"/>
    <w:rsid w:val="0054182D"/>
    <w:rsid w:val="00541AFF"/>
    <w:rsid w:val="00542C57"/>
    <w:rsid w:val="00543607"/>
    <w:rsid w:val="0055095F"/>
    <w:rsid w:val="00551949"/>
    <w:rsid w:val="00552C5D"/>
    <w:rsid w:val="005547EE"/>
    <w:rsid w:val="00555250"/>
    <w:rsid w:val="005571F3"/>
    <w:rsid w:val="00562346"/>
    <w:rsid w:val="0056284A"/>
    <w:rsid w:val="00567EE0"/>
    <w:rsid w:val="005777CE"/>
    <w:rsid w:val="00591D5D"/>
    <w:rsid w:val="0059588E"/>
    <w:rsid w:val="005A3316"/>
    <w:rsid w:val="005A54F2"/>
    <w:rsid w:val="005A72D5"/>
    <w:rsid w:val="005B1FEE"/>
    <w:rsid w:val="005B6968"/>
    <w:rsid w:val="005B7E4B"/>
    <w:rsid w:val="005C6AEE"/>
    <w:rsid w:val="005C75C7"/>
    <w:rsid w:val="005E1A66"/>
    <w:rsid w:val="005E212C"/>
    <w:rsid w:val="005E5127"/>
    <w:rsid w:val="005E5FEF"/>
    <w:rsid w:val="005E7FB2"/>
    <w:rsid w:val="005F1173"/>
    <w:rsid w:val="006035CB"/>
    <w:rsid w:val="0060432D"/>
    <w:rsid w:val="00606FA3"/>
    <w:rsid w:val="00611140"/>
    <w:rsid w:val="00612308"/>
    <w:rsid w:val="00615709"/>
    <w:rsid w:val="00616917"/>
    <w:rsid w:val="00617504"/>
    <w:rsid w:val="00617712"/>
    <w:rsid w:val="0062044B"/>
    <w:rsid w:val="00620ED9"/>
    <w:rsid w:val="00621E2A"/>
    <w:rsid w:val="00630F34"/>
    <w:rsid w:val="00632993"/>
    <w:rsid w:val="0064102A"/>
    <w:rsid w:val="006441B7"/>
    <w:rsid w:val="00645A58"/>
    <w:rsid w:val="00653B33"/>
    <w:rsid w:val="006617FB"/>
    <w:rsid w:val="006636C7"/>
    <w:rsid w:val="00663846"/>
    <w:rsid w:val="00666D40"/>
    <w:rsid w:val="006673B8"/>
    <w:rsid w:val="0066746E"/>
    <w:rsid w:val="00677889"/>
    <w:rsid w:val="00684918"/>
    <w:rsid w:val="00691846"/>
    <w:rsid w:val="00694050"/>
    <w:rsid w:val="00697E4D"/>
    <w:rsid w:val="006A1766"/>
    <w:rsid w:val="006A7A6E"/>
    <w:rsid w:val="006B1D67"/>
    <w:rsid w:val="006B77AF"/>
    <w:rsid w:val="006C1B19"/>
    <w:rsid w:val="006C31E3"/>
    <w:rsid w:val="006C6780"/>
    <w:rsid w:val="006D5DC2"/>
    <w:rsid w:val="006E50F3"/>
    <w:rsid w:val="006F1F55"/>
    <w:rsid w:val="006F2778"/>
    <w:rsid w:val="006F64AE"/>
    <w:rsid w:val="006F7442"/>
    <w:rsid w:val="006F765A"/>
    <w:rsid w:val="00705769"/>
    <w:rsid w:val="00706FA9"/>
    <w:rsid w:val="007070AC"/>
    <w:rsid w:val="0071051A"/>
    <w:rsid w:val="007106F4"/>
    <w:rsid w:val="00727F74"/>
    <w:rsid w:val="00730897"/>
    <w:rsid w:val="00731933"/>
    <w:rsid w:val="00731BCD"/>
    <w:rsid w:val="00734289"/>
    <w:rsid w:val="00743D95"/>
    <w:rsid w:val="00745EAB"/>
    <w:rsid w:val="007501A6"/>
    <w:rsid w:val="00752CD4"/>
    <w:rsid w:val="00757C0B"/>
    <w:rsid w:val="007629E3"/>
    <w:rsid w:val="007670E1"/>
    <w:rsid w:val="007764C7"/>
    <w:rsid w:val="00782D09"/>
    <w:rsid w:val="00785D0D"/>
    <w:rsid w:val="00787068"/>
    <w:rsid w:val="00787BBD"/>
    <w:rsid w:val="00790F59"/>
    <w:rsid w:val="007946B0"/>
    <w:rsid w:val="00795483"/>
    <w:rsid w:val="007A01C9"/>
    <w:rsid w:val="007A0B40"/>
    <w:rsid w:val="007A67D7"/>
    <w:rsid w:val="007B4A25"/>
    <w:rsid w:val="007C1D26"/>
    <w:rsid w:val="007C4638"/>
    <w:rsid w:val="007C6DB2"/>
    <w:rsid w:val="007D051E"/>
    <w:rsid w:val="007D30DA"/>
    <w:rsid w:val="007D3393"/>
    <w:rsid w:val="007D33D8"/>
    <w:rsid w:val="007D3D1C"/>
    <w:rsid w:val="007F098A"/>
    <w:rsid w:val="007F1F55"/>
    <w:rsid w:val="007F2EF8"/>
    <w:rsid w:val="007F35D3"/>
    <w:rsid w:val="007F7149"/>
    <w:rsid w:val="007F7823"/>
    <w:rsid w:val="00802E32"/>
    <w:rsid w:val="00807BB4"/>
    <w:rsid w:val="00810052"/>
    <w:rsid w:val="00810777"/>
    <w:rsid w:val="0081571E"/>
    <w:rsid w:val="0081583F"/>
    <w:rsid w:val="00826014"/>
    <w:rsid w:val="0083255B"/>
    <w:rsid w:val="00832F0A"/>
    <w:rsid w:val="00834A70"/>
    <w:rsid w:val="00837283"/>
    <w:rsid w:val="00845B8F"/>
    <w:rsid w:val="00851AC9"/>
    <w:rsid w:val="00851FDB"/>
    <w:rsid w:val="0085373E"/>
    <w:rsid w:val="0086077B"/>
    <w:rsid w:val="0086198D"/>
    <w:rsid w:val="008627B8"/>
    <w:rsid w:val="00863641"/>
    <w:rsid w:val="0086536E"/>
    <w:rsid w:val="00865920"/>
    <w:rsid w:val="00866A7D"/>
    <w:rsid w:val="008717C6"/>
    <w:rsid w:val="00873884"/>
    <w:rsid w:val="00880E1A"/>
    <w:rsid w:val="008815E3"/>
    <w:rsid w:val="008857EE"/>
    <w:rsid w:val="00891F41"/>
    <w:rsid w:val="0089208F"/>
    <w:rsid w:val="008A084A"/>
    <w:rsid w:val="008A1DBB"/>
    <w:rsid w:val="008A2C63"/>
    <w:rsid w:val="008A56E2"/>
    <w:rsid w:val="008B128D"/>
    <w:rsid w:val="008B28CB"/>
    <w:rsid w:val="008B46B0"/>
    <w:rsid w:val="008B59F7"/>
    <w:rsid w:val="008B633D"/>
    <w:rsid w:val="008B6971"/>
    <w:rsid w:val="008B7308"/>
    <w:rsid w:val="008B7FFD"/>
    <w:rsid w:val="008C7975"/>
    <w:rsid w:val="008D2A88"/>
    <w:rsid w:val="008D3EBE"/>
    <w:rsid w:val="008E48B1"/>
    <w:rsid w:val="008F2AA0"/>
    <w:rsid w:val="008F5801"/>
    <w:rsid w:val="0090384F"/>
    <w:rsid w:val="009040DB"/>
    <w:rsid w:val="0090410F"/>
    <w:rsid w:val="00904C5C"/>
    <w:rsid w:val="00910CD7"/>
    <w:rsid w:val="00911960"/>
    <w:rsid w:val="009169B9"/>
    <w:rsid w:val="00916DE2"/>
    <w:rsid w:val="0092088E"/>
    <w:rsid w:val="00920FBD"/>
    <w:rsid w:val="009232D4"/>
    <w:rsid w:val="00926E8A"/>
    <w:rsid w:val="00927EAC"/>
    <w:rsid w:val="00933A14"/>
    <w:rsid w:val="009362D0"/>
    <w:rsid w:val="0094103D"/>
    <w:rsid w:val="00941C01"/>
    <w:rsid w:val="0094219B"/>
    <w:rsid w:val="00943FF6"/>
    <w:rsid w:val="009442FF"/>
    <w:rsid w:val="00953897"/>
    <w:rsid w:val="0095540D"/>
    <w:rsid w:val="00956FE2"/>
    <w:rsid w:val="00957F25"/>
    <w:rsid w:val="009718A1"/>
    <w:rsid w:val="00972570"/>
    <w:rsid w:val="00975AF5"/>
    <w:rsid w:val="00976BF7"/>
    <w:rsid w:val="00977F7F"/>
    <w:rsid w:val="00983B89"/>
    <w:rsid w:val="00986D1F"/>
    <w:rsid w:val="00990EE6"/>
    <w:rsid w:val="00991E3F"/>
    <w:rsid w:val="009A5A3B"/>
    <w:rsid w:val="009B0330"/>
    <w:rsid w:val="009B3A61"/>
    <w:rsid w:val="009B71AE"/>
    <w:rsid w:val="009B7AC3"/>
    <w:rsid w:val="009C67A4"/>
    <w:rsid w:val="009D14FA"/>
    <w:rsid w:val="009D40C5"/>
    <w:rsid w:val="009D5574"/>
    <w:rsid w:val="009D6711"/>
    <w:rsid w:val="009E4486"/>
    <w:rsid w:val="009E592D"/>
    <w:rsid w:val="009F21E8"/>
    <w:rsid w:val="009F546F"/>
    <w:rsid w:val="009F6363"/>
    <w:rsid w:val="00A00697"/>
    <w:rsid w:val="00A050F9"/>
    <w:rsid w:val="00A05D7D"/>
    <w:rsid w:val="00A13601"/>
    <w:rsid w:val="00A142BB"/>
    <w:rsid w:val="00A14586"/>
    <w:rsid w:val="00A14882"/>
    <w:rsid w:val="00A14C2B"/>
    <w:rsid w:val="00A252ED"/>
    <w:rsid w:val="00A25C11"/>
    <w:rsid w:val="00A30FD1"/>
    <w:rsid w:val="00A337DE"/>
    <w:rsid w:val="00A35305"/>
    <w:rsid w:val="00A36245"/>
    <w:rsid w:val="00A368A7"/>
    <w:rsid w:val="00A41711"/>
    <w:rsid w:val="00A43A45"/>
    <w:rsid w:val="00A447B6"/>
    <w:rsid w:val="00A45D51"/>
    <w:rsid w:val="00A50806"/>
    <w:rsid w:val="00A5084B"/>
    <w:rsid w:val="00A50E59"/>
    <w:rsid w:val="00A51F5B"/>
    <w:rsid w:val="00A52411"/>
    <w:rsid w:val="00A52B14"/>
    <w:rsid w:val="00A52EB4"/>
    <w:rsid w:val="00A53BAA"/>
    <w:rsid w:val="00A542DA"/>
    <w:rsid w:val="00A62213"/>
    <w:rsid w:val="00A657C4"/>
    <w:rsid w:val="00A668C3"/>
    <w:rsid w:val="00A70428"/>
    <w:rsid w:val="00A72B72"/>
    <w:rsid w:val="00A7426C"/>
    <w:rsid w:val="00A76558"/>
    <w:rsid w:val="00A80980"/>
    <w:rsid w:val="00A846E4"/>
    <w:rsid w:val="00A86F80"/>
    <w:rsid w:val="00A87A95"/>
    <w:rsid w:val="00A94A88"/>
    <w:rsid w:val="00A95B14"/>
    <w:rsid w:val="00A96E20"/>
    <w:rsid w:val="00AA721E"/>
    <w:rsid w:val="00AB019A"/>
    <w:rsid w:val="00AB06EA"/>
    <w:rsid w:val="00AB2DDA"/>
    <w:rsid w:val="00AC2BFD"/>
    <w:rsid w:val="00AC2C09"/>
    <w:rsid w:val="00AC5D3F"/>
    <w:rsid w:val="00AC6C8B"/>
    <w:rsid w:val="00AD00F7"/>
    <w:rsid w:val="00AD30B8"/>
    <w:rsid w:val="00AD7044"/>
    <w:rsid w:val="00AD75ED"/>
    <w:rsid w:val="00AE0F54"/>
    <w:rsid w:val="00AE32A2"/>
    <w:rsid w:val="00AE7908"/>
    <w:rsid w:val="00AF14BD"/>
    <w:rsid w:val="00AF55E3"/>
    <w:rsid w:val="00AF5F52"/>
    <w:rsid w:val="00B01FA0"/>
    <w:rsid w:val="00B03343"/>
    <w:rsid w:val="00B04889"/>
    <w:rsid w:val="00B0627A"/>
    <w:rsid w:val="00B07D7F"/>
    <w:rsid w:val="00B11421"/>
    <w:rsid w:val="00B135D9"/>
    <w:rsid w:val="00B13706"/>
    <w:rsid w:val="00B1715B"/>
    <w:rsid w:val="00B24BBD"/>
    <w:rsid w:val="00B25DFD"/>
    <w:rsid w:val="00B26CF3"/>
    <w:rsid w:val="00B32067"/>
    <w:rsid w:val="00B326D5"/>
    <w:rsid w:val="00B33A73"/>
    <w:rsid w:val="00B34EF7"/>
    <w:rsid w:val="00B362B8"/>
    <w:rsid w:val="00B367FA"/>
    <w:rsid w:val="00B369A8"/>
    <w:rsid w:val="00B40974"/>
    <w:rsid w:val="00B40C43"/>
    <w:rsid w:val="00B42A49"/>
    <w:rsid w:val="00B42A84"/>
    <w:rsid w:val="00B50BA8"/>
    <w:rsid w:val="00B542D1"/>
    <w:rsid w:val="00B562D5"/>
    <w:rsid w:val="00B615DD"/>
    <w:rsid w:val="00B63939"/>
    <w:rsid w:val="00B66E92"/>
    <w:rsid w:val="00B6704F"/>
    <w:rsid w:val="00B672D0"/>
    <w:rsid w:val="00B67414"/>
    <w:rsid w:val="00B67EE8"/>
    <w:rsid w:val="00B711BE"/>
    <w:rsid w:val="00B8232B"/>
    <w:rsid w:val="00B913BB"/>
    <w:rsid w:val="00B9392A"/>
    <w:rsid w:val="00B94AB0"/>
    <w:rsid w:val="00B95DDF"/>
    <w:rsid w:val="00B96FC1"/>
    <w:rsid w:val="00B979CF"/>
    <w:rsid w:val="00BA5F60"/>
    <w:rsid w:val="00BB03F4"/>
    <w:rsid w:val="00BB197D"/>
    <w:rsid w:val="00BC1A46"/>
    <w:rsid w:val="00BC34B2"/>
    <w:rsid w:val="00BC63FC"/>
    <w:rsid w:val="00BD6EDF"/>
    <w:rsid w:val="00BD7CF0"/>
    <w:rsid w:val="00BE1407"/>
    <w:rsid w:val="00BE7EF2"/>
    <w:rsid w:val="00BF16CF"/>
    <w:rsid w:val="00BF2F6B"/>
    <w:rsid w:val="00BF3DAE"/>
    <w:rsid w:val="00BF5D9C"/>
    <w:rsid w:val="00BF62D3"/>
    <w:rsid w:val="00BF713B"/>
    <w:rsid w:val="00C00809"/>
    <w:rsid w:val="00C00CFD"/>
    <w:rsid w:val="00C01917"/>
    <w:rsid w:val="00C0288B"/>
    <w:rsid w:val="00C06C77"/>
    <w:rsid w:val="00C12877"/>
    <w:rsid w:val="00C12E18"/>
    <w:rsid w:val="00C16B05"/>
    <w:rsid w:val="00C25B31"/>
    <w:rsid w:val="00C26518"/>
    <w:rsid w:val="00C329D7"/>
    <w:rsid w:val="00C33004"/>
    <w:rsid w:val="00C3750A"/>
    <w:rsid w:val="00C3770B"/>
    <w:rsid w:val="00C422D1"/>
    <w:rsid w:val="00C469D3"/>
    <w:rsid w:val="00C571DD"/>
    <w:rsid w:val="00C61921"/>
    <w:rsid w:val="00C65479"/>
    <w:rsid w:val="00C71436"/>
    <w:rsid w:val="00C71FDD"/>
    <w:rsid w:val="00C72284"/>
    <w:rsid w:val="00C73C3E"/>
    <w:rsid w:val="00C81CBF"/>
    <w:rsid w:val="00C8545B"/>
    <w:rsid w:val="00C86BBC"/>
    <w:rsid w:val="00C92074"/>
    <w:rsid w:val="00C954F2"/>
    <w:rsid w:val="00C9550B"/>
    <w:rsid w:val="00CB0BBD"/>
    <w:rsid w:val="00CB4067"/>
    <w:rsid w:val="00CB592A"/>
    <w:rsid w:val="00CB6078"/>
    <w:rsid w:val="00CB6109"/>
    <w:rsid w:val="00CC4137"/>
    <w:rsid w:val="00CD370D"/>
    <w:rsid w:val="00CE27CF"/>
    <w:rsid w:val="00CE2E41"/>
    <w:rsid w:val="00CE4BEB"/>
    <w:rsid w:val="00CE621C"/>
    <w:rsid w:val="00D010B5"/>
    <w:rsid w:val="00D0131F"/>
    <w:rsid w:val="00D03B05"/>
    <w:rsid w:val="00D06A72"/>
    <w:rsid w:val="00D116C0"/>
    <w:rsid w:val="00D1241B"/>
    <w:rsid w:val="00D131C5"/>
    <w:rsid w:val="00D14991"/>
    <w:rsid w:val="00D15B2D"/>
    <w:rsid w:val="00D2073F"/>
    <w:rsid w:val="00D22E21"/>
    <w:rsid w:val="00D24514"/>
    <w:rsid w:val="00D261F8"/>
    <w:rsid w:val="00D26DE8"/>
    <w:rsid w:val="00D305A5"/>
    <w:rsid w:val="00D31C81"/>
    <w:rsid w:val="00D3797F"/>
    <w:rsid w:val="00D44344"/>
    <w:rsid w:val="00D4752E"/>
    <w:rsid w:val="00D55AB1"/>
    <w:rsid w:val="00D66EF8"/>
    <w:rsid w:val="00D76F32"/>
    <w:rsid w:val="00D81AC7"/>
    <w:rsid w:val="00D81FBA"/>
    <w:rsid w:val="00D8225F"/>
    <w:rsid w:val="00D8798E"/>
    <w:rsid w:val="00D9097A"/>
    <w:rsid w:val="00D96AEE"/>
    <w:rsid w:val="00D97BC7"/>
    <w:rsid w:val="00DA553C"/>
    <w:rsid w:val="00DA7A8D"/>
    <w:rsid w:val="00DB35E6"/>
    <w:rsid w:val="00DB4247"/>
    <w:rsid w:val="00DB764D"/>
    <w:rsid w:val="00DD1737"/>
    <w:rsid w:val="00DD58ED"/>
    <w:rsid w:val="00DD59DA"/>
    <w:rsid w:val="00DD7758"/>
    <w:rsid w:val="00DE4C4C"/>
    <w:rsid w:val="00DE66CE"/>
    <w:rsid w:val="00DE7CE5"/>
    <w:rsid w:val="00DF1F77"/>
    <w:rsid w:val="00DF6B8D"/>
    <w:rsid w:val="00E05FFE"/>
    <w:rsid w:val="00E1403D"/>
    <w:rsid w:val="00E20285"/>
    <w:rsid w:val="00E20E22"/>
    <w:rsid w:val="00E22317"/>
    <w:rsid w:val="00E229C8"/>
    <w:rsid w:val="00E23359"/>
    <w:rsid w:val="00E25816"/>
    <w:rsid w:val="00E25C6B"/>
    <w:rsid w:val="00E26986"/>
    <w:rsid w:val="00E26AD1"/>
    <w:rsid w:val="00E31AC9"/>
    <w:rsid w:val="00E34CF4"/>
    <w:rsid w:val="00E3597B"/>
    <w:rsid w:val="00E37DF5"/>
    <w:rsid w:val="00E44188"/>
    <w:rsid w:val="00E4438B"/>
    <w:rsid w:val="00E46DB2"/>
    <w:rsid w:val="00E4705F"/>
    <w:rsid w:val="00E477C3"/>
    <w:rsid w:val="00E508BB"/>
    <w:rsid w:val="00E54683"/>
    <w:rsid w:val="00E57C49"/>
    <w:rsid w:val="00E629E0"/>
    <w:rsid w:val="00E65269"/>
    <w:rsid w:val="00E65A4C"/>
    <w:rsid w:val="00E66BFD"/>
    <w:rsid w:val="00E72D31"/>
    <w:rsid w:val="00E743EA"/>
    <w:rsid w:val="00E758A0"/>
    <w:rsid w:val="00E81634"/>
    <w:rsid w:val="00E82F6A"/>
    <w:rsid w:val="00E83C6A"/>
    <w:rsid w:val="00E83CBD"/>
    <w:rsid w:val="00E85C62"/>
    <w:rsid w:val="00E9636F"/>
    <w:rsid w:val="00EA0CB5"/>
    <w:rsid w:val="00EA7EC6"/>
    <w:rsid w:val="00EB090C"/>
    <w:rsid w:val="00EB30C7"/>
    <w:rsid w:val="00EB5C11"/>
    <w:rsid w:val="00ED0859"/>
    <w:rsid w:val="00ED2B2E"/>
    <w:rsid w:val="00ED54D6"/>
    <w:rsid w:val="00EE6AB6"/>
    <w:rsid w:val="00EF1E09"/>
    <w:rsid w:val="00EF1F27"/>
    <w:rsid w:val="00EF20EE"/>
    <w:rsid w:val="00EF25E4"/>
    <w:rsid w:val="00F01DDB"/>
    <w:rsid w:val="00F02776"/>
    <w:rsid w:val="00F04FAB"/>
    <w:rsid w:val="00F06A94"/>
    <w:rsid w:val="00F0742E"/>
    <w:rsid w:val="00F12F2D"/>
    <w:rsid w:val="00F16E5F"/>
    <w:rsid w:val="00F20BAF"/>
    <w:rsid w:val="00F20FD5"/>
    <w:rsid w:val="00F2310D"/>
    <w:rsid w:val="00F24118"/>
    <w:rsid w:val="00F24969"/>
    <w:rsid w:val="00F26DD2"/>
    <w:rsid w:val="00F273C5"/>
    <w:rsid w:val="00F31822"/>
    <w:rsid w:val="00F341A6"/>
    <w:rsid w:val="00F40BC0"/>
    <w:rsid w:val="00F4460A"/>
    <w:rsid w:val="00F47EA1"/>
    <w:rsid w:val="00F5505D"/>
    <w:rsid w:val="00F55228"/>
    <w:rsid w:val="00F553BA"/>
    <w:rsid w:val="00F5571F"/>
    <w:rsid w:val="00F565B7"/>
    <w:rsid w:val="00F57DFC"/>
    <w:rsid w:val="00F65EBE"/>
    <w:rsid w:val="00F71485"/>
    <w:rsid w:val="00F800A5"/>
    <w:rsid w:val="00F83117"/>
    <w:rsid w:val="00F86B08"/>
    <w:rsid w:val="00F93404"/>
    <w:rsid w:val="00F94A26"/>
    <w:rsid w:val="00F96C98"/>
    <w:rsid w:val="00FA0530"/>
    <w:rsid w:val="00FA1CDF"/>
    <w:rsid w:val="00FA3219"/>
    <w:rsid w:val="00FA503C"/>
    <w:rsid w:val="00FA7124"/>
    <w:rsid w:val="00FB15C0"/>
    <w:rsid w:val="00FB1F1D"/>
    <w:rsid w:val="00FB7E9E"/>
    <w:rsid w:val="00FC01AA"/>
    <w:rsid w:val="00FC1B34"/>
    <w:rsid w:val="00FC2E5F"/>
    <w:rsid w:val="00FC364A"/>
    <w:rsid w:val="00FC37F4"/>
    <w:rsid w:val="00FC3E0A"/>
    <w:rsid w:val="00FC51AD"/>
    <w:rsid w:val="00FC53C7"/>
    <w:rsid w:val="00FC56B0"/>
    <w:rsid w:val="00FE57C6"/>
    <w:rsid w:val="00FE6030"/>
    <w:rsid w:val="00FF2D4A"/>
    <w:rsid w:val="00FF42F9"/>
    <w:rsid w:val="00FF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D9"/>
    <w:pPr>
      <w:keepNext/>
      <w:keepLines/>
      <w:spacing w:before="240" w:after="0"/>
      <w:outlineLvl w:val="0"/>
    </w:pPr>
    <w:rPr>
      <w:rFonts w:asciiTheme="majorHAnsi" w:eastAsiaTheme="majorEastAsia" w:hAnsiTheme="majorHAnsi" w:cstheme="majorBidi"/>
      <w:color w:val="BB7336" w:themeColor="accent1" w:themeShade="BF"/>
      <w:sz w:val="32"/>
      <w:szCs w:val="32"/>
    </w:rPr>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BB733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85D04" w:themeColor="accent2"/>
        <w:left w:val="single" w:sz="4" w:space="0" w:color="E85D04" w:themeColor="accent2"/>
        <w:bottom w:val="single" w:sz="4" w:space="0" w:color="E85D04" w:themeColor="accent2"/>
        <w:right w:val="single" w:sz="4" w:space="0" w:color="E85D04" w:themeColor="accent2"/>
      </w:tblBorders>
    </w:tblPr>
    <w:tblStylePr w:type="firstRow">
      <w:rPr>
        <w:b/>
        <w:bCs/>
        <w:color w:val="FFFFFF" w:themeColor="background1"/>
      </w:rPr>
      <w:tblPr/>
      <w:tcPr>
        <w:shd w:val="clear" w:color="auto" w:fill="E85D04" w:themeFill="accent2"/>
      </w:tcPr>
    </w:tblStylePr>
    <w:tblStylePr w:type="lastRow">
      <w:rPr>
        <w:b/>
        <w:bCs/>
      </w:rPr>
      <w:tblPr/>
      <w:tcPr>
        <w:tcBorders>
          <w:top w:val="double" w:sz="4" w:space="0" w:color="E85D0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5D04" w:themeColor="accent2"/>
          <w:right w:val="single" w:sz="4" w:space="0" w:color="E85D04" w:themeColor="accent2"/>
        </w:tcBorders>
      </w:tcPr>
    </w:tblStylePr>
    <w:tblStylePr w:type="band1Horz">
      <w:tblPr/>
      <w:tcPr>
        <w:tcBorders>
          <w:top w:val="single" w:sz="4" w:space="0" w:color="E85D04" w:themeColor="accent2"/>
          <w:bottom w:val="single" w:sz="4" w:space="0" w:color="E85D0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5D04" w:themeColor="accent2"/>
          <w:left w:val="nil"/>
        </w:tcBorders>
      </w:tcPr>
    </w:tblStylePr>
    <w:tblStylePr w:type="swCell">
      <w:tblPr/>
      <w:tcPr>
        <w:tcBorders>
          <w:top w:val="double" w:sz="4" w:space="0" w:color="E85D04"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BB733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 w:type="table" w:styleId="GridTable4-Accent2">
    <w:name w:val="Grid Table 4 Accent 2"/>
    <w:basedOn w:val="TableNormal"/>
    <w:uiPriority w:val="49"/>
    <w:rsid w:val="00EE6AB6"/>
    <w:pPr>
      <w:spacing w:after="0" w:line="240" w:lineRule="auto"/>
    </w:pPr>
    <w:tblPr>
      <w:tblStyleRowBandSize w:val="1"/>
      <w:tblStyleColBandSize w:val="1"/>
      <w:tblBorders>
        <w:top w:val="single" w:sz="4" w:space="0" w:color="FC9A5D" w:themeColor="accent2" w:themeTint="99"/>
        <w:left w:val="single" w:sz="4" w:space="0" w:color="FC9A5D" w:themeColor="accent2" w:themeTint="99"/>
        <w:bottom w:val="single" w:sz="4" w:space="0" w:color="FC9A5D" w:themeColor="accent2" w:themeTint="99"/>
        <w:right w:val="single" w:sz="4" w:space="0" w:color="FC9A5D" w:themeColor="accent2" w:themeTint="99"/>
        <w:insideH w:val="single" w:sz="4" w:space="0" w:color="FC9A5D" w:themeColor="accent2" w:themeTint="99"/>
        <w:insideV w:val="single" w:sz="4" w:space="0" w:color="FC9A5D" w:themeColor="accent2" w:themeTint="99"/>
      </w:tblBorders>
    </w:tblPr>
    <w:tblStylePr w:type="firstRow">
      <w:rPr>
        <w:b/>
        <w:bCs/>
        <w:color w:val="FFFFFF" w:themeColor="background1"/>
      </w:rPr>
      <w:tblPr/>
      <w:tcPr>
        <w:tcBorders>
          <w:top w:val="single" w:sz="4" w:space="0" w:color="E85D04" w:themeColor="accent2"/>
          <w:left w:val="single" w:sz="4" w:space="0" w:color="E85D04" w:themeColor="accent2"/>
          <w:bottom w:val="single" w:sz="4" w:space="0" w:color="E85D04" w:themeColor="accent2"/>
          <w:right w:val="single" w:sz="4" w:space="0" w:color="E85D04" w:themeColor="accent2"/>
          <w:insideH w:val="nil"/>
          <w:insideV w:val="nil"/>
        </w:tcBorders>
        <w:shd w:val="clear" w:color="auto" w:fill="E85D04" w:themeFill="accent2"/>
      </w:tcPr>
    </w:tblStylePr>
    <w:tblStylePr w:type="lastRow">
      <w:rPr>
        <w:b/>
        <w:bCs/>
      </w:rPr>
      <w:tblPr/>
      <w:tcPr>
        <w:tcBorders>
          <w:top w:val="double" w:sz="4" w:space="0" w:color="E85D04" w:themeColor="accent2"/>
        </w:tcBorders>
      </w:tcPr>
    </w:tblStylePr>
    <w:tblStylePr w:type="firstCol">
      <w:rPr>
        <w:b/>
        <w:bCs/>
      </w:rPr>
    </w:tblStylePr>
    <w:tblStylePr w:type="lastCol">
      <w:rPr>
        <w:b/>
        <w:bCs/>
      </w:rPr>
    </w:tblStylePr>
    <w:tblStylePr w:type="band1Vert">
      <w:tblPr/>
      <w:tcPr>
        <w:shd w:val="clear" w:color="auto" w:fill="FEDDC8" w:themeFill="accent2" w:themeFillTint="33"/>
      </w:tcPr>
    </w:tblStylePr>
    <w:tblStylePr w:type="band1Horz">
      <w:tblPr/>
      <w:tcPr>
        <w:shd w:val="clear" w:color="auto" w:fill="FEDDC8" w:themeFill="accent2" w:themeFillTint="33"/>
      </w:tcPr>
    </w:tblStylePr>
  </w:style>
  <w:style w:type="paragraph" w:styleId="Header">
    <w:name w:val="header"/>
    <w:basedOn w:val="Normal"/>
    <w:link w:val="HeaderChar"/>
    <w:uiPriority w:val="99"/>
    <w:unhideWhenUsed/>
    <w:rsid w:val="004E49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49DD"/>
  </w:style>
  <w:style w:type="paragraph" w:styleId="Footer">
    <w:name w:val="footer"/>
    <w:basedOn w:val="Normal"/>
    <w:link w:val="FooterChar"/>
    <w:uiPriority w:val="99"/>
    <w:unhideWhenUsed/>
    <w:rsid w:val="004E49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49DD"/>
  </w:style>
  <w:style w:type="table" w:styleId="ListTable6Colorful-Accent2">
    <w:name w:val="List Table 6 Colorful Accent 2"/>
    <w:basedOn w:val="TableNormal"/>
    <w:uiPriority w:val="51"/>
    <w:rsid w:val="00184281"/>
    <w:pPr>
      <w:spacing w:after="0" w:line="240" w:lineRule="auto"/>
    </w:pPr>
    <w:rPr>
      <w:color w:val="AD4503" w:themeColor="accent2" w:themeShade="BF"/>
    </w:rPr>
    <w:tblPr>
      <w:tblStyleRowBandSize w:val="1"/>
      <w:tblStyleColBandSize w:val="1"/>
      <w:tblBorders>
        <w:top w:val="single" w:sz="4" w:space="0" w:color="E85D04" w:themeColor="accent2"/>
        <w:bottom w:val="single" w:sz="4" w:space="0" w:color="E85D04" w:themeColor="accent2"/>
      </w:tblBorders>
    </w:tblPr>
    <w:tblStylePr w:type="firstRow">
      <w:rPr>
        <w:b/>
        <w:bCs/>
      </w:rPr>
      <w:tblPr/>
      <w:tcPr>
        <w:tcBorders>
          <w:bottom w:val="single" w:sz="4" w:space="0" w:color="E85D04" w:themeColor="accent2"/>
        </w:tcBorders>
      </w:tcPr>
    </w:tblStylePr>
    <w:tblStylePr w:type="lastRow">
      <w:rPr>
        <w:b/>
        <w:bCs/>
      </w:rPr>
      <w:tblPr/>
      <w:tcPr>
        <w:tcBorders>
          <w:top w:val="double" w:sz="4" w:space="0" w:color="E85D04" w:themeColor="accent2"/>
        </w:tcBorders>
      </w:tcPr>
    </w:tblStylePr>
    <w:tblStylePr w:type="firstCol">
      <w:rPr>
        <w:b/>
        <w:bCs/>
      </w:rPr>
    </w:tblStylePr>
    <w:tblStylePr w:type="lastCol">
      <w:rPr>
        <w:b/>
        <w:bCs/>
      </w:rPr>
    </w:tblStylePr>
    <w:tblStylePr w:type="band1Vert">
      <w:tblPr/>
      <w:tcPr>
        <w:shd w:val="clear" w:color="auto" w:fill="FEDDC8" w:themeFill="accent2" w:themeFillTint="33"/>
      </w:tcPr>
    </w:tblStylePr>
    <w:tblStylePr w:type="band1Horz">
      <w:tblPr/>
      <w:tcPr>
        <w:shd w:val="clear" w:color="auto" w:fill="FEDDC8" w:themeFill="accent2" w:themeFillTint="33"/>
      </w:tcPr>
    </w:tblStylePr>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7764C7"/>
    <w:pPr>
      <w:ind w:left="720"/>
      <w:contextualSpacing/>
    </w:pPr>
  </w:style>
  <w:style w:type="character" w:customStyle="1" w:styleId="Heading1Char">
    <w:name w:val="Heading 1 Char"/>
    <w:basedOn w:val="DefaultParagraphFont"/>
    <w:link w:val="Heading1"/>
    <w:uiPriority w:val="9"/>
    <w:rsid w:val="00620ED9"/>
    <w:rPr>
      <w:rFonts w:asciiTheme="majorHAnsi" w:eastAsiaTheme="majorEastAsia" w:hAnsiTheme="majorHAnsi" w:cstheme="majorBidi"/>
      <w:color w:val="BB7336" w:themeColor="accent1" w:themeShade="BF"/>
      <w:sz w:val="32"/>
      <w:szCs w:val="32"/>
    </w:rPr>
  </w:style>
  <w:style w:type="table" w:styleId="ListTable1Light-Accent4">
    <w:name w:val="List Table 1 Light Accent 4"/>
    <w:basedOn w:val="TableNormal"/>
    <w:uiPriority w:val="46"/>
    <w:rsid w:val="005B1FE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22205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226D0D"/>
  </w:style>
  <w:style w:type="table" w:styleId="ListTable1Light-Accent1">
    <w:name w:val="List Table 1 Light Accent 1"/>
    <w:basedOn w:val="TableNormal"/>
    <w:uiPriority w:val="46"/>
    <w:rsid w:val="00226D0D"/>
    <w:pPr>
      <w:spacing w:after="0" w:line="240" w:lineRule="auto"/>
    </w:pPr>
    <w:tblPr>
      <w:tblStyleRowBandSize w:val="1"/>
      <w:tblStyleColBandSize w:val="1"/>
    </w:tblPr>
    <w:tblStylePr w:type="firstRow">
      <w:rPr>
        <w:b/>
        <w:bCs/>
      </w:rPr>
      <w:tblPr/>
      <w:tcPr>
        <w:tcBorders>
          <w:bottom w:val="single" w:sz="4" w:space="0" w:color="E5C4A7" w:themeColor="accent1" w:themeTint="99"/>
        </w:tcBorders>
      </w:tcPr>
    </w:tblStylePr>
    <w:tblStylePr w:type="lastRow">
      <w:rPr>
        <w:b/>
        <w:bCs/>
      </w:rPr>
      <w:tblPr/>
      <w:tcPr>
        <w:tcBorders>
          <w:top w:val="single" w:sz="4" w:space="0" w:color="E5C4A7" w:themeColor="accent1" w:themeTint="99"/>
        </w:tcBorders>
      </w:tcPr>
    </w:tblStylePr>
    <w:tblStylePr w:type="firstCol">
      <w:rPr>
        <w:b/>
        <w:bCs/>
      </w:rPr>
    </w:tblStylePr>
    <w:tblStylePr w:type="lastCol">
      <w:rPr>
        <w:b/>
        <w:bCs/>
      </w:rPr>
    </w:tblStylePr>
    <w:tblStylePr w:type="band1Vert">
      <w:tblPr/>
      <w:tcPr>
        <w:shd w:val="clear" w:color="auto" w:fill="F6EBE1" w:themeFill="accent1" w:themeFillTint="33"/>
      </w:tcPr>
    </w:tblStylePr>
    <w:tblStylePr w:type="band1Horz">
      <w:tblPr/>
      <w:tcPr>
        <w:shd w:val="clear" w:color="auto" w:fill="F6EBE1" w:themeFill="accent1" w:themeFillTint="33"/>
      </w:tcPr>
    </w:tblStylePr>
  </w:style>
  <w:style w:type="paragraph" w:styleId="CommentText">
    <w:name w:val="annotation text"/>
    <w:basedOn w:val="Normal"/>
    <w:link w:val="CommentTextChar"/>
    <w:uiPriority w:val="99"/>
    <w:semiHidden/>
    <w:unhideWhenUsed/>
    <w:rsid w:val="0064102A"/>
    <w:pPr>
      <w:spacing w:line="240" w:lineRule="auto"/>
    </w:pPr>
    <w:rPr>
      <w:sz w:val="20"/>
      <w:szCs w:val="20"/>
    </w:rPr>
  </w:style>
  <w:style w:type="character" w:customStyle="1" w:styleId="CommentTextChar">
    <w:name w:val="Comment Text Char"/>
    <w:basedOn w:val="DefaultParagraphFont"/>
    <w:link w:val="CommentText"/>
    <w:uiPriority w:val="99"/>
    <w:semiHidden/>
    <w:rsid w:val="0064102A"/>
    <w:rPr>
      <w:sz w:val="20"/>
      <w:szCs w:val="20"/>
    </w:rPr>
  </w:style>
  <w:style w:type="paragraph" w:styleId="CommentSubject">
    <w:name w:val="annotation subject"/>
    <w:basedOn w:val="CommentText"/>
    <w:next w:val="CommentText"/>
    <w:link w:val="CommentSubjectChar"/>
    <w:uiPriority w:val="99"/>
    <w:semiHidden/>
    <w:unhideWhenUsed/>
    <w:rsid w:val="0064102A"/>
    <w:pPr>
      <w:spacing w:after="200"/>
    </w:pPr>
    <w:rPr>
      <w:b/>
      <w:bCs/>
    </w:rPr>
  </w:style>
  <w:style w:type="character" w:customStyle="1" w:styleId="CommentSubjectChar">
    <w:name w:val="Comment Subject Char"/>
    <w:basedOn w:val="CommentTextChar"/>
    <w:link w:val="CommentSubject"/>
    <w:uiPriority w:val="99"/>
    <w:semiHidden/>
    <w:rsid w:val="0064102A"/>
    <w:rPr>
      <w:b/>
      <w:bCs/>
      <w:sz w:val="20"/>
      <w:szCs w:val="20"/>
    </w:rPr>
  </w:style>
  <w:style w:type="table" w:styleId="ListTable3-Accent3">
    <w:name w:val="List Table 3 Accent 3"/>
    <w:basedOn w:val="TableNormal"/>
    <w:uiPriority w:val="48"/>
    <w:rsid w:val="00D3797F"/>
    <w:pPr>
      <w:spacing w:after="0" w:line="240" w:lineRule="auto"/>
    </w:pPr>
    <w:tblPr>
      <w:tblStyleRowBandSize w:val="1"/>
      <w:tblStyleColBandSize w:val="1"/>
      <w:tblBorders>
        <w:top w:val="single" w:sz="4" w:space="0" w:color="DC2F02" w:themeColor="accent3"/>
        <w:left w:val="single" w:sz="4" w:space="0" w:color="DC2F02" w:themeColor="accent3"/>
        <w:bottom w:val="single" w:sz="4" w:space="0" w:color="DC2F02" w:themeColor="accent3"/>
        <w:right w:val="single" w:sz="4" w:space="0" w:color="DC2F02" w:themeColor="accent3"/>
      </w:tblBorders>
    </w:tblPr>
    <w:tblStylePr w:type="firstRow">
      <w:rPr>
        <w:b/>
        <w:bCs/>
        <w:color w:val="FFFFFF" w:themeColor="background1"/>
      </w:rPr>
      <w:tblPr/>
      <w:tcPr>
        <w:shd w:val="clear" w:color="auto" w:fill="DC2F02" w:themeFill="accent3"/>
      </w:tcPr>
    </w:tblStylePr>
    <w:tblStylePr w:type="lastRow">
      <w:rPr>
        <w:b/>
        <w:bCs/>
      </w:rPr>
      <w:tblPr/>
      <w:tcPr>
        <w:tcBorders>
          <w:top w:val="double" w:sz="4" w:space="0" w:color="DC2F0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2F02" w:themeColor="accent3"/>
          <w:right w:val="single" w:sz="4" w:space="0" w:color="DC2F02" w:themeColor="accent3"/>
        </w:tcBorders>
      </w:tcPr>
    </w:tblStylePr>
    <w:tblStylePr w:type="band1Horz">
      <w:tblPr/>
      <w:tcPr>
        <w:tcBorders>
          <w:top w:val="single" w:sz="4" w:space="0" w:color="DC2F02" w:themeColor="accent3"/>
          <w:bottom w:val="single" w:sz="4" w:space="0" w:color="DC2F0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2F02" w:themeColor="accent3"/>
          <w:left w:val="nil"/>
        </w:tcBorders>
      </w:tcPr>
    </w:tblStylePr>
    <w:tblStylePr w:type="swCell">
      <w:tblPr/>
      <w:tcPr>
        <w:tcBorders>
          <w:top w:val="double" w:sz="4" w:space="0" w:color="DC2F02"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7200">
      <w:bodyDiv w:val="1"/>
      <w:marLeft w:val="0"/>
      <w:marRight w:val="0"/>
      <w:marTop w:val="0"/>
      <w:marBottom w:val="0"/>
      <w:divBdr>
        <w:top w:val="none" w:sz="0" w:space="0" w:color="auto"/>
        <w:left w:val="none" w:sz="0" w:space="0" w:color="auto"/>
        <w:bottom w:val="none" w:sz="0" w:space="0" w:color="auto"/>
        <w:right w:val="none" w:sz="0" w:space="0" w:color="auto"/>
      </w:divBdr>
    </w:div>
    <w:div w:id="41682013">
      <w:bodyDiv w:val="1"/>
      <w:marLeft w:val="0"/>
      <w:marRight w:val="0"/>
      <w:marTop w:val="0"/>
      <w:marBottom w:val="0"/>
      <w:divBdr>
        <w:top w:val="none" w:sz="0" w:space="0" w:color="auto"/>
        <w:left w:val="none" w:sz="0" w:space="0" w:color="auto"/>
        <w:bottom w:val="none" w:sz="0" w:space="0" w:color="auto"/>
        <w:right w:val="none" w:sz="0" w:space="0" w:color="auto"/>
      </w:divBdr>
    </w:div>
    <w:div w:id="69622847">
      <w:bodyDiv w:val="1"/>
      <w:marLeft w:val="0"/>
      <w:marRight w:val="0"/>
      <w:marTop w:val="0"/>
      <w:marBottom w:val="0"/>
      <w:divBdr>
        <w:top w:val="none" w:sz="0" w:space="0" w:color="auto"/>
        <w:left w:val="none" w:sz="0" w:space="0" w:color="auto"/>
        <w:bottom w:val="none" w:sz="0" w:space="0" w:color="auto"/>
        <w:right w:val="none" w:sz="0" w:space="0" w:color="auto"/>
      </w:divBdr>
    </w:div>
    <w:div w:id="287199569">
      <w:bodyDiv w:val="1"/>
      <w:marLeft w:val="0"/>
      <w:marRight w:val="0"/>
      <w:marTop w:val="0"/>
      <w:marBottom w:val="0"/>
      <w:divBdr>
        <w:top w:val="none" w:sz="0" w:space="0" w:color="auto"/>
        <w:left w:val="none" w:sz="0" w:space="0" w:color="auto"/>
        <w:bottom w:val="none" w:sz="0" w:space="0" w:color="auto"/>
        <w:right w:val="none" w:sz="0" w:space="0" w:color="auto"/>
      </w:divBdr>
    </w:div>
    <w:div w:id="300817836">
      <w:bodyDiv w:val="1"/>
      <w:marLeft w:val="0"/>
      <w:marRight w:val="0"/>
      <w:marTop w:val="0"/>
      <w:marBottom w:val="0"/>
      <w:divBdr>
        <w:top w:val="none" w:sz="0" w:space="0" w:color="auto"/>
        <w:left w:val="none" w:sz="0" w:space="0" w:color="auto"/>
        <w:bottom w:val="none" w:sz="0" w:space="0" w:color="auto"/>
        <w:right w:val="none" w:sz="0" w:space="0" w:color="auto"/>
      </w:divBdr>
    </w:div>
    <w:div w:id="403064241">
      <w:bodyDiv w:val="1"/>
      <w:marLeft w:val="0"/>
      <w:marRight w:val="0"/>
      <w:marTop w:val="0"/>
      <w:marBottom w:val="0"/>
      <w:divBdr>
        <w:top w:val="none" w:sz="0" w:space="0" w:color="auto"/>
        <w:left w:val="none" w:sz="0" w:space="0" w:color="auto"/>
        <w:bottom w:val="none" w:sz="0" w:space="0" w:color="auto"/>
        <w:right w:val="none" w:sz="0" w:space="0" w:color="auto"/>
      </w:divBdr>
    </w:div>
    <w:div w:id="480077743">
      <w:bodyDiv w:val="1"/>
      <w:marLeft w:val="0"/>
      <w:marRight w:val="0"/>
      <w:marTop w:val="0"/>
      <w:marBottom w:val="0"/>
      <w:divBdr>
        <w:top w:val="none" w:sz="0" w:space="0" w:color="auto"/>
        <w:left w:val="none" w:sz="0" w:space="0" w:color="auto"/>
        <w:bottom w:val="none" w:sz="0" w:space="0" w:color="auto"/>
        <w:right w:val="none" w:sz="0" w:space="0" w:color="auto"/>
      </w:divBdr>
    </w:div>
    <w:div w:id="723211507">
      <w:bodyDiv w:val="1"/>
      <w:marLeft w:val="0"/>
      <w:marRight w:val="0"/>
      <w:marTop w:val="0"/>
      <w:marBottom w:val="0"/>
      <w:divBdr>
        <w:top w:val="none" w:sz="0" w:space="0" w:color="auto"/>
        <w:left w:val="none" w:sz="0" w:space="0" w:color="auto"/>
        <w:bottom w:val="none" w:sz="0" w:space="0" w:color="auto"/>
        <w:right w:val="none" w:sz="0" w:space="0" w:color="auto"/>
      </w:divBdr>
    </w:div>
    <w:div w:id="950360584">
      <w:bodyDiv w:val="1"/>
      <w:marLeft w:val="0"/>
      <w:marRight w:val="0"/>
      <w:marTop w:val="0"/>
      <w:marBottom w:val="0"/>
      <w:divBdr>
        <w:top w:val="none" w:sz="0" w:space="0" w:color="auto"/>
        <w:left w:val="none" w:sz="0" w:space="0" w:color="auto"/>
        <w:bottom w:val="none" w:sz="0" w:space="0" w:color="auto"/>
        <w:right w:val="none" w:sz="0" w:space="0" w:color="auto"/>
      </w:divBdr>
    </w:div>
    <w:div w:id="952128820">
      <w:bodyDiv w:val="1"/>
      <w:marLeft w:val="0"/>
      <w:marRight w:val="0"/>
      <w:marTop w:val="0"/>
      <w:marBottom w:val="0"/>
      <w:divBdr>
        <w:top w:val="none" w:sz="0" w:space="0" w:color="auto"/>
        <w:left w:val="none" w:sz="0" w:space="0" w:color="auto"/>
        <w:bottom w:val="none" w:sz="0" w:space="0" w:color="auto"/>
        <w:right w:val="none" w:sz="0" w:space="0" w:color="auto"/>
      </w:divBdr>
      <w:divsChild>
        <w:div w:id="787818077">
          <w:marLeft w:val="547"/>
          <w:marRight w:val="0"/>
          <w:marTop w:val="0"/>
          <w:marBottom w:val="0"/>
          <w:divBdr>
            <w:top w:val="none" w:sz="0" w:space="0" w:color="auto"/>
            <w:left w:val="none" w:sz="0" w:space="0" w:color="auto"/>
            <w:bottom w:val="none" w:sz="0" w:space="0" w:color="auto"/>
            <w:right w:val="none" w:sz="0" w:space="0" w:color="auto"/>
          </w:divBdr>
        </w:div>
        <w:div w:id="1804886908">
          <w:marLeft w:val="547"/>
          <w:marRight w:val="0"/>
          <w:marTop w:val="0"/>
          <w:marBottom w:val="0"/>
          <w:divBdr>
            <w:top w:val="none" w:sz="0" w:space="0" w:color="auto"/>
            <w:left w:val="none" w:sz="0" w:space="0" w:color="auto"/>
            <w:bottom w:val="none" w:sz="0" w:space="0" w:color="auto"/>
            <w:right w:val="none" w:sz="0" w:space="0" w:color="auto"/>
          </w:divBdr>
        </w:div>
      </w:divsChild>
    </w:div>
    <w:div w:id="1010793519">
      <w:bodyDiv w:val="1"/>
      <w:marLeft w:val="0"/>
      <w:marRight w:val="0"/>
      <w:marTop w:val="0"/>
      <w:marBottom w:val="0"/>
      <w:divBdr>
        <w:top w:val="none" w:sz="0" w:space="0" w:color="auto"/>
        <w:left w:val="none" w:sz="0" w:space="0" w:color="auto"/>
        <w:bottom w:val="none" w:sz="0" w:space="0" w:color="auto"/>
        <w:right w:val="none" w:sz="0" w:space="0" w:color="auto"/>
      </w:divBdr>
    </w:div>
    <w:div w:id="1057389510">
      <w:bodyDiv w:val="1"/>
      <w:marLeft w:val="0"/>
      <w:marRight w:val="0"/>
      <w:marTop w:val="0"/>
      <w:marBottom w:val="0"/>
      <w:divBdr>
        <w:top w:val="none" w:sz="0" w:space="0" w:color="auto"/>
        <w:left w:val="none" w:sz="0" w:space="0" w:color="auto"/>
        <w:bottom w:val="none" w:sz="0" w:space="0" w:color="auto"/>
        <w:right w:val="none" w:sz="0" w:space="0" w:color="auto"/>
      </w:divBdr>
    </w:div>
    <w:div w:id="1223562806">
      <w:bodyDiv w:val="1"/>
      <w:marLeft w:val="0"/>
      <w:marRight w:val="0"/>
      <w:marTop w:val="0"/>
      <w:marBottom w:val="0"/>
      <w:divBdr>
        <w:top w:val="none" w:sz="0" w:space="0" w:color="auto"/>
        <w:left w:val="none" w:sz="0" w:space="0" w:color="auto"/>
        <w:bottom w:val="none" w:sz="0" w:space="0" w:color="auto"/>
        <w:right w:val="none" w:sz="0" w:space="0" w:color="auto"/>
      </w:divBdr>
    </w:div>
    <w:div w:id="1239100765">
      <w:bodyDiv w:val="1"/>
      <w:marLeft w:val="0"/>
      <w:marRight w:val="0"/>
      <w:marTop w:val="0"/>
      <w:marBottom w:val="0"/>
      <w:divBdr>
        <w:top w:val="none" w:sz="0" w:space="0" w:color="auto"/>
        <w:left w:val="none" w:sz="0" w:space="0" w:color="auto"/>
        <w:bottom w:val="none" w:sz="0" w:space="0" w:color="auto"/>
        <w:right w:val="none" w:sz="0" w:space="0" w:color="auto"/>
      </w:divBdr>
    </w:div>
    <w:div w:id="1271551052">
      <w:bodyDiv w:val="1"/>
      <w:marLeft w:val="0"/>
      <w:marRight w:val="0"/>
      <w:marTop w:val="0"/>
      <w:marBottom w:val="0"/>
      <w:divBdr>
        <w:top w:val="none" w:sz="0" w:space="0" w:color="auto"/>
        <w:left w:val="none" w:sz="0" w:space="0" w:color="auto"/>
        <w:bottom w:val="none" w:sz="0" w:space="0" w:color="auto"/>
        <w:right w:val="none" w:sz="0" w:space="0" w:color="auto"/>
      </w:divBdr>
    </w:div>
    <w:div w:id="1367415632">
      <w:bodyDiv w:val="1"/>
      <w:marLeft w:val="0"/>
      <w:marRight w:val="0"/>
      <w:marTop w:val="0"/>
      <w:marBottom w:val="0"/>
      <w:divBdr>
        <w:top w:val="none" w:sz="0" w:space="0" w:color="auto"/>
        <w:left w:val="none" w:sz="0" w:space="0" w:color="auto"/>
        <w:bottom w:val="none" w:sz="0" w:space="0" w:color="auto"/>
        <w:right w:val="none" w:sz="0" w:space="0" w:color="auto"/>
      </w:divBdr>
    </w:div>
    <w:div w:id="1644501453">
      <w:bodyDiv w:val="1"/>
      <w:marLeft w:val="0"/>
      <w:marRight w:val="0"/>
      <w:marTop w:val="0"/>
      <w:marBottom w:val="0"/>
      <w:divBdr>
        <w:top w:val="none" w:sz="0" w:space="0" w:color="auto"/>
        <w:left w:val="none" w:sz="0" w:space="0" w:color="auto"/>
        <w:bottom w:val="none" w:sz="0" w:space="0" w:color="auto"/>
        <w:right w:val="none" w:sz="0" w:space="0" w:color="auto"/>
      </w:divBdr>
    </w:div>
    <w:div w:id="1685790331">
      <w:bodyDiv w:val="1"/>
      <w:marLeft w:val="0"/>
      <w:marRight w:val="0"/>
      <w:marTop w:val="0"/>
      <w:marBottom w:val="0"/>
      <w:divBdr>
        <w:top w:val="none" w:sz="0" w:space="0" w:color="auto"/>
        <w:left w:val="none" w:sz="0" w:space="0" w:color="auto"/>
        <w:bottom w:val="none" w:sz="0" w:space="0" w:color="auto"/>
        <w:right w:val="none" w:sz="0" w:space="0" w:color="auto"/>
      </w:divBdr>
    </w:div>
    <w:div w:id="1814636949">
      <w:bodyDiv w:val="1"/>
      <w:marLeft w:val="0"/>
      <w:marRight w:val="0"/>
      <w:marTop w:val="0"/>
      <w:marBottom w:val="0"/>
      <w:divBdr>
        <w:top w:val="none" w:sz="0" w:space="0" w:color="auto"/>
        <w:left w:val="none" w:sz="0" w:space="0" w:color="auto"/>
        <w:bottom w:val="none" w:sz="0" w:space="0" w:color="auto"/>
        <w:right w:val="none" w:sz="0" w:space="0" w:color="auto"/>
      </w:divBdr>
    </w:div>
    <w:div w:id="1821997458">
      <w:bodyDiv w:val="1"/>
      <w:marLeft w:val="0"/>
      <w:marRight w:val="0"/>
      <w:marTop w:val="0"/>
      <w:marBottom w:val="0"/>
      <w:divBdr>
        <w:top w:val="none" w:sz="0" w:space="0" w:color="auto"/>
        <w:left w:val="none" w:sz="0" w:space="0" w:color="auto"/>
        <w:bottom w:val="none" w:sz="0" w:space="0" w:color="auto"/>
        <w:right w:val="none" w:sz="0" w:space="0" w:color="auto"/>
      </w:divBdr>
    </w:div>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 w:id="1985161089">
      <w:bodyDiv w:val="1"/>
      <w:marLeft w:val="0"/>
      <w:marRight w:val="0"/>
      <w:marTop w:val="0"/>
      <w:marBottom w:val="0"/>
      <w:divBdr>
        <w:top w:val="none" w:sz="0" w:space="0" w:color="auto"/>
        <w:left w:val="none" w:sz="0" w:space="0" w:color="auto"/>
        <w:bottom w:val="none" w:sz="0" w:space="0" w:color="auto"/>
        <w:right w:val="none" w:sz="0" w:space="0" w:color="auto"/>
      </w:divBdr>
    </w:div>
    <w:div w:id="2032560273">
      <w:bodyDiv w:val="1"/>
      <w:marLeft w:val="0"/>
      <w:marRight w:val="0"/>
      <w:marTop w:val="0"/>
      <w:marBottom w:val="0"/>
      <w:divBdr>
        <w:top w:val="none" w:sz="0" w:space="0" w:color="auto"/>
        <w:left w:val="none" w:sz="0" w:space="0" w:color="auto"/>
        <w:bottom w:val="none" w:sz="0" w:space="0" w:color="auto"/>
        <w:right w:val="none" w:sz="0" w:space="0" w:color="auto"/>
      </w:divBdr>
      <w:divsChild>
        <w:div w:id="1559247362">
          <w:marLeft w:val="274"/>
          <w:marRight w:val="0"/>
          <w:marTop w:val="0"/>
          <w:marBottom w:val="0"/>
          <w:divBdr>
            <w:top w:val="none" w:sz="0" w:space="0" w:color="auto"/>
            <w:left w:val="none" w:sz="0" w:space="0" w:color="auto"/>
            <w:bottom w:val="none" w:sz="0" w:space="0" w:color="auto"/>
            <w:right w:val="none" w:sz="0" w:space="0" w:color="auto"/>
          </w:divBdr>
        </w:div>
        <w:div w:id="154229608">
          <w:marLeft w:val="274"/>
          <w:marRight w:val="0"/>
          <w:marTop w:val="0"/>
          <w:marBottom w:val="0"/>
          <w:divBdr>
            <w:top w:val="none" w:sz="0" w:space="0" w:color="auto"/>
            <w:left w:val="none" w:sz="0" w:space="0" w:color="auto"/>
            <w:bottom w:val="none" w:sz="0" w:space="0" w:color="auto"/>
            <w:right w:val="none" w:sz="0" w:space="0" w:color="auto"/>
          </w:divBdr>
        </w:div>
        <w:div w:id="100733719">
          <w:marLeft w:val="274"/>
          <w:marRight w:val="0"/>
          <w:marTop w:val="0"/>
          <w:marBottom w:val="0"/>
          <w:divBdr>
            <w:top w:val="none" w:sz="0" w:space="0" w:color="auto"/>
            <w:left w:val="none" w:sz="0" w:space="0" w:color="auto"/>
            <w:bottom w:val="none" w:sz="0" w:space="0" w:color="auto"/>
            <w:right w:val="none" w:sz="0" w:space="0" w:color="auto"/>
          </w:divBdr>
        </w:div>
      </w:divsChild>
    </w:div>
    <w:div w:id="2057971952">
      <w:bodyDiv w:val="1"/>
      <w:marLeft w:val="0"/>
      <w:marRight w:val="0"/>
      <w:marTop w:val="0"/>
      <w:marBottom w:val="0"/>
      <w:divBdr>
        <w:top w:val="none" w:sz="0" w:space="0" w:color="auto"/>
        <w:left w:val="none" w:sz="0" w:space="0" w:color="auto"/>
        <w:bottom w:val="none" w:sz="0" w:space="0" w:color="auto"/>
        <w:right w:val="none" w:sz="0" w:space="0" w:color="auto"/>
      </w:divBdr>
    </w:div>
    <w:div w:id="20896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B36C40"/>
      </a:dk2>
      <a:lt2>
        <a:srgbClr val="FFF498"/>
      </a:lt2>
      <a:accent1>
        <a:srgbClr val="D59E6E"/>
      </a:accent1>
      <a:accent2>
        <a:srgbClr val="E85D04"/>
      </a:accent2>
      <a:accent3>
        <a:srgbClr val="DC2F02"/>
      </a:accent3>
      <a:accent4>
        <a:srgbClr val="FFC000"/>
      </a:accent4>
      <a:accent5>
        <a:srgbClr val="5B9BD5"/>
      </a:accent5>
      <a:accent6>
        <a:srgbClr val="70AD47"/>
      </a:accent6>
      <a:hlink>
        <a:srgbClr val="B36C40"/>
      </a:hlink>
      <a:folHlink>
        <a:srgbClr val="833C0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2.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968</Words>
  <Characters>5522</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2</cp:revision>
  <dcterms:created xsi:type="dcterms:W3CDTF">2025-06-01T23:27:00Z</dcterms:created>
  <dcterms:modified xsi:type="dcterms:W3CDTF">2025-06-01T23:27:00Z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