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5221BC33">
            <wp:simplePos x="0" y="0"/>
            <wp:positionH relativeFrom="margin">
              <wp:posOffset>2124075</wp:posOffset>
            </wp:positionH>
            <wp:positionV relativeFrom="paragraph">
              <wp:posOffset>-19050</wp:posOffset>
            </wp:positionV>
            <wp:extent cx="1933575" cy="69336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72" cy="69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5A72D5" w:rsidRDefault="0054182D" w:rsidP="00B34EF7">
      <w:pPr>
        <w:pStyle w:val="Title"/>
        <w:rPr>
          <w:sz w:val="32"/>
          <w:szCs w:val="32"/>
        </w:rPr>
      </w:pPr>
    </w:p>
    <w:p w14:paraId="2AC16FEE" w14:textId="3F3B494D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DF6B8D">
        <w:rPr>
          <w:sz w:val="44"/>
          <w:szCs w:val="44"/>
        </w:rPr>
        <w:t>3</w:t>
      </w:r>
      <w:r w:rsidR="00705769">
        <w:rPr>
          <w:sz w:val="44"/>
          <w:szCs w:val="44"/>
        </w:rPr>
        <w:t>.</w:t>
      </w:r>
      <w:r w:rsidR="00A50E59">
        <w:rPr>
          <w:sz w:val="44"/>
          <w:szCs w:val="44"/>
        </w:rPr>
        <w:t>2</w:t>
      </w:r>
      <w:r w:rsidR="00481440">
        <w:rPr>
          <w:sz w:val="44"/>
          <w:szCs w:val="44"/>
        </w:rPr>
        <w:t>3</w:t>
      </w:r>
      <w:r w:rsidR="00A50E59">
        <w:rPr>
          <w:sz w:val="44"/>
          <w:szCs w:val="44"/>
        </w:rPr>
        <w:t>.2025</w:t>
      </w:r>
    </w:p>
    <w:p w14:paraId="74281325" w14:textId="0CB9B3C4" w:rsidR="00757C0B" w:rsidRPr="00CC4137" w:rsidRDefault="00F83117" w:rsidP="00757C0B">
      <w:pPr>
        <w:pStyle w:val="Heading1"/>
        <w:rPr>
          <w:b/>
          <w:bCs/>
          <w:color w:val="800000"/>
          <w:sz w:val="26"/>
          <w:szCs w:val="26"/>
        </w:rPr>
      </w:pPr>
      <w:r>
        <w:rPr>
          <w:b/>
          <w:bCs/>
          <w:color w:val="800000"/>
          <w:sz w:val="26"/>
          <w:szCs w:val="26"/>
        </w:rPr>
        <w:t>The Quad-Week</w:t>
      </w:r>
      <w:r w:rsidR="00807BB4" w:rsidRPr="00CC4137">
        <w:rPr>
          <w:b/>
          <w:bCs/>
          <w:color w:val="800000"/>
          <w:sz w:val="26"/>
          <w:szCs w:val="26"/>
        </w:rPr>
        <w:t xml:space="preserve"> in Review</w:t>
      </w:r>
    </w:p>
    <w:p w14:paraId="5D230958" w14:textId="40F34D62" w:rsidR="00DF6B8D" w:rsidRDefault="00DF6B8D" w:rsidP="00983B89">
      <w:pPr>
        <w:pStyle w:val="NoSpacing"/>
        <w:numPr>
          <w:ilvl w:val="0"/>
          <w:numId w:val="31"/>
        </w:numPr>
        <w:rPr>
          <w:rFonts w:cstheme="minorHAnsi"/>
        </w:rPr>
      </w:pPr>
      <w:bookmarkStart w:id="0" w:name="_Hlk182319354"/>
      <w:r w:rsidRPr="00DF6B8D">
        <w:rPr>
          <w:rFonts w:cstheme="minorHAnsi"/>
        </w:rPr>
        <w:t>The University of Michigan's Consumer Sentiment Index for March 2025 declined to a reading of 57.0, marking a 11.9% month-over-month decline and a 28.2% year-over-year decrease from March 2024.</w:t>
      </w:r>
      <w:r>
        <w:rPr>
          <w:rFonts w:cstheme="minorHAnsi"/>
        </w:rPr>
        <w:t xml:space="preserve"> </w:t>
      </w:r>
      <w:r w:rsidRPr="00DF6B8D">
        <w:rPr>
          <w:rFonts w:cstheme="minorHAnsi"/>
        </w:rPr>
        <w:t xml:space="preserve">The </w:t>
      </w:r>
      <w:r w:rsidR="00024188">
        <w:rPr>
          <w:rFonts w:cstheme="minorHAnsi"/>
        </w:rPr>
        <w:t xml:space="preserve">university attributes the </w:t>
      </w:r>
      <w:r w:rsidRPr="00DF6B8D">
        <w:rPr>
          <w:rFonts w:cstheme="minorHAnsi"/>
        </w:rPr>
        <w:t>decline in sentiment to worsening expectations across various economic factors, including personal finances, labor markets, inflation, business conditions and stock markets.</w:t>
      </w:r>
    </w:p>
    <w:p w14:paraId="1CE3ADED" w14:textId="4043DE01" w:rsidR="000F7C27" w:rsidRDefault="00DF6B8D" w:rsidP="00AC4912">
      <w:pPr>
        <w:pStyle w:val="NoSpacing"/>
        <w:numPr>
          <w:ilvl w:val="0"/>
          <w:numId w:val="31"/>
        </w:numPr>
        <w:rPr>
          <w:rFonts w:cstheme="minorHAnsi"/>
        </w:rPr>
      </w:pPr>
      <w:r w:rsidRPr="00DF6B8D">
        <w:rPr>
          <w:rFonts w:cstheme="minorHAnsi"/>
        </w:rPr>
        <w:t xml:space="preserve">The paralyzing effects of economic </w:t>
      </w:r>
      <w:r w:rsidRPr="00DF6B8D">
        <w:rPr>
          <w:rFonts w:cstheme="minorHAnsi"/>
        </w:rPr>
        <w:t xml:space="preserve">uncertainty, including inflation and tariffs, are leading to a continued home-centric meal landscape. </w:t>
      </w:r>
      <w:r w:rsidR="000F7C27">
        <w:rPr>
          <w:rFonts w:cstheme="minorHAnsi"/>
        </w:rPr>
        <w:t xml:space="preserve">According to the Circana </w:t>
      </w:r>
      <w:r w:rsidR="002B3335">
        <w:rPr>
          <w:rFonts w:cstheme="minorHAnsi"/>
        </w:rPr>
        <w:t xml:space="preserve">shopper </w:t>
      </w:r>
      <w:r w:rsidR="000F7C27">
        <w:rPr>
          <w:rFonts w:cstheme="minorHAnsi"/>
        </w:rPr>
        <w:t>survey, 80% of all meal occasions were prepared at home in March. This share varie</w:t>
      </w:r>
      <w:r w:rsidR="002B3335">
        <w:rPr>
          <w:rFonts w:cstheme="minorHAnsi"/>
        </w:rPr>
        <w:t>d</w:t>
      </w:r>
      <w:r w:rsidR="000F7C27">
        <w:rPr>
          <w:rFonts w:cstheme="minorHAnsi"/>
        </w:rPr>
        <w:t xml:space="preserve"> from 72.5% among Gen Z to 86.6% among Older Boomers. </w:t>
      </w:r>
    </w:p>
    <w:p w14:paraId="7E66D305" w14:textId="37DD12DA" w:rsidR="00DF6B8D" w:rsidRDefault="00024188" w:rsidP="00AC4912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R</w:t>
      </w:r>
      <w:r w:rsidR="00DF6B8D" w:rsidRPr="00DF6B8D">
        <w:rPr>
          <w:rFonts w:cstheme="minorHAnsi"/>
        </w:rPr>
        <w:t xml:space="preserve">etail is not isolated from behavioral changes in response to economic pressure. Four important population groups are showing a greater propensity for </w:t>
      </w:r>
      <w:r w:rsidR="000F7C27">
        <w:rPr>
          <w:rFonts w:cstheme="minorHAnsi"/>
        </w:rPr>
        <w:t>applying a host of money-saving measures at retail</w:t>
      </w:r>
      <w:r w:rsidR="00DF6B8D" w:rsidRPr="00DF6B8D">
        <w:rPr>
          <w:rFonts w:cstheme="minorHAnsi"/>
        </w:rPr>
        <w:t xml:space="preserve">, according to Circana. These include U.S. Hispanic consumers, households with incomes of less than $50,000 annually, rural households and consumers aged 55 and up.  </w:t>
      </w:r>
    </w:p>
    <w:p w14:paraId="69485986" w14:textId="4CA4BC7E" w:rsidR="000F7C27" w:rsidRPr="000F7C27" w:rsidRDefault="00DF6B8D" w:rsidP="000F7C27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Importantly, households in the upper income brackets, who have been critical in growing retail spending for the past few years are starting to show a slowdown in retail spending</w:t>
      </w:r>
      <w:r w:rsidR="002B3335">
        <w:rPr>
          <w:rFonts w:cstheme="minorHAnsi"/>
        </w:rPr>
        <w:t xml:space="preserve"> in recent months</w:t>
      </w:r>
      <w:r>
        <w:rPr>
          <w:rFonts w:cstheme="minorHAnsi"/>
        </w:rPr>
        <w:t xml:space="preserve">. </w:t>
      </w:r>
    </w:p>
    <w:bookmarkEnd w:id="0"/>
    <w:p w14:paraId="2616F2F0" w14:textId="77777777" w:rsidR="00A7426C" w:rsidRPr="005A72D5" w:rsidRDefault="00A7426C" w:rsidP="00A7426C">
      <w:pPr>
        <w:pStyle w:val="NoSpacing"/>
        <w:rPr>
          <w:rFonts w:ascii="Arial" w:hAnsi="Arial" w:cs="Arial"/>
          <w:sz w:val="18"/>
          <w:szCs w:val="18"/>
        </w:rPr>
      </w:pPr>
    </w:p>
    <w:p w14:paraId="737234D5" w14:textId="3B512D43" w:rsidR="00927EAC" w:rsidRPr="00CC4137" w:rsidRDefault="007D3393" w:rsidP="00927EAC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 xml:space="preserve">Fresh Mushroom </w:t>
      </w:r>
      <w:r w:rsidR="00927EAC" w:rsidRPr="00CC4137">
        <w:rPr>
          <w:b/>
          <w:bCs/>
          <w:color w:val="800000"/>
        </w:rPr>
        <w:t>Dollars, Units and Volume Performance</w:t>
      </w:r>
    </w:p>
    <w:p w14:paraId="47797D03" w14:textId="094854F1" w:rsidR="00472B02" w:rsidRDefault="00226EF3" w:rsidP="00D3797F">
      <w:pPr>
        <w:pStyle w:val="NoSpacing"/>
        <w:ind w:right="-180"/>
      </w:pPr>
      <w:r>
        <w:t>The quad-week generated</w:t>
      </w:r>
      <w:r w:rsidR="00D0131F">
        <w:t xml:space="preserve"> </w:t>
      </w:r>
      <w:r w:rsidR="001B68E6">
        <w:t>$</w:t>
      </w:r>
      <w:r w:rsidR="006441B7">
        <w:t>11</w:t>
      </w:r>
      <w:r w:rsidR="00024188">
        <w:t>4.1</w:t>
      </w:r>
      <w:r w:rsidR="00A50E59">
        <w:t xml:space="preserve"> </w:t>
      </w:r>
      <w:r w:rsidR="001B68E6">
        <w:t>million</w:t>
      </w:r>
      <w:r w:rsidR="00FA0530">
        <w:t xml:space="preserve"> in</w:t>
      </w:r>
      <w:r w:rsidR="003E2D02">
        <w:t xml:space="preserve"> fresh mushroom</w:t>
      </w:r>
      <w:r w:rsidR="00FA0530">
        <w:t xml:space="preserve"> sales</w:t>
      </w:r>
      <w:r>
        <w:t>.</w:t>
      </w:r>
      <w:r w:rsidR="00865920">
        <w:t xml:space="preserve"> </w:t>
      </w:r>
      <w:r w:rsidR="00024188">
        <w:t>Importantly, this quad week period is likely impacted by the very different Easter timing in 2024 versus 2025. In 2024, Easter fell on March 31</w:t>
      </w:r>
      <w:r w:rsidR="00024188" w:rsidRPr="00024188">
        <w:rPr>
          <w:vertAlign w:val="superscript"/>
        </w:rPr>
        <w:t>st</w:t>
      </w:r>
      <w:r w:rsidR="00024188">
        <w:t xml:space="preserve"> and the earlier purchases would have already been included in this quad week. In 2025, Easter falls three weeks later on April 20</w:t>
      </w:r>
      <w:r w:rsidR="00024188" w:rsidRPr="00024188">
        <w:rPr>
          <w:vertAlign w:val="superscript"/>
        </w:rPr>
        <w:t>th</w:t>
      </w:r>
      <w:r w:rsidR="00024188">
        <w:t>. The mismatch in dates prompted total vegetable sales to decline by 3.0% this period. Total produce sales did increase 1.9% year-on-year with a strong fruit performance.</w:t>
      </w:r>
      <w:r w:rsidR="00B326D5">
        <w:t xml:space="preserve"> </w:t>
      </w:r>
    </w:p>
    <w:p w14:paraId="628DD7FA" w14:textId="77777777" w:rsidR="00B326D5" w:rsidRDefault="00B326D5" w:rsidP="00D3797F">
      <w:pPr>
        <w:pStyle w:val="NoSpacing"/>
        <w:ind w:right="-180"/>
      </w:pPr>
    </w:p>
    <w:p w14:paraId="40FAA348" w14:textId="6A56CCC2" w:rsidR="00AD7044" w:rsidRPr="006D5DC2" w:rsidRDefault="00AD7044" w:rsidP="00472B02">
      <w:pPr>
        <w:pStyle w:val="NoSpacing"/>
        <w:rPr>
          <w:sz w:val="6"/>
          <w:szCs w:val="6"/>
        </w:rPr>
      </w:pPr>
    </w:p>
    <w:tbl>
      <w:tblPr>
        <w:tblStyle w:val="ListTable3-Accent3"/>
        <w:tblW w:w="10269" w:type="dxa"/>
        <w:tblLook w:val="04A0" w:firstRow="1" w:lastRow="0" w:firstColumn="1" w:lastColumn="0" w:noHBand="0" w:noVBand="1"/>
      </w:tblPr>
      <w:tblGrid>
        <w:gridCol w:w="1792"/>
        <w:gridCol w:w="2163"/>
        <w:gridCol w:w="954"/>
        <w:gridCol w:w="971"/>
        <w:gridCol w:w="2074"/>
        <w:gridCol w:w="1121"/>
        <w:gridCol w:w="1194"/>
      </w:tblGrid>
      <w:tr w:rsidR="00B672D0" w:rsidRPr="00124CB7" w14:paraId="5D073D77" w14:textId="77777777" w:rsidTr="00D37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2" w:type="dxa"/>
            <w:shd w:val="clear" w:color="auto" w:fill="800000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2163" w:type="dxa"/>
            <w:shd w:val="clear" w:color="auto" w:fill="800000"/>
          </w:tcPr>
          <w:p w14:paraId="51DF6E55" w14:textId="776BF445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0F7C27">
              <w:t>3/23/2025</w:t>
            </w:r>
          </w:p>
        </w:tc>
        <w:tc>
          <w:tcPr>
            <w:tcW w:w="954" w:type="dxa"/>
            <w:shd w:val="clear" w:color="auto" w:fill="800000"/>
          </w:tcPr>
          <w:p w14:paraId="0398A30D" w14:textId="4921FDAA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YA</w:t>
            </w:r>
          </w:p>
        </w:tc>
        <w:tc>
          <w:tcPr>
            <w:tcW w:w="971" w:type="dxa"/>
            <w:shd w:val="clear" w:color="auto" w:fill="800000"/>
          </w:tcPr>
          <w:p w14:paraId="11B3D9FB" w14:textId="380D4956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3YA</w:t>
            </w:r>
          </w:p>
        </w:tc>
        <w:tc>
          <w:tcPr>
            <w:tcW w:w="2074" w:type="dxa"/>
            <w:shd w:val="clear" w:color="auto" w:fill="800000"/>
          </w:tcPr>
          <w:p w14:paraId="3BBE24C3" w14:textId="6D0BF041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w.e. </w:t>
            </w:r>
            <w:r w:rsidR="000F7C27">
              <w:t>3/23/2025</w:t>
            </w:r>
          </w:p>
        </w:tc>
        <w:tc>
          <w:tcPr>
            <w:tcW w:w="1121" w:type="dxa"/>
            <w:shd w:val="clear" w:color="auto" w:fill="800000"/>
          </w:tcPr>
          <w:p w14:paraId="0895179F" w14:textId="7698D04F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YA</w:t>
            </w:r>
          </w:p>
        </w:tc>
        <w:tc>
          <w:tcPr>
            <w:tcW w:w="1194" w:type="dxa"/>
            <w:shd w:val="clear" w:color="auto" w:fill="800000"/>
          </w:tcPr>
          <w:p w14:paraId="5AB7ECE0" w14:textId="6F271372" w:rsidR="00B672D0" w:rsidRPr="00124CB7" w:rsidRDefault="00B672D0" w:rsidP="00FA3219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3YA</w:t>
            </w:r>
          </w:p>
        </w:tc>
      </w:tr>
      <w:tr w:rsidR="00481440" w14:paraId="22401D5B" w14:textId="77777777" w:rsidTr="0064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9CDF43D" w14:textId="166854D6" w:rsidR="00481440" w:rsidRPr="006C1B19" w:rsidRDefault="00481440" w:rsidP="00481440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Dollars</w:t>
            </w:r>
          </w:p>
        </w:tc>
        <w:tc>
          <w:tcPr>
            <w:tcW w:w="2163" w:type="dxa"/>
            <w:vAlign w:val="center"/>
          </w:tcPr>
          <w:p w14:paraId="6D1FCB95" w14:textId="48C3FB5D" w:rsidR="00481440" w:rsidRPr="006C1B19" w:rsidRDefault="00481440" w:rsidP="004814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3241">
              <w:rPr>
                <w:rFonts w:cstheme="minorHAnsi"/>
              </w:rPr>
              <w:t>11</w:t>
            </w:r>
            <w:r w:rsidR="00024188">
              <w:rPr>
                <w:rFonts w:cstheme="minorHAnsi"/>
              </w:rPr>
              <w:t>4.1</w:t>
            </w:r>
            <w:r>
              <w:rPr>
                <w:rFonts w:cstheme="minorHAnsi"/>
              </w:rPr>
              <w:t>M</w:t>
            </w:r>
          </w:p>
        </w:tc>
        <w:tc>
          <w:tcPr>
            <w:tcW w:w="954" w:type="dxa"/>
          </w:tcPr>
          <w:p w14:paraId="77D2040B" w14:textId="07F5A07F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023241">
              <w:rPr>
                <w:rFonts w:cstheme="minorHAnsi"/>
              </w:rPr>
              <w:t>5.</w:t>
            </w:r>
            <w:r w:rsidR="00024188">
              <w:rPr>
                <w:rFonts w:cstheme="minorHAnsi"/>
              </w:rPr>
              <w:t>6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4EF21002" w14:textId="20769E15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023241">
              <w:rPr>
                <w:rFonts w:cstheme="minorHAnsi"/>
              </w:rPr>
              <w:t>7.</w:t>
            </w:r>
            <w:r w:rsidR="00024188">
              <w:rPr>
                <w:rFonts w:cstheme="minorHAnsi"/>
              </w:rPr>
              <w:t>4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375CF9DD" w14:textId="2E6B8F54" w:rsidR="00481440" w:rsidRPr="006C1B19" w:rsidRDefault="00481440" w:rsidP="004814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3241">
              <w:rPr>
                <w:rFonts w:cstheme="minorHAnsi"/>
              </w:rPr>
              <w:t>1.5</w:t>
            </w:r>
            <w:r w:rsidR="00024188">
              <w:rPr>
                <w:rFonts w:cstheme="minorHAnsi"/>
              </w:rPr>
              <w:t>0</w:t>
            </w:r>
            <w:r>
              <w:rPr>
                <w:rFonts w:cstheme="minorHAnsi"/>
              </w:rPr>
              <w:t>B</w:t>
            </w:r>
          </w:p>
        </w:tc>
        <w:tc>
          <w:tcPr>
            <w:tcW w:w="1121" w:type="dxa"/>
          </w:tcPr>
          <w:p w14:paraId="04EA64A9" w14:textId="766864E3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024188">
              <w:rPr>
                <w:rFonts w:cstheme="minorHAnsi"/>
              </w:rPr>
              <w:t>2.6</w:t>
            </w:r>
            <w:r w:rsidRPr="00CE6566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2F2464E9" w14:textId="19E87D87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023241">
              <w:rPr>
                <w:rFonts w:cstheme="minorHAnsi"/>
              </w:rPr>
              <w:t>4.</w:t>
            </w:r>
            <w:r w:rsidR="00024188">
              <w:rPr>
                <w:rFonts w:cstheme="minorHAnsi"/>
              </w:rPr>
              <w:t>6</w:t>
            </w:r>
            <w:r w:rsidRPr="00CE6566">
              <w:rPr>
                <w:rFonts w:cstheme="minorHAnsi"/>
              </w:rPr>
              <w:t>%</w:t>
            </w:r>
          </w:p>
        </w:tc>
      </w:tr>
      <w:tr w:rsidR="00481440" w14:paraId="31FB8D29" w14:textId="77777777" w:rsidTr="0064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0B2F651" w14:textId="48542DFC" w:rsidR="00481440" w:rsidRPr="006C1B19" w:rsidRDefault="00481440" w:rsidP="00481440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Units</w:t>
            </w:r>
          </w:p>
        </w:tc>
        <w:tc>
          <w:tcPr>
            <w:tcW w:w="2163" w:type="dxa"/>
            <w:vAlign w:val="center"/>
          </w:tcPr>
          <w:p w14:paraId="3CA03520" w14:textId="72190E69" w:rsidR="00481440" w:rsidRPr="006C1B19" w:rsidRDefault="00024188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38.5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954" w:type="dxa"/>
          </w:tcPr>
          <w:p w14:paraId="6922F333" w14:textId="0DA98DB2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024188">
              <w:rPr>
                <w:rFonts w:cstheme="minorHAnsi"/>
              </w:rPr>
              <w:t>4.5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7CD8DEEA" w14:textId="062809B0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024188">
              <w:rPr>
                <w:rFonts w:cstheme="minorHAnsi"/>
              </w:rPr>
              <w:t>10.9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26ECACB9" w14:textId="6BE684AD" w:rsidR="00481440" w:rsidRPr="006C1B19" w:rsidRDefault="00024188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496.5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1121" w:type="dxa"/>
          </w:tcPr>
          <w:p w14:paraId="60AAF678" w14:textId="2D424C62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024188">
              <w:rPr>
                <w:rFonts w:cstheme="minorHAnsi"/>
              </w:rPr>
              <w:t>2.9</w:t>
            </w:r>
            <w:r w:rsidRPr="00CE6566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19BE3B74" w14:textId="6A133194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60432D">
              <w:rPr>
                <w:rFonts w:cstheme="minorHAnsi"/>
              </w:rPr>
              <w:t>11.</w:t>
            </w:r>
            <w:r w:rsidR="00024188">
              <w:rPr>
                <w:rFonts w:cstheme="minorHAnsi"/>
              </w:rPr>
              <w:t>3</w:t>
            </w:r>
            <w:r w:rsidRPr="00CE6566">
              <w:rPr>
                <w:rFonts w:cstheme="minorHAnsi"/>
              </w:rPr>
              <w:t>%</w:t>
            </w:r>
          </w:p>
        </w:tc>
      </w:tr>
      <w:tr w:rsidR="00481440" w14:paraId="2EB720F3" w14:textId="77777777" w:rsidTr="0064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A632454" w14:textId="04CEBBF8" w:rsidR="00481440" w:rsidRPr="006C1B19" w:rsidRDefault="00481440" w:rsidP="00481440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Volume (pounds)</w:t>
            </w:r>
          </w:p>
        </w:tc>
        <w:tc>
          <w:tcPr>
            <w:tcW w:w="2163" w:type="dxa"/>
            <w:vAlign w:val="center"/>
          </w:tcPr>
          <w:p w14:paraId="68757A76" w14:textId="185AF690" w:rsidR="00481440" w:rsidRPr="006C1B19" w:rsidRDefault="00024188" w:rsidP="00481440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25.7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954" w:type="dxa"/>
          </w:tcPr>
          <w:p w14:paraId="7DE7F9CC" w14:textId="4A4A13C3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024188">
              <w:rPr>
                <w:rFonts w:cstheme="minorHAnsi"/>
              </w:rPr>
              <w:t>3.9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47670DC1" w14:textId="7E2C415C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024188">
              <w:rPr>
                <w:rFonts w:cstheme="minorHAnsi"/>
              </w:rPr>
              <w:t>10.3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57878EB0" w14:textId="544D78D0" w:rsidR="00481440" w:rsidRPr="006C1B19" w:rsidRDefault="0060432D" w:rsidP="00481440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24188">
              <w:rPr>
                <w:rFonts w:cstheme="minorHAnsi"/>
              </w:rPr>
              <w:t>31.6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1121" w:type="dxa"/>
          </w:tcPr>
          <w:p w14:paraId="0679CD28" w14:textId="703FE7B0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60432D">
              <w:rPr>
                <w:rFonts w:cstheme="minorHAnsi"/>
              </w:rPr>
              <w:t>2.</w:t>
            </w:r>
            <w:r w:rsidR="00024188">
              <w:rPr>
                <w:rFonts w:cstheme="minorHAnsi"/>
              </w:rPr>
              <w:t>5</w:t>
            </w:r>
            <w:r w:rsidRPr="00CE6566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09C03B7F" w14:textId="78328D85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024188">
              <w:rPr>
                <w:rFonts w:cstheme="minorHAnsi"/>
              </w:rPr>
              <w:t>10.7</w:t>
            </w:r>
            <w:r w:rsidRPr="00CE6566">
              <w:rPr>
                <w:rFonts w:cstheme="minorHAnsi"/>
              </w:rPr>
              <w:t>%</w:t>
            </w:r>
          </w:p>
        </w:tc>
      </w:tr>
    </w:tbl>
    <w:p w14:paraId="5B1F1AF6" w14:textId="51205BD7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0F7C27">
        <w:rPr>
          <w:color w:val="7F7F7F" w:themeColor="text1" w:themeTint="80"/>
          <w:sz w:val="16"/>
          <w:szCs w:val="16"/>
        </w:rPr>
        <w:t>3/23/2025</w:t>
      </w:r>
    </w:p>
    <w:p w14:paraId="709034BA" w14:textId="5EFCC803" w:rsidR="0022081A" w:rsidRPr="005A72D5" w:rsidRDefault="00A50E59" w:rsidP="00A50E59">
      <w:pPr>
        <w:pStyle w:val="NoSpacing"/>
        <w:tabs>
          <w:tab w:val="left" w:pos="898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1DB995D" w14:textId="5AA054CA" w:rsidR="0022081A" w:rsidRPr="00CC4137" w:rsidRDefault="0022081A" w:rsidP="0022081A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>Performance by Type</w:t>
      </w:r>
    </w:p>
    <w:p w14:paraId="1EA6211B" w14:textId="2311B518" w:rsidR="00CC4137" w:rsidRDefault="00E25C6B" w:rsidP="001B68E6">
      <w:pPr>
        <w:pStyle w:val="NoSpacing"/>
      </w:pPr>
      <w:r>
        <w:t>In the MULO+ universe, white</w:t>
      </w:r>
      <w:r w:rsidR="00810052">
        <w:t xml:space="preserve"> mushrooms represented </w:t>
      </w:r>
      <w:r w:rsidR="009D14FA">
        <w:t>49.</w:t>
      </w:r>
      <w:r w:rsidR="003E2D02">
        <w:t>6</w:t>
      </w:r>
      <w:r w:rsidR="00E25816">
        <w:t>% of total mushroom dollars</w:t>
      </w:r>
      <w:r w:rsidR="00983B89">
        <w:t xml:space="preserve"> and 55.9% of total mushroom volume sales</w:t>
      </w:r>
      <w:r w:rsidR="005A72D5">
        <w:t xml:space="preserve">. </w:t>
      </w:r>
      <w:r w:rsidR="00983B89">
        <w:t xml:space="preserve">All varieties experienced year-on-year dollar and volume declines, with </w:t>
      </w:r>
      <w:r w:rsidR="003E2D02">
        <w:t xml:space="preserve">crimini </w:t>
      </w:r>
      <w:r w:rsidR="00983B89">
        <w:t xml:space="preserve">mushrooms coming closest to year-ago levels. </w:t>
      </w:r>
      <w:r w:rsidR="005A72D5">
        <w:t xml:space="preserve"> </w:t>
      </w:r>
      <w:r w:rsidR="00E25816">
        <w:t xml:space="preserve"> </w:t>
      </w:r>
    </w:p>
    <w:p w14:paraId="18F23348" w14:textId="77777777" w:rsidR="00CC4137" w:rsidRDefault="00CC4137" w:rsidP="001B68E6">
      <w:pPr>
        <w:pStyle w:val="NoSpacing"/>
      </w:pPr>
    </w:p>
    <w:tbl>
      <w:tblPr>
        <w:tblStyle w:val="ListTable3-Accent3"/>
        <w:tblW w:w="10349" w:type="dxa"/>
        <w:tblLayout w:type="fixed"/>
        <w:tblLook w:val="0400" w:firstRow="0" w:lastRow="0" w:firstColumn="0" w:lastColumn="0" w:noHBand="0" w:noVBand="1"/>
      </w:tblPr>
      <w:tblGrid>
        <w:gridCol w:w="2448"/>
        <w:gridCol w:w="1168"/>
        <w:gridCol w:w="882"/>
        <w:gridCol w:w="991"/>
        <w:gridCol w:w="972"/>
        <w:gridCol w:w="1152"/>
        <w:gridCol w:w="864"/>
        <w:gridCol w:w="1008"/>
        <w:gridCol w:w="864"/>
      </w:tblGrid>
      <w:tr w:rsidR="00E25C6B" w:rsidRPr="00B25DFD" w14:paraId="06A52115" w14:textId="77777777" w:rsidTr="00D01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shd w:val="clear" w:color="auto" w:fill="800000"/>
            <w:hideMark/>
          </w:tcPr>
          <w:p w14:paraId="60C8BF6E" w14:textId="29220DC1" w:rsidR="00E25C6B" w:rsidRPr="00510C02" w:rsidRDefault="00E25C6B" w:rsidP="009718A1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1" w:name="_Hlk97115006"/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0F7C27">
              <w:rPr>
                <w:rFonts w:cstheme="minorHAnsi"/>
                <w:b/>
                <w:bCs/>
                <w:color w:val="FFFFFF" w:themeColor="background1"/>
              </w:rPr>
              <w:t>3/23/2025</w:t>
            </w:r>
          </w:p>
        </w:tc>
        <w:tc>
          <w:tcPr>
            <w:tcW w:w="1168" w:type="dxa"/>
            <w:shd w:val="clear" w:color="auto" w:fill="800000"/>
            <w:hideMark/>
          </w:tcPr>
          <w:p w14:paraId="1064D99F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800000"/>
          </w:tcPr>
          <w:p w14:paraId="07FD6981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Dollar share</w:t>
            </w:r>
          </w:p>
        </w:tc>
        <w:tc>
          <w:tcPr>
            <w:tcW w:w="991" w:type="dxa"/>
            <w:shd w:val="clear" w:color="auto" w:fill="800000"/>
            <w:hideMark/>
          </w:tcPr>
          <w:p w14:paraId="1FC52AF2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$ sales vs. YA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800000"/>
            <w:hideMark/>
          </w:tcPr>
          <w:p w14:paraId="6A0D386A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$ sales vs. 3YA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800000"/>
          </w:tcPr>
          <w:p w14:paraId="183A24AF" w14:textId="77777777" w:rsidR="00E25C6B" w:rsidRPr="00510C02" w:rsidRDefault="00E25C6B" w:rsidP="005A72D5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Volume (lbs)</w:t>
            </w:r>
          </w:p>
        </w:tc>
        <w:tc>
          <w:tcPr>
            <w:tcW w:w="864" w:type="dxa"/>
            <w:shd w:val="clear" w:color="auto" w:fill="800000"/>
          </w:tcPr>
          <w:p w14:paraId="099E0FD1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0FD167EC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share</w:t>
            </w:r>
          </w:p>
        </w:tc>
        <w:tc>
          <w:tcPr>
            <w:tcW w:w="1008" w:type="dxa"/>
            <w:shd w:val="clear" w:color="auto" w:fill="800000"/>
          </w:tcPr>
          <w:p w14:paraId="6F8C758A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 w:rsidRPr="00510C02">
              <w:rPr>
                <w:rFonts w:cstheme="minorHAnsi"/>
                <w:b/>
                <w:bCs/>
                <w:color w:val="FFFFFF" w:themeColor="background1"/>
              </w:rPr>
              <w:br/>
              <w:t>vs. YA</w:t>
            </w:r>
          </w:p>
        </w:tc>
        <w:tc>
          <w:tcPr>
            <w:tcW w:w="864" w:type="dxa"/>
            <w:shd w:val="clear" w:color="auto" w:fill="800000"/>
          </w:tcPr>
          <w:p w14:paraId="7A8620CC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Lbs vs. 3YA</w:t>
            </w:r>
          </w:p>
        </w:tc>
      </w:tr>
      <w:tr w:rsidR="00024188" w:rsidRPr="00B25DFD" w14:paraId="6060B2B6" w14:textId="77777777" w:rsidTr="00491B96">
        <w:trPr>
          <w:trHeight w:val="20"/>
        </w:trPr>
        <w:tc>
          <w:tcPr>
            <w:tcW w:w="2448" w:type="dxa"/>
            <w:vAlign w:val="center"/>
            <w:hideMark/>
          </w:tcPr>
          <w:p w14:paraId="07F2D68F" w14:textId="5D52916A" w:rsidR="00024188" w:rsidRPr="00024188" w:rsidRDefault="00024188" w:rsidP="000241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Total fresh mushrooms</w:t>
            </w:r>
          </w:p>
        </w:tc>
        <w:tc>
          <w:tcPr>
            <w:tcW w:w="1168" w:type="dxa"/>
            <w:vAlign w:val="center"/>
            <w:hideMark/>
          </w:tcPr>
          <w:p w14:paraId="0A1DDAB5" w14:textId="269D5B9A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$114.1M</w:t>
            </w:r>
          </w:p>
        </w:tc>
        <w:tc>
          <w:tcPr>
            <w:tcW w:w="882" w:type="dxa"/>
            <w:vAlign w:val="center"/>
          </w:tcPr>
          <w:p w14:paraId="365C126B" w14:textId="2EDC7FCC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100.0%</w:t>
            </w:r>
          </w:p>
        </w:tc>
        <w:tc>
          <w:tcPr>
            <w:tcW w:w="991" w:type="dxa"/>
            <w:vAlign w:val="center"/>
            <w:hideMark/>
          </w:tcPr>
          <w:p w14:paraId="053B6359" w14:textId="3F436E67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-5.6%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525F03F4" w14:textId="2B2CF1BD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-7.4%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22279171" w14:textId="77D6408D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25.7M</w:t>
            </w:r>
          </w:p>
        </w:tc>
        <w:tc>
          <w:tcPr>
            <w:tcW w:w="864" w:type="dxa"/>
            <w:vAlign w:val="center"/>
          </w:tcPr>
          <w:p w14:paraId="630361CF" w14:textId="08B10914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100.0%</w:t>
            </w:r>
          </w:p>
        </w:tc>
        <w:tc>
          <w:tcPr>
            <w:tcW w:w="1008" w:type="dxa"/>
            <w:vAlign w:val="center"/>
          </w:tcPr>
          <w:p w14:paraId="13CC202A" w14:textId="00169AE9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-3.9%</w:t>
            </w:r>
          </w:p>
        </w:tc>
        <w:tc>
          <w:tcPr>
            <w:tcW w:w="864" w:type="dxa"/>
            <w:vAlign w:val="center"/>
          </w:tcPr>
          <w:p w14:paraId="18FA9632" w14:textId="31FE210F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-10.3%</w:t>
            </w:r>
          </w:p>
        </w:tc>
      </w:tr>
      <w:tr w:rsidR="00024188" w:rsidRPr="00481440" w14:paraId="145D73B9" w14:textId="77777777" w:rsidTr="0049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vAlign w:val="center"/>
            <w:hideMark/>
          </w:tcPr>
          <w:p w14:paraId="78B4D2F2" w14:textId="2B73E374" w:rsidR="00024188" w:rsidRPr="00024188" w:rsidRDefault="00024188" w:rsidP="00024188">
            <w:pPr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White mushrooms</w:t>
            </w:r>
          </w:p>
        </w:tc>
        <w:tc>
          <w:tcPr>
            <w:tcW w:w="1168" w:type="dxa"/>
            <w:vAlign w:val="center"/>
            <w:hideMark/>
          </w:tcPr>
          <w:p w14:paraId="4C0D7E28" w14:textId="7825BFA6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$56.6M</w:t>
            </w:r>
          </w:p>
        </w:tc>
        <w:tc>
          <w:tcPr>
            <w:tcW w:w="882" w:type="dxa"/>
            <w:vAlign w:val="center"/>
          </w:tcPr>
          <w:p w14:paraId="3CADA244" w14:textId="4D04D5BF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49.6%</w:t>
            </w:r>
          </w:p>
        </w:tc>
        <w:tc>
          <w:tcPr>
            <w:tcW w:w="991" w:type="dxa"/>
            <w:vAlign w:val="center"/>
            <w:hideMark/>
          </w:tcPr>
          <w:p w14:paraId="6C36ED75" w14:textId="1830FD56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-5.6%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12408AC8" w14:textId="2F19836F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-10.5%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5118D613" w14:textId="6309E2C4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14.4M</w:t>
            </w:r>
          </w:p>
        </w:tc>
        <w:tc>
          <w:tcPr>
            <w:tcW w:w="864" w:type="dxa"/>
            <w:vAlign w:val="center"/>
          </w:tcPr>
          <w:p w14:paraId="40D97251" w14:textId="6A9748B5" w:rsidR="00024188" w:rsidRPr="00024188" w:rsidRDefault="00024188" w:rsidP="00024188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55.9%</w:t>
            </w:r>
          </w:p>
        </w:tc>
        <w:tc>
          <w:tcPr>
            <w:tcW w:w="1008" w:type="dxa"/>
            <w:vAlign w:val="center"/>
          </w:tcPr>
          <w:p w14:paraId="710357FA" w14:textId="03FE2E52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-3.8%</w:t>
            </w:r>
          </w:p>
        </w:tc>
        <w:tc>
          <w:tcPr>
            <w:tcW w:w="864" w:type="dxa"/>
            <w:vAlign w:val="center"/>
          </w:tcPr>
          <w:p w14:paraId="285307C2" w14:textId="45ED819E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-13.4%</w:t>
            </w:r>
          </w:p>
        </w:tc>
      </w:tr>
      <w:tr w:rsidR="00024188" w:rsidRPr="00B25DFD" w14:paraId="716CD0FE" w14:textId="77777777" w:rsidTr="00491B96">
        <w:trPr>
          <w:trHeight w:val="20"/>
        </w:trPr>
        <w:tc>
          <w:tcPr>
            <w:tcW w:w="2448" w:type="dxa"/>
            <w:vAlign w:val="center"/>
          </w:tcPr>
          <w:p w14:paraId="0FA3EA16" w14:textId="5F7BA818" w:rsidR="00024188" w:rsidRPr="00024188" w:rsidRDefault="00024188" w:rsidP="00024188">
            <w:pPr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Crimini mushrooms</w:t>
            </w:r>
          </w:p>
        </w:tc>
        <w:tc>
          <w:tcPr>
            <w:tcW w:w="1168" w:type="dxa"/>
            <w:vAlign w:val="center"/>
          </w:tcPr>
          <w:p w14:paraId="1E580BCF" w14:textId="7CDE8957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$41.3M</w:t>
            </w:r>
          </w:p>
        </w:tc>
        <w:tc>
          <w:tcPr>
            <w:tcW w:w="882" w:type="dxa"/>
            <w:vAlign w:val="center"/>
          </w:tcPr>
          <w:p w14:paraId="32C9D86B" w14:textId="5E7C6572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36.2%</w:t>
            </w:r>
          </w:p>
        </w:tc>
        <w:tc>
          <w:tcPr>
            <w:tcW w:w="991" w:type="dxa"/>
            <w:vAlign w:val="center"/>
          </w:tcPr>
          <w:p w14:paraId="04806102" w14:textId="4753A1AE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-5.0%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4C163EED" w14:textId="1E03D998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+0.7%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0C78E297" w14:textId="0C6C59CD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9.1M</w:t>
            </w:r>
          </w:p>
        </w:tc>
        <w:tc>
          <w:tcPr>
            <w:tcW w:w="864" w:type="dxa"/>
            <w:vAlign w:val="center"/>
          </w:tcPr>
          <w:p w14:paraId="14998231" w14:textId="1423DEFC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35.4%</w:t>
            </w:r>
          </w:p>
        </w:tc>
        <w:tc>
          <w:tcPr>
            <w:tcW w:w="1008" w:type="dxa"/>
            <w:vAlign w:val="center"/>
          </w:tcPr>
          <w:p w14:paraId="60244247" w14:textId="66AF05C4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-4.3%</w:t>
            </w:r>
          </w:p>
        </w:tc>
        <w:tc>
          <w:tcPr>
            <w:tcW w:w="864" w:type="dxa"/>
            <w:vAlign w:val="center"/>
          </w:tcPr>
          <w:p w14:paraId="6A0F8BA3" w14:textId="4F5E9503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-2.5%</w:t>
            </w:r>
          </w:p>
        </w:tc>
      </w:tr>
      <w:tr w:rsidR="00024188" w:rsidRPr="00B25DFD" w14:paraId="57FEBDF7" w14:textId="77777777" w:rsidTr="0049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vAlign w:val="center"/>
            <w:hideMark/>
          </w:tcPr>
          <w:p w14:paraId="602D364E" w14:textId="39434D1E" w:rsidR="00024188" w:rsidRPr="00024188" w:rsidRDefault="00024188" w:rsidP="00024188">
            <w:pPr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Portabella mushrooms</w:t>
            </w:r>
          </w:p>
        </w:tc>
        <w:tc>
          <w:tcPr>
            <w:tcW w:w="1168" w:type="dxa"/>
            <w:vAlign w:val="center"/>
          </w:tcPr>
          <w:p w14:paraId="41892DB8" w14:textId="1859BDD3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$8.4M</w:t>
            </w:r>
          </w:p>
        </w:tc>
        <w:tc>
          <w:tcPr>
            <w:tcW w:w="882" w:type="dxa"/>
            <w:vAlign w:val="center"/>
          </w:tcPr>
          <w:p w14:paraId="46ABCE73" w14:textId="6FFFB68A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7.4%</w:t>
            </w:r>
          </w:p>
        </w:tc>
        <w:tc>
          <w:tcPr>
            <w:tcW w:w="991" w:type="dxa"/>
            <w:vAlign w:val="center"/>
          </w:tcPr>
          <w:p w14:paraId="481BED1D" w14:textId="74C4853C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-6.2%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72645B7B" w14:textId="32C04167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-27.4%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0F1677BF" w14:textId="6FAA5D91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1.7M</w:t>
            </w:r>
          </w:p>
        </w:tc>
        <w:tc>
          <w:tcPr>
            <w:tcW w:w="864" w:type="dxa"/>
            <w:vAlign w:val="center"/>
          </w:tcPr>
          <w:p w14:paraId="6BFC89D0" w14:textId="747B046B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6.6%</w:t>
            </w:r>
          </w:p>
        </w:tc>
        <w:tc>
          <w:tcPr>
            <w:tcW w:w="1008" w:type="dxa"/>
            <w:vAlign w:val="center"/>
          </w:tcPr>
          <w:p w14:paraId="523FEFF1" w14:textId="0293C0A9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-0.6%</w:t>
            </w:r>
          </w:p>
        </w:tc>
        <w:tc>
          <w:tcPr>
            <w:tcW w:w="864" w:type="dxa"/>
            <w:vAlign w:val="center"/>
          </w:tcPr>
          <w:p w14:paraId="79E4C24B" w14:textId="7511E84C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-22.7%</w:t>
            </w:r>
          </w:p>
        </w:tc>
      </w:tr>
      <w:tr w:rsidR="00024188" w:rsidRPr="00B25DFD" w14:paraId="7E4A2AE4" w14:textId="77777777" w:rsidTr="00491B96">
        <w:trPr>
          <w:trHeight w:val="20"/>
        </w:trPr>
        <w:tc>
          <w:tcPr>
            <w:tcW w:w="2448" w:type="dxa"/>
            <w:vAlign w:val="center"/>
            <w:hideMark/>
          </w:tcPr>
          <w:p w14:paraId="62CA9D59" w14:textId="4E250FE5" w:rsidR="00024188" w:rsidRPr="00024188" w:rsidRDefault="00024188" w:rsidP="00024188">
            <w:pPr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Specialty mushrooms</w:t>
            </w:r>
          </w:p>
        </w:tc>
        <w:tc>
          <w:tcPr>
            <w:tcW w:w="1168" w:type="dxa"/>
            <w:vAlign w:val="center"/>
            <w:hideMark/>
          </w:tcPr>
          <w:p w14:paraId="12033966" w14:textId="62EC9404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$7.1M</w:t>
            </w:r>
          </w:p>
        </w:tc>
        <w:tc>
          <w:tcPr>
            <w:tcW w:w="882" w:type="dxa"/>
            <w:vAlign w:val="center"/>
          </w:tcPr>
          <w:p w14:paraId="20BDBE45" w14:textId="33D992D4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6.9%</w:t>
            </w:r>
          </w:p>
        </w:tc>
        <w:tc>
          <w:tcPr>
            <w:tcW w:w="991" w:type="dxa"/>
            <w:vAlign w:val="center"/>
            <w:hideMark/>
          </w:tcPr>
          <w:p w14:paraId="2A392A18" w14:textId="5A025E71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-7.7%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6E10AA11" w14:textId="70FA8F94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+5.3%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105935BB" w14:textId="10DD9CE1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0.5M</w:t>
            </w:r>
          </w:p>
        </w:tc>
        <w:tc>
          <w:tcPr>
            <w:tcW w:w="864" w:type="dxa"/>
            <w:vAlign w:val="center"/>
          </w:tcPr>
          <w:p w14:paraId="496EFB9C" w14:textId="1D2A88B7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2.1%</w:t>
            </w:r>
          </w:p>
        </w:tc>
        <w:tc>
          <w:tcPr>
            <w:tcW w:w="1008" w:type="dxa"/>
            <w:vAlign w:val="center"/>
          </w:tcPr>
          <w:p w14:paraId="41B75DBF" w14:textId="34565AB8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-9.6%</w:t>
            </w:r>
          </w:p>
        </w:tc>
        <w:tc>
          <w:tcPr>
            <w:tcW w:w="864" w:type="dxa"/>
            <w:vAlign w:val="center"/>
          </w:tcPr>
          <w:p w14:paraId="32944C91" w14:textId="72D5C284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-1.3%</w:t>
            </w:r>
          </w:p>
        </w:tc>
      </w:tr>
    </w:tbl>
    <w:bookmarkEnd w:id="1"/>
    <w:p w14:paraId="7E5C7352" w14:textId="7C299B92" w:rsidR="00E25C6B" w:rsidRDefault="00E25C6B" w:rsidP="00E25C6B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0F7C27">
        <w:rPr>
          <w:color w:val="7F7F7F" w:themeColor="text1" w:themeTint="80"/>
          <w:sz w:val="16"/>
          <w:szCs w:val="16"/>
        </w:rPr>
        <w:t>3/23/2025</w:t>
      </w:r>
    </w:p>
    <w:p w14:paraId="3F28C401" w14:textId="77777777" w:rsidR="00481440" w:rsidRDefault="00481440" w:rsidP="005E7FB2">
      <w:pPr>
        <w:pStyle w:val="NoSpacing"/>
      </w:pPr>
    </w:p>
    <w:p w14:paraId="14458122" w14:textId="5999B9AF" w:rsidR="000E0D6B" w:rsidRDefault="00983B89" w:rsidP="005E7FB2">
      <w:pPr>
        <w:pStyle w:val="NoSpacing"/>
      </w:pPr>
      <w:r>
        <w:lastRenderedPageBreak/>
        <w:t>Quad</w:t>
      </w:r>
      <w:r w:rsidR="003E2D02">
        <w:t xml:space="preserve"> </w:t>
      </w:r>
      <w:r>
        <w:t xml:space="preserve">week </w:t>
      </w:r>
      <w:r w:rsidR="003E2D02">
        <w:t xml:space="preserve">three is </w:t>
      </w:r>
      <w:r>
        <w:t xml:space="preserve">historically </w:t>
      </w:r>
      <w:r w:rsidR="003E2D02">
        <w:t xml:space="preserve">the second of </w:t>
      </w:r>
      <w:r>
        <w:t>seven reporting periods in which volume declines in comparison to the prior quad</w:t>
      </w:r>
      <w:r w:rsidR="003E2D02">
        <w:t xml:space="preserve"> </w:t>
      </w:r>
      <w:r>
        <w:t>week. Period-over-period decreases have ranged from about 2% to 5% in the past decade</w:t>
      </w:r>
      <w:r w:rsidR="003E2D02">
        <w:t xml:space="preserve"> (the pandemic year excepted). This year, quad week three fresh mushroom pounds dropped 3.1% compared to quad week two. The forecast tab shows the projections for quad week four, at 24.9 million pounds. </w:t>
      </w:r>
    </w:p>
    <w:p w14:paraId="10A894BF" w14:textId="77777777" w:rsidR="005E7FB2" w:rsidRPr="00E72D31" w:rsidRDefault="005E7FB2" w:rsidP="005E7FB2">
      <w:pPr>
        <w:pStyle w:val="NoSpacing"/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10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E7FB2" w:rsidRPr="005E7FB2" w14:paraId="552B7DD4" w14:textId="77777777" w:rsidTr="00D3797F">
        <w:trPr>
          <w:trHeight w:val="5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54AA7F04" w14:textId="77777777" w:rsidR="005E7FB2" w:rsidRPr="00D3797F" w:rsidRDefault="005E7FB2" w:rsidP="005E7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  <w:t>Pound growth rates versus PRIOR PERIOD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BD79E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09DB5F5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FE55B4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EBA85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A684AC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A3C9D9E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727775C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6BEE937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A9CD27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D41FD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99EC0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6FFC19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B2DF40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13</w:t>
            </w:r>
          </w:p>
        </w:tc>
      </w:tr>
      <w:tr w:rsidR="0022081A" w:rsidRPr="005E7FB2" w14:paraId="6700F574" w14:textId="77777777" w:rsidTr="0090384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1738" w14:textId="44F8C944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99273B8" w14:textId="2769A82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26E3269" w14:textId="1BD4C9C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890BFE9" w14:textId="512E1B8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41F185A" w14:textId="5F88FDB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7F5EBD7" w14:textId="6F16CC6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0658B53" w14:textId="6431DAB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29E9811" w14:textId="0E7D3E4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93C7E65" w14:textId="7A39F21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C9C7B3" w14:textId="22CDEED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FF0428" w14:textId="0E897E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4D4F3C1C" w14:textId="2BC57DA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3C1E63F" w14:textId="63C2B64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0AAE430" w14:textId="39CB6A3B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7.3%</w:t>
            </w:r>
          </w:p>
        </w:tc>
      </w:tr>
      <w:tr w:rsidR="0022081A" w:rsidRPr="005E7FB2" w14:paraId="26A9F9D1" w14:textId="77777777" w:rsidTr="00B07D7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243" w14:textId="4FEEA25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4C19620" w14:textId="741DDAF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1A935E6" w14:textId="644FD1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3857E16" w14:textId="4E28556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3430169" w14:textId="19E32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C99F6E2" w14:textId="21A9C7E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A0F87E" w14:textId="264A0EB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F69E30D" w14:textId="33A7B78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C382510" w14:textId="27EBF64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0F2D19F" w14:textId="6265E2E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608F83" w14:textId="28AC80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196E6AC3" w14:textId="05BAC47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C0269F8" w14:textId="20228B40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3A83299" w14:textId="33C1E1CF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4.1%</w:t>
            </w:r>
          </w:p>
        </w:tc>
      </w:tr>
      <w:tr w:rsidR="0022081A" w:rsidRPr="005E7FB2" w14:paraId="765FD8B7" w14:textId="77777777" w:rsidTr="00B07D7F">
        <w:trPr>
          <w:trHeight w:val="2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F6C" w14:textId="2285FC46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2E22A6D" w14:textId="6EB8996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6.6%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82696B" w14:textId="1C81D99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-4.4%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B131532" w14:textId="5FE7E18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6210B83" w14:textId="167DB0B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CC36D3D" w14:textId="4E5AC97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042B665" w14:textId="28D315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5C167C" w14:textId="37A7675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9D76C10" w14:textId="14A8BC5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859738F" w14:textId="44D8F36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2AB3154F" w14:textId="50FF31E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334541CE" w14:textId="07E9B5E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2FA47F8" w14:textId="75EFEC0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8.1%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6A7972F" w14:textId="3A813AD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4.6%</w:t>
            </w:r>
          </w:p>
        </w:tc>
      </w:tr>
      <w:tr w:rsidR="0022081A" w:rsidRPr="005E7FB2" w14:paraId="37295F83" w14:textId="77777777" w:rsidTr="002E600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1E0" w14:textId="30320307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1C55FB5" w14:textId="7B917A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F57AB9" w14:textId="377542A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371C820" w14:textId="4C195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2F1740F4" w14:textId="6573950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A239580" w14:textId="1AF54E9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22B2691" w14:textId="06E8829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-8.3%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C736510" w14:textId="2E0A8EC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1F8EF3B" w14:textId="3084F7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5FE6ACC" w14:textId="4CF3777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53EF12" w14:textId="57126C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3B077303" w14:textId="6BB36BE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7D3FC1A" w14:textId="45BB6717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A7B4C43" w14:textId="4F8AE9E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4.0%</w:t>
            </w:r>
          </w:p>
        </w:tc>
      </w:tr>
      <w:tr w:rsidR="0022081A" w:rsidRPr="005E7FB2" w14:paraId="7BFB53F4" w14:textId="77777777" w:rsidTr="002E600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EEC5" w14:textId="09C2110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171CEAB" w14:textId="702C1A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6121419" w14:textId="0AFE3CE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99A95E" w14:textId="312EC98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8037FE1" w14:textId="667AF71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94DB792" w14:textId="4B38AED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5885E43" w14:textId="43DBDEE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B9524B4" w14:textId="18A39BF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63ADEA99" w14:textId="12DBB89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20DEE4A" w14:textId="1EA109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B7B4648" w14:textId="3C1A188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343F0E1" w14:textId="3A2F197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07CAE79" w14:textId="37C59686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5.3%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A3E1D6B" w14:textId="69A2E62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2.6%</w:t>
            </w:r>
          </w:p>
        </w:tc>
      </w:tr>
      <w:tr w:rsidR="0022081A" w:rsidRPr="005E7FB2" w14:paraId="1317160F" w14:textId="77777777" w:rsidTr="00145E9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FC8" w14:textId="0044201A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A5A5D82" w14:textId="455AE4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7C215D2" w14:textId="28C3D18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CC1213" w14:textId="080B0D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DE353F" w14:textId="4231322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DADA3A1" w14:textId="79316D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96B2722" w14:textId="5A54E31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EC946C7" w14:textId="6FDEBDC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AD0AD9" w14:textId="7D28D1C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85F668" w14:textId="22AD7EF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6D4AC9DF" w14:textId="384B672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92F64E6" w14:textId="1887037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A3EB32E" w14:textId="29BEB36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8.0%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6CCD92" w14:textId="349343C2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1.5%</w:t>
            </w:r>
          </w:p>
        </w:tc>
      </w:tr>
      <w:tr w:rsidR="0022081A" w:rsidRPr="005E7FB2" w14:paraId="632BDF7D" w14:textId="77777777" w:rsidTr="00A50E59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603E1" w14:textId="2EDCD2D3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BFC50D" w14:textId="120F89A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3F7565F" w14:textId="5FD12BD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2B93B66" w14:textId="02C951C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7289D6E" w14:textId="221A22A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C2C7BF2" w14:textId="09DD647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19BDDD6" w14:textId="3E892E0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39A3C4D" w14:textId="1B76B07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F081C7B" w14:textId="6252032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39719A" w14:textId="4D47F33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C7EF64" w14:textId="3992554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C37D659" w14:textId="2551D83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526FA76" w14:textId="6E54898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634A73" w14:textId="1788A2B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0.8%</w:t>
            </w:r>
          </w:p>
        </w:tc>
      </w:tr>
      <w:tr w:rsidR="005A72D5" w:rsidRPr="005E7FB2" w14:paraId="02AC87C2" w14:textId="77777777" w:rsidTr="009D14FA">
        <w:trPr>
          <w:trHeight w:val="2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9A3B7" w14:textId="4E6703B2" w:rsidR="005A72D5" w:rsidRPr="0022081A" w:rsidRDefault="005A72D5" w:rsidP="005A72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7A6D22" w14:textId="31219C65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bottom"/>
            <w:hideMark/>
          </w:tcPr>
          <w:p w14:paraId="78B9A064" w14:textId="63C77521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44B23E1" w14:textId="79062F95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1AC127A" w14:textId="5996A06C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14DC4CF" w14:textId="319FF531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F842805" w14:textId="4AA6E157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C001417" w14:textId="79753CF0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375723A5" w14:textId="0E3D894D" w:rsidR="005A72D5" w:rsidRPr="00105C56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105C56">
              <w:rPr>
                <w:rFonts w:eastAsia="Times New Roman" w:cstheme="minorHAnsi"/>
                <w:sz w:val="16"/>
                <w:szCs w:val="16"/>
                <w:lang w:eastAsia="nl-NL"/>
              </w:rPr>
              <w:t>-0</w:t>
            </w: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.</w:t>
            </w:r>
            <w:r w:rsidRPr="00105C56">
              <w:rPr>
                <w:rFonts w:eastAsia="Times New Roman" w:cstheme="minorHAnsi"/>
                <w:sz w:val="16"/>
                <w:szCs w:val="16"/>
                <w:lang w:eastAsia="nl-NL"/>
              </w:rPr>
              <w:t>6%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</w:tcPr>
          <w:p w14:paraId="63A52816" w14:textId="7A64AA39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2.9%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24FF4F0E" w14:textId="4E925BF1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0.7%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718884F4" w14:textId="770CD77B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1.3%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D617FAD" w14:textId="1E869E9A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cstheme="minorHAnsi"/>
                <w:sz w:val="16"/>
                <w:szCs w:val="16"/>
              </w:rPr>
              <w:t>10.9</w:t>
            </w:r>
            <w:r w:rsidRPr="00E4705F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06BCD37" w14:textId="0B67B302" w:rsidR="005A72D5" w:rsidRPr="005E7FB2" w:rsidRDefault="005A72D5" w:rsidP="005A7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22081A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3E2D02" w:rsidRPr="005E7FB2" w14:paraId="4CA10958" w14:textId="77777777" w:rsidTr="003E2D02">
        <w:trPr>
          <w:trHeight w:val="2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D21686" w14:textId="56067B3A" w:rsidR="003E2D02" w:rsidRPr="0022081A" w:rsidRDefault="003E2D02" w:rsidP="003E2D0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</w:tcPr>
          <w:p w14:paraId="7DB6CDCB" w14:textId="36E42EF7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3.7%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bottom"/>
          </w:tcPr>
          <w:p w14:paraId="6901F102" w14:textId="799FD50E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-4.7</w:t>
            </w:r>
            <w:r w:rsidRPr="0022081A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bottom"/>
          </w:tcPr>
          <w:p w14:paraId="0A87DB22" w14:textId="266FE96E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22081A">
              <w:rPr>
                <w:rFonts w:cstheme="minorHAnsi"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4F11" w14:textId="77777777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BFCFF" w14:textId="77777777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707F" w14:textId="77777777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71E8" w14:textId="77777777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ACD7" w14:textId="77777777" w:rsidR="003E2D02" w:rsidRPr="00105C56" w:rsidRDefault="003E2D02" w:rsidP="003E2D0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B2F6" w14:textId="77777777" w:rsidR="003E2D02" w:rsidRDefault="003E2D02" w:rsidP="003E2D0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4EC6" w14:textId="77777777" w:rsidR="003E2D02" w:rsidRDefault="003E2D02" w:rsidP="003E2D0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DFBD" w14:textId="77777777" w:rsidR="003E2D02" w:rsidRDefault="003E2D02" w:rsidP="003E2D0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63F62" w14:textId="77777777" w:rsidR="003E2D02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77C2" w14:textId="77777777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</w:tbl>
    <w:p w14:paraId="0A7B459F" w14:textId="77777777" w:rsidR="0022081A" w:rsidRPr="00E72D31" w:rsidRDefault="0022081A" w:rsidP="000E0D6B">
      <w:pPr>
        <w:pStyle w:val="NoSpacing"/>
        <w:rPr>
          <w:color w:val="7F7F7F" w:themeColor="text1" w:themeTint="80"/>
          <w:sz w:val="6"/>
          <w:szCs w:val="6"/>
        </w:rPr>
      </w:pPr>
    </w:p>
    <w:p w14:paraId="6771805F" w14:textId="74B89027" w:rsidR="005E7FB2" w:rsidRPr="000E0D6B" w:rsidRDefault="005E7FB2" w:rsidP="000E0D6B">
      <w:pPr>
        <w:pStyle w:val="NoSpacing"/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quad weeks 2017-</w:t>
      </w:r>
      <w:r w:rsidR="003E2D02">
        <w:rPr>
          <w:color w:val="7F7F7F" w:themeColor="text1" w:themeTint="80"/>
          <w:sz w:val="16"/>
          <w:szCs w:val="16"/>
        </w:rPr>
        <w:t>2025</w:t>
      </w:r>
      <w:r>
        <w:br w:type="textWrapping" w:clear="all"/>
      </w:r>
    </w:p>
    <w:p w14:paraId="2A45DBD8" w14:textId="573B7B08" w:rsidR="00666D40" w:rsidRPr="00D3797F" w:rsidRDefault="00666D40" w:rsidP="00927EAC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Inflation</w:t>
      </w:r>
      <w:r w:rsidR="00D3797F">
        <w:rPr>
          <w:b/>
          <w:bCs/>
          <w:color w:val="800000"/>
        </w:rPr>
        <w:t xml:space="preserve"> and promotions</w:t>
      </w:r>
    </w:p>
    <w:p w14:paraId="4A3C02BB" w14:textId="4CF25895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F83117">
        <w:t xml:space="preserve">decreased </w:t>
      </w:r>
      <w:r w:rsidR="00983B89">
        <w:t xml:space="preserve">by </w:t>
      </w:r>
      <w:r w:rsidR="00745EAB">
        <w:t xml:space="preserve">about </w:t>
      </w:r>
      <w:r w:rsidR="003E2D02">
        <w:t>1</w:t>
      </w:r>
      <w:r w:rsidR="00745EAB">
        <w:t xml:space="preserve">% to </w:t>
      </w:r>
      <w:r w:rsidR="003E2D02">
        <w:t>2</w:t>
      </w:r>
      <w:r w:rsidR="00745EAB">
        <w:t xml:space="preserve">% </w:t>
      </w:r>
      <w:r w:rsidR="00024D78">
        <w:t>over the</w:t>
      </w:r>
      <w:r w:rsidR="00AD75ED">
        <w:t xml:space="preserve"> past four weeks</w:t>
      </w:r>
      <w:r w:rsidR="0081571E">
        <w:t>, whi</w:t>
      </w:r>
      <w:r w:rsidR="00481440">
        <w:t xml:space="preserve">ch is likely related to the </w:t>
      </w:r>
      <w:r w:rsidR="003E2D02">
        <w:t>small</w:t>
      </w:r>
      <w:r w:rsidR="0081571E">
        <w:t xml:space="preserve"> increase in promoted dollars</w:t>
      </w:r>
      <w:r w:rsidR="006A1766">
        <w:t xml:space="preserve">. </w:t>
      </w:r>
      <w:r w:rsidR="0090384F">
        <w:t>Across all types and sizes, the av</w:t>
      </w:r>
      <w:r w:rsidR="00A50E59">
        <w:t>erage package price reached $</w:t>
      </w:r>
      <w:r w:rsidR="00415721">
        <w:t>2.9</w:t>
      </w:r>
      <w:r w:rsidR="003E2D02">
        <w:t>6</w:t>
      </w:r>
      <w:r w:rsidR="0090384F">
        <w:t xml:space="preserve">, </w:t>
      </w:r>
      <w:r w:rsidR="00A50E59">
        <w:t xml:space="preserve">down </w:t>
      </w:r>
      <w:r w:rsidR="003E2D02">
        <w:t>1.2</w:t>
      </w:r>
      <w:r w:rsidR="00A50E59">
        <w:t>%</w:t>
      </w:r>
      <w:r w:rsidR="0090384F">
        <w:t xml:space="preserve"> from last year. </w:t>
      </w:r>
      <w:r w:rsidR="00024D78">
        <w:t xml:space="preserve">During the </w:t>
      </w:r>
      <w:r w:rsidR="00AD75ED">
        <w:t>full year,</w:t>
      </w:r>
      <w:r w:rsidR="00024D78">
        <w:t xml:space="preserve"> prices </w:t>
      </w:r>
      <w:r w:rsidR="0090384F">
        <w:t xml:space="preserve">increased </w:t>
      </w:r>
      <w:r w:rsidR="00415721">
        <w:t>0.4</w:t>
      </w:r>
      <w:r w:rsidR="0090384F">
        <w:t>% on a per unit basis</w:t>
      </w:r>
      <w:r w:rsidR="00024D78">
        <w:t xml:space="preserve">. </w:t>
      </w:r>
      <w:r w:rsidR="000E2A1D">
        <w:t xml:space="preserve"> </w:t>
      </w:r>
    </w:p>
    <w:p w14:paraId="484C35C9" w14:textId="2EB83AFC" w:rsidR="0094219B" w:rsidRPr="00E72D31" w:rsidRDefault="0094219B" w:rsidP="00472B02">
      <w:pPr>
        <w:pStyle w:val="NoSpacing"/>
        <w:rPr>
          <w:sz w:val="10"/>
          <w:szCs w:val="10"/>
        </w:rPr>
      </w:pPr>
    </w:p>
    <w:tbl>
      <w:tblPr>
        <w:tblStyle w:val="ListTable3-Accent3"/>
        <w:tblW w:w="10075" w:type="dxa"/>
        <w:tblLook w:val="04A0" w:firstRow="1" w:lastRow="0" w:firstColumn="1" w:lastColumn="0" w:noHBand="0" w:noVBand="1"/>
      </w:tblPr>
      <w:tblGrid>
        <w:gridCol w:w="2875"/>
        <w:gridCol w:w="1450"/>
        <w:gridCol w:w="973"/>
        <w:gridCol w:w="909"/>
        <w:gridCol w:w="1776"/>
        <w:gridCol w:w="817"/>
        <w:gridCol w:w="1275"/>
      </w:tblGrid>
      <w:tr w:rsidR="00AD75ED" w:rsidRPr="00124CB7" w14:paraId="6E9D1AEF" w14:textId="162D7E86" w:rsidTr="00F83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  <w:shd w:val="clear" w:color="auto" w:fill="800000"/>
          </w:tcPr>
          <w:p w14:paraId="74759AF7" w14:textId="77777777" w:rsidR="00AD75ED" w:rsidRPr="00124CB7" w:rsidRDefault="00AD75ED" w:rsidP="00AD75ED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50" w:type="dxa"/>
            <w:shd w:val="clear" w:color="auto" w:fill="800000"/>
          </w:tcPr>
          <w:p w14:paraId="5EC6EFF0" w14:textId="7BC61D57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0F7C27">
              <w:t>3/23/2025</w:t>
            </w:r>
          </w:p>
        </w:tc>
        <w:tc>
          <w:tcPr>
            <w:tcW w:w="973" w:type="dxa"/>
            <w:shd w:val="clear" w:color="auto" w:fill="800000"/>
          </w:tcPr>
          <w:p w14:paraId="10EFADEC" w14:textId="3B28B708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800000"/>
          </w:tcPr>
          <w:p w14:paraId="55EFE125" w14:textId="24027876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  <w:tc>
          <w:tcPr>
            <w:tcW w:w="1776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shd w:val="clear" w:color="auto" w:fill="800000"/>
          </w:tcPr>
          <w:p w14:paraId="6A5B944C" w14:textId="622FAC16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w.e. </w:t>
            </w:r>
            <w:r w:rsidR="000F7C27">
              <w:t>3/23/2025</w:t>
            </w:r>
          </w:p>
        </w:tc>
        <w:tc>
          <w:tcPr>
            <w:tcW w:w="817" w:type="dxa"/>
            <w:shd w:val="clear" w:color="auto" w:fill="800000"/>
          </w:tcPr>
          <w:p w14:paraId="56551B99" w14:textId="2A902884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1275" w:type="dxa"/>
            <w:shd w:val="clear" w:color="auto" w:fill="800000"/>
          </w:tcPr>
          <w:p w14:paraId="1A109D51" w14:textId="7DD14BDB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</w:tr>
      <w:tr w:rsidR="00A50E59" w14:paraId="2B35BE12" w14:textId="0A6FF303" w:rsidTr="00F83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B4CB702" w14:textId="77777777" w:rsidR="00A50E59" w:rsidRPr="00124CB7" w:rsidRDefault="00A50E59" w:rsidP="00A50E59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450" w:type="dxa"/>
          </w:tcPr>
          <w:p w14:paraId="2915A28B" w14:textId="271991A2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D14FA">
              <w:t>2.9</w:t>
            </w:r>
            <w:r w:rsidR="003E2D02">
              <w:t>6</w:t>
            </w:r>
          </w:p>
        </w:tc>
        <w:tc>
          <w:tcPr>
            <w:tcW w:w="973" w:type="dxa"/>
          </w:tcPr>
          <w:p w14:paraId="3E0967AB" w14:textId="707352B5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3E2D02">
              <w:t>1.2</w:t>
            </w:r>
            <w:r w:rsidRPr="007E7D43">
              <w:t>%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14:paraId="09DAD54E" w14:textId="1F01D2F9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3E2D02">
              <w:t>1</w:t>
            </w:r>
            <w:r w:rsidR="00A252ED">
              <w:t>.5</w:t>
            </w:r>
            <w:r w:rsidRPr="007E7D43">
              <w:t>%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14:paraId="03CA719E" w14:textId="2B5335F5" w:rsidR="00A50E59" w:rsidRDefault="00A50E59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D14FA">
              <w:t>3.02</w:t>
            </w:r>
          </w:p>
        </w:tc>
        <w:tc>
          <w:tcPr>
            <w:tcW w:w="817" w:type="dxa"/>
          </w:tcPr>
          <w:p w14:paraId="08755E5E" w14:textId="3EFA2E51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49F">
              <w:t>+</w:t>
            </w:r>
            <w:r w:rsidR="00A252ED">
              <w:t>0.4</w:t>
            </w:r>
            <w:r w:rsidRPr="00B5749F">
              <w:t>%</w:t>
            </w:r>
          </w:p>
        </w:tc>
        <w:tc>
          <w:tcPr>
            <w:tcW w:w="1275" w:type="dxa"/>
          </w:tcPr>
          <w:p w14:paraId="19B1F6D2" w14:textId="2F63C40F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49F">
              <w:t>+</w:t>
            </w:r>
            <w:r w:rsidR="003E2D02">
              <w:t>0.7</w:t>
            </w:r>
            <w:r w:rsidRPr="00B5749F">
              <w:t>%</w:t>
            </w:r>
          </w:p>
        </w:tc>
      </w:tr>
      <w:tr w:rsidR="00481440" w14:paraId="7C18640F" w14:textId="5B569261" w:rsidTr="00F83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7C97CE0" w14:textId="77777777" w:rsidR="00481440" w:rsidRPr="00124CB7" w:rsidRDefault="00481440" w:rsidP="0048144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450" w:type="dxa"/>
          </w:tcPr>
          <w:p w14:paraId="17C86A08" w14:textId="4E53860D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9D14FA">
              <w:t>4.44</w:t>
            </w:r>
          </w:p>
        </w:tc>
        <w:tc>
          <w:tcPr>
            <w:tcW w:w="973" w:type="dxa"/>
          </w:tcPr>
          <w:p w14:paraId="7E986169" w14:textId="27F42747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3E2D02">
              <w:t>1.7</w:t>
            </w:r>
            <w:r w:rsidRPr="007E7D43">
              <w:t>%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14:paraId="36DDF54D" w14:textId="3C39C1AC" w:rsidR="00481440" w:rsidRDefault="003E2D02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-1.7</w:t>
            </w:r>
            <w:r w:rsidR="00481440" w:rsidRPr="007E7D43">
              <w:t>%</w:t>
            </w:r>
          </w:p>
        </w:tc>
        <w:tc>
          <w:tcPr>
            <w:tcW w:w="1776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</w:tcPr>
          <w:p w14:paraId="233A8701" w14:textId="05F915D8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9D14FA">
              <w:t>4.5</w:t>
            </w:r>
            <w:r w:rsidR="003E2D02">
              <w:t>2</w:t>
            </w:r>
          </w:p>
        </w:tc>
        <w:tc>
          <w:tcPr>
            <w:tcW w:w="817" w:type="dxa"/>
          </w:tcPr>
          <w:p w14:paraId="1759FD32" w14:textId="5E9EEC31" w:rsidR="00481440" w:rsidRDefault="003E2D02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-0.1</w:t>
            </w:r>
            <w:r w:rsidR="00481440" w:rsidRPr="00B5749F">
              <w:t>%</w:t>
            </w:r>
          </w:p>
        </w:tc>
        <w:tc>
          <w:tcPr>
            <w:tcW w:w="1275" w:type="dxa"/>
          </w:tcPr>
          <w:p w14:paraId="725313BE" w14:textId="27A71181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49F">
              <w:t>+</w:t>
            </w:r>
            <w:r w:rsidR="00A252ED">
              <w:t>0.</w:t>
            </w:r>
            <w:r w:rsidR="003E2D02">
              <w:t>2</w:t>
            </w:r>
            <w:r w:rsidRPr="00B5749F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46CF8129" w:rsidR="00170260" w:rsidRDefault="00E72D31" w:rsidP="00170260">
      <w:pPr>
        <w:pStyle w:val="NoSpacing"/>
      </w:pPr>
      <w:r>
        <w:t>Fresh</w:t>
      </w:r>
      <w:r w:rsidR="00266BBD">
        <w:t xml:space="preserve"> m</w:t>
      </w:r>
      <w:r w:rsidR="00865920">
        <w:t xml:space="preserve">ushroom promotions averaged </w:t>
      </w:r>
      <w:r w:rsidR="00FB1F1D">
        <w:t>1</w:t>
      </w:r>
      <w:r w:rsidR="003E2D02">
        <w:t>8.7</w:t>
      </w:r>
      <w:r>
        <w:t xml:space="preserve">% of total dollars during the quad week, </w:t>
      </w:r>
      <w:r w:rsidR="005A72D5">
        <w:t xml:space="preserve">which was </w:t>
      </w:r>
      <w:r w:rsidR="00481440">
        <w:t xml:space="preserve">an increase of </w:t>
      </w:r>
      <w:r w:rsidR="003E2D02">
        <w:t>2.2</w:t>
      </w:r>
      <w:r w:rsidR="0081571E">
        <w:t>% year-over-year</w:t>
      </w:r>
      <w:r w:rsidR="00B672D0">
        <w:t>.</w:t>
      </w:r>
      <w:r w:rsidR="00E508BB">
        <w:t xml:space="preserve"> </w:t>
      </w:r>
    </w:p>
    <w:p w14:paraId="363D2F2B" w14:textId="77777777" w:rsidR="00170260" w:rsidRPr="00E72D31" w:rsidRDefault="00170260" w:rsidP="00170260">
      <w:pPr>
        <w:pStyle w:val="NoSpacing"/>
        <w:rPr>
          <w:sz w:val="10"/>
          <w:szCs w:val="10"/>
        </w:rPr>
      </w:pPr>
    </w:p>
    <w:tbl>
      <w:tblPr>
        <w:tblStyle w:val="ListTable3-Accent3"/>
        <w:tblW w:w="10070" w:type="dxa"/>
        <w:tblLook w:val="04A0" w:firstRow="1" w:lastRow="0" w:firstColumn="1" w:lastColumn="0" w:noHBand="0" w:noVBand="1"/>
      </w:tblPr>
      <w:tblGrid>
        <w:gridCol w:w="3505"/>
        <w:gridCol w:w="1773"/>
        <w:gridCol w:w="1369"/>
        <w:gridCol w:w="2054"/>
        <w:gridCol w:w="1369"/>
      </w:tblGrid>
      <w:tr w:rsidR="00972570" w:rsidRPr="00124CB7" w14:paraId="5DFB9CAB" w14:textId="77777777" w:rsidTr="00F83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5" w:type="dxa"/>
            <w:shd w:val="clear" w:color="auto" w:fill="800000"/>
          </w:tcPr>
          <w:p w14:paraId="4168BC1A" w14:textId="77777777" w:rsidR="00972570" w:rsidRPr="00124CB7" w:rsidRDefault="00972570" w:rsidP="009A5A3B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73" w:type="dxa"/>
            <w:shd w:val="clear" w:color="auto" w:fill="800000"/>
          </w:tcPr>
          <w:p w14:paraId="6A0500B8" w14:textId="73AA31C5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0F7C27">
              <w:t>3/23/2025</w:t>
            </w:r>
          </w:p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800000"/>
          </w:tcPr>
          <w:p w14:paraId="5CF9736D" w14:textId="780DB308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  <w:tc>
          <w:tcPr>
            <w:tcW w:w="2054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shd w:val="clear" w:color="auto" w:fill="800000"/>
          </w:tcPr>
          <w:p w14:paraId="413A4F70" w14:textId="4FCED9D0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972570">
              <w:t xml:space="preserve"> </w:t>
            </w:r>
            <w:r w:rsidR="000F7C27">
              <w:t>3/23/2025</w:t>
            </w:r>
          </w:p>
        </w:tc>
        <w:tc>
          <w:tcPr>
            <w:tcW w:w="1369" w:type="dxa"/>
            <w:shd w:val="clear" w:color="auto" w:fill="800000"/>
          </w:tcPr>
          <w:p w14:paraId="75064544" w14:textId="312D7093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</w:tr>
      <w:tr w:rsidR="00D15B2D" w14:paraId="3B76FFA3" w14:textId="78296325" w:rsidTr="00F83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B5B6C81" w14:textId="6313A9FC" w:rsidR="00D15B2D" w:rsidRDefault="00D15B2D" w:rsidP="00D15B2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773" w:type="dxa"/>
          </w:tcPr>
          <w:p w14:paraId="6D5E5F03" w14:textId="7C2BFF53" w:rsidR="00D15B2D" w:rsidRPr="00D15B2D" w:rsidRDefault="009D14FA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1</w:t>
            </w:r>
            <w:r w:rsidR="003E2D02">
              <w:rPr>
                <w:rFonts w:ascii="Calibri" w:eastAsia="Calibri" w:hAnsi="Calibri"/>
                <w:kern w:val="24"/>
              </w:rPr>
              <w:t>8.7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586FECBD" w14:textId="7D9C19B8" w:rsidR="00D15B2D" w:rsidRPr="00D15B2D" w:rsidRDefault="00F83117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+</w:t>
            </w:r>
            <w:r w:rsidR="003E2D02">
              <w:rPr>
                <w:rFonts w:ascii="Calibri" w:eastAsia="Calibri" w:hAnsi="Calibri"/>
                <w:kern w:val="24"/>
              </w:rPr>
              <w:t>2.2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14:paraId="66CD7DD9" w14:textId="01BAE8CC" w:rsidR="00D15B2D" w:rsidRPr="00D15B2D" w:rsidRDefault="003E2D02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18.4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</w:tcPr>
          <w:p w14:paraId="7461CDF6" w14:textId="55895788" w:rsidR="00D15B2D" w:rsidRPr="00D15B2D" w:rsidRDefault="00481440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+</w:t>
            </w:r>
            <w:r w:rsidR="003E2D02">
              <w:rPr>
                <w:rFonts w:ascii="Calibri" w:eastAsia="Calibri" w:hAnsi="Calibri"/>
                <w:kern w:val="24"/>
              </w:rPr>
              <w:t>3</w:t>
            </w:r>
            <w:r w:rsidR="009D14FA">
              <w:rPr>
                <w:rFonts w:ascii="Calibri" w:eastAsia="Calibri" w:hAnsi="Calibri"/>
                <w:kern w:val="24"/>
              </w:rPr>
              <w:t>.7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</w:tr>
    </w:tbl>
    <w:p w14:paraId="23606064" w14:textId="491C5719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 xml:space="preserve">Circana, </w:t>
      </w:r>
      <w:r w:rsidRPr="00555250">
        <w:rPr>
          <w:color w:val="7F7F7F" w:themeColor="text1" w:themeTint="80"/>
          <w:sz w:val="16"/>
          <w:szCs w:val="16"/>
        </w:rPr>
        <w:t xml:space="preserve">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0F7C27">
        <w:rPr>
          <w:color w:val="7F7F7F" w:themeColor="text1" w:themeTint="80"/>
          <w:sz w:val="16"/>
          <w:szCs w:val="16"/>
        </w:rPr>
        <w:t>3/23/2025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D3797F" w:rsidRDefault="004C2808" w:rsidP="004462C1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Additional observations:</w:t>
      </w:r>
    </w:p>
    <w:p w14:paraId="22421914" w14:textId="0B867CF8" w:rsidR="00C9550B" w:rsidRDefault="00C9550B" w:rsidP="009A5A3B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Package size</w:t>
      </w:r>
      <w:r w:rsidRPr="00B11421">
        <w:rPr>
          <w:color w:val="000000" w:themeColor="text1"/>
        </w:rPr>
        <w:t xml:space="preserve">: </w:t>
      </w:r>
      <w:r w:rsidR="00B672D0" w:rsidRPr="00B11421">
        <w:rPr>
          <w:color w:val="000000" w:themeColor="text1"/>
        </w:rPr>
        <w:t>8</w:t>
      </w:r>
      <w:r w:rsidRPr="00B11421">
        <w:rPr>
          <w:color w:val="000000" w:themeColor="text1"/>
        </w:rPr>
        <w:t xml:space="preserve">-ounce packages </w:t>
      </w:r>
      <w:r w:rsidR="00B42A49" w:rsidRPr="00B11421">
        <w:rPr>
          <w:color w:val="000000" w:themeColor="text1"/>
        </w:rPr>
        <w:t xml:space="preserve">generated </w:t>
      </w:r>
      <w:r w:rsidR="00FA0530">
        <w:rPr>
          <w:color w:val="000000" w:themeColor="text1"/>
        </w:rPr>
        <w:t>$</w:t>
      </w:r>
      <w:r w:rsidR="003C2891">
        <w:rPr>
          <w:color w:val="000000" w:themeColor="text1"/>
        </w:rPr>
        <w:t>72</w:t>
      </w:r>
      <w:r w:rsidR="0086077B">
        <w:rPr>
          <w:color w:val="000000" w:themeColor="text1"/>
        </w:rPr>
        <w:t>1.2</w:t>
      </w:r>
      <w:r w:rsidR="00F565B7">
        <w:rPr>
          <w:color w:val="000000" w:themeColor="text1"/>
        </w:rPr>
        <w:t xml:space="preserve"> million</w:t>
      </w:r>
      <w:r w:rsidR="00B672D0" w:rsidRPr="00B11421">
        <w:rPr>
          <w:color w:val="000000" w:themeColor="text1"/>
        </w:rPr>
        <w:t xml:space="preserve"> in the </w:t>
      </w:r>
      <w:r w:rsidR="00F565B7">
        <w:rPr>
          <w:color w:val="000000" w:themeColor="text1"/>
        </w:rPr>
        <w:t>past year</w:t>
      </w:r>
      <w:r w:rsidR="00195B70">
        <w:rPr>
          <w:color w:val="000000" w:themeColor="text1"/>
        </w:rPr>
        <w:t>, a</w:t>
      </w:r>
      <w:r w:rsidR="00FA0530">
        <w:rPr>
          <w:color w:val="000000" w:themeColor="text1"/>
        </w:rPr>
        <w:t xml:space="preserve"> decrease of </w:t>
      </w:r>
      <w:r w:rsidR="0086077B">
        <w:rPr>
          <w:color w:val="000000" w:themeColor="text1"/>
        </w:rPr>
        <w:t>3.1</w:t>
      </w:r>
      <w:r w:rsidR="00F06A94">
        <w:rPr>
          <w:color w:val="000000" w:themeColor="text1"/>
        </w:rPr>
        <w:t>% versus year-ago levels.</w:t>
      </w:r>
      <w:r w:rsidR="00834A70">
        <w:rPr>
          <w:color w:val="000000" w:themeColor="text1"/>
        </w:rPr>
        <w:t xml:space="preserve"> </w:t>
      </w:r>
      <w:r w:rsidR="00D3797F">
        <w:rPr>
          <w:color w:val="000000" w:themeColor="text1"/>
        </w:rPr>
        <w:t xml:space="preserve">Meanwhile, 24-ounce packages grew </w:t>
      </w:r>
      <w:r w:rsidR="00F565B7">
        <w:rPr>
          <w:color w:val="000000" w:themeColor="text1"/>
        </w:rPr>
        <w:t>dollar, uni</w:t>
      </w:r>
      <w:r w:rsidR="00D3797F">
        <w:rPr>
          <w:color w:val="000000" w:themeColor="text1"/>
        </w:rPr>
        <w:t>t</w:t>
      </w:r>
      <w:r w:rsidR="00F565B7">
        <w:rPr>
          <w:color w:val="000000" w:themeColor="text1"/>
        </w:rPr>
        <w:t xml:space="preserve"> and pound</w:t>
      </w:r>
      <w:r w:rsidR="00D3797F">
        <w:rPr>
          <w:color w:val="000000" w:themeColor="text1"/>
        </w:rPr>
        <w:t xml:space="preserve"> sales versus last year</w:t>
      </w:r>
      <w:r w:rsidR="00F83117">
        <w:rPr>
          <w:color w:val="000000" w:themeColor="text1"/>
        </w:rPr>
        <w:t>, whereas 16-ounce packages had a below-average performance</w:t>
      </w:r>
      <w:r w:rsidR="00F565B7">
        <w:rPr>
          <w:color w:val="000000" w:themeColor="text1"/>
        </w:rPr>
        <w:t xml:space="preserve">. </w:t>
      </w:r>
      <w:r w:rsidR="005A72D5">
        <w:rPr>
          <w:color w:val="000000" w:themeColor="text1"/>
        </w:rPr>
        <w:t>The 24-ounce packages also performed best in the quad-week view.</w:t>
      </w:r>
    </w:p>
    <w:p w14:paraId="39BF4FC8" w14:textId="25DFCB4F" w:rsidR="00E72D31" w:rsidRPr="00B04889" w:rsidRDefault="004462C1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E72D31">
        <w:rPr>
          <w:color w:val="000000" w:themeColor="text1"/>
          <w:u w:val="single"/>
        </w:rPr>
        <w:t>Organic vs</w:t>
      </w:r>
      <w:r w:rsidR="005B6968" w:rsidRPr="00E72D31">
        <w:rPr>
          <w:color w:val="000000" w:themeColor="text1"/>
          <w:u w:val="single"/>
        </w:rPr>
        <w:t>.</w:t>
      </w:r>
      <w:r w:rsidRPr="00E72D31">
        <w:rPr>
          <w:color w:val="000000" w:themeColor="text1"/>
          <w:u w:val="single"/>
        </w:rPr>
        <w:t xml:space="preserve"> conventional</w:t>
      </w:r>
      <w:r w:rsidRPr="00E72D31">
        <w:rPr>
          <w:color w:val="000000" w:themeColor="text1"/>
        </w:rPr>
        <w:t xml:space="preserve">: Organic </w:t>
      </w:r>
      <w:r w:rsidR="005B6968" w:rsidRPr="00E72D31">
        <w:rPr>
          <w:color w:val="000000" w:themeColor="text1"/>
        </w:rPr>
        <w:t xml:space="preserve">mushrooms </w:t>
      </w:r>
      <w:r w:rsidR="002511F5">
        <w:rPr>
          <w:color w:val="000000" w:themeColor="text1"/>
        </w:rPr>
        <w:t>generated $</w:t>
      </w:r>
      <w:r w:rsidR="003C2891">
        <w:rPr>
          <w:color w:val="000000" w:themeColor="text1"/>
        </w:rPr>
        <w:t>27.</w:t>
      </w:r>
      <w:r w:rsidR="0086077B">
        <w:rPr>
          <w:color w:val="000000" w:themeColor="text1"/>
        </w:rPr>
        <w:t>0</w:t>
      </w:r>
      <w:r w:rsidR="002511F5">
        <w:rPr>
          <w:color w:val="000000" w:themeColor="text1"/>
        </w:rPr>
        <w:t xml:space="preserve"> million in sales over the</w:t>
      </w:r>
      <w:r w:rsidR="005A72D5">
        <w:rPr>
          <w:color w:val="000000" w:themeColor="text1"/>
        </w:rPr>
        <w:t xml:space="preserve"> quad-week period</w:t>
      </w:r>
      <w:r w:rsidR="00FC3E0A">
        <w:rPr>
          <w:color w:val="000000" w:themeColor="text1"/>
        </w:rPr>
        <w:t xml:space="preserve">, </w:t>
      </w:r>
      <w:r w:rsidR="002511F5">
        <w:rPr>
          <w:color w:val="000000" w:themeColor="text1"/>
        </w:rPr>
        <w:t xml:space="preserve">up </w:t>
      </w:r>
      <w:r w:rsidR="0086077B">
        <w:rPr>
          <w:color w:val="000000" w:themeColor="text1"/>
        </w:rPr>
        <w:t>0.3</w:t>
      </w:r>
      <w:r w:rsidR="002511F5">
        <w:rPr>
          <w:color w:val="000000" w:themeColor="text1"/>
        </w:rPr>
        <w:t>% over year ago levels as well as ahead of the prior two and three years. Additionally, organic mushrooms gained in volume sales</w:t>
      </w:r>
      <w:r w:rsidR="0086077B">
        <w:rPr>
          <w:color w:val="000000" w:themeColor="text1"/>
        </w:rPr>
        <w:t>, at +1.2%</w:t>
      </w:r>
      <w:r w:rsidR="005A72D5">
        <w:rPr>
          <w:color w:val="000000" w:themeColor="text1"/>
        </w:rPr>
        <w:t xml:space="preserve">. </w:t>
      </w:r>
    </w:p>
    <w:p w14:paraId="6D934167" w14:textId="39989506" w:rsidR="00B07D7F" w:rsidRPr="00B04889" w:rsidRDefault="002511F5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04889">
        <w:rPr>
          <w:color w:val="000000" w:themeColor="text1"/>
          <w:u w:val="single"/>
        </w:rPr>
        <w:t>Value added</w:t>
      </w:r>
      <w:r w:rsidR="00B11421" w:rsidRPr="00B04889">
        <w:rPr>
          <w:color w:val="000000" w:themeColor="text1"/>
        </w:rPr>
        <w:t xml:space="preserve">: </w:t>
      </w:r>
      <w:r w:rsidR="00B07D7F" w:rsidRPr="00B04889">
        <w:rPr>
          <w:color w:val="000000" w:themeColor="text1"/>
        </w:rPr>
        <w:t>Value</w:t>
      </w:r>
      <w:r w:rsidR="002B3335">
        <w:rPr>
          <w:color w:val="000000" w:themeColor="text1"/>
        </w:rPr>
        <w:t>-</w:t>
      </w:r>
      <w:r w:rsidR="00B07D7F" w:rsidRPr="00B04889">
        <w:rPr>
          <w:color w:val="000000" w:themeColor="text1"/>
        </w:rPr>
        <w:t>added mushrooms represented $</w:t>
      </w:r>
      <w:r w:rsidR="0086077B">
        <w:rPr>
          <w:color w:val="000000" w:themeColor="text1"/>
        </w:rPr>
        <w:t>46.6</w:t>
      </w:r>
      <w:r w:rsidR="00B07D7F" w:rsidRPr="00B04889">
        <w:rPr>
          <w:color w:val="000000" w:themeColor="text1"/>
        </w:rPr>
        <w:t xml:space="preserve"> million in</w:t>
      </w:r>
      <w:r w:rsidR="0086077B">
        <w:rPr>
          <w:color w:val="000000" w:themeColor="text1"/>
        </w:rPr>
        <w:t xml:space="preserve"> sales during the quad</w:t>
      </w:r>
      <w:r w:rsidR="002B3335">
        <w:rPr>
          <w:color w:val="000000" w:themeColor="text1"/>
        </w:rPr>
        <w:t xml:space="preserve"> </w:t>
      </w:r>
      <w:r w:rsidR="0086077B">
        <w:rPr>
          <w:color w:val="000000" w:themeColor="text1"/>
        </w:rPr>
        <w:t>week</w:t>
      </w:r>
      <w:r w:rsidR="00B07D7F" w:rsidRPr="00B04889">
        <w:rPr>
          <w:color w:val="000000" w:themeColor="text1"/>
        </w:rPr>
        <w:t xml:space="preserve">. </w:t>
      </w:r>
      <w:r w:rsidR="005A72D5" w:rsidRPr="00B04889">
        <w:rPr>
          <w:color w:val="000000" w:themeColor="text1"/>
        </w:rPr>
        <w:t xml:space="preserve">Value-added makes up a bigger share of sales than produce in general, however, conventional mushrooms outperformed in the shorter- and longer-time periods. </w:t>
      </w:r>
      <w:r w:rsidR="0086077B">
        <w:rPr>
          <w:color w:val="000000" w:themeColor="text1"/>
        </w:rPr>
        <w:t xml:space="preserve">This is true for total produce as well and attributable to consumers prioritizing savings as well as shelf life. </w:t>
      </w:r>
    </w:p>
    <w:p w14:paraId="5CC8E748" w14:textId="2F380B7F" w:rsidR="00300A5F" w:rsidRPr="00E72D31" w:rsidRDefault="00B07D7F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  <w:u w:val="single"/>
        </w:rPr>
        <w:t>Preparation</w:t>
      </w:r>
      <w:r w:rsidRPr="00B07D7F">
        <w:rPr>
          <w:color w:val="000000" w:themeColor="text1"/>
        </w:rPr>
        <w:t>:</w:t>
      </w:r>
      <w:r w:rsidR="00B32067">
        <w:rPr>
          <w:color w:val="000000" w:themeColor="text1"/>
        </w:rPr>
        <w:t xml:space="preserve"> </w:t>
      </w:r>
      <w:r w:rsidR="00FC51AD">
        <w:rPr>
          <w:color w:val="000000" w:themeColor="text1"/>
        </w:rPr>
        <w:t xml:space="preserve">Within value added, </w:t>
      </w:r>
      <w:r w:rsidR="0086077B">
        <w:rPr>
          <w:color w:val="000000" w:themeColor="text1"/>
        </w:rPr>
        <w:t>sliced mushroom sales generated $40.7 million in sales during the quad week. This reflects a decline of 8.7% year-on-year. S</w:t>
      </w:r>
      <w:r w:rsidR="00FC51AD">
        <w:rPr>
          <w:color w:val="000000" w:themeColor="text1"/>
        </w:rPr>
        <w:t xml:space="preserve">tuffed mushroom sales </w:t>
      </w:r>
      <w:r w:rsidR="00A50E59">
        <w:rPr>
          <w:color w:val="000000" w:themeColor="text1"/>
        </w:rPr>
        <w:t>reached $</w:t>
      </w:r>
      <w:r w:rsidR="0086077B">
        <w:rPr>
          <w:color w:val="000000" w:themeColor="text1"/>
        </w:rPr>
        <w:t>2.0</w:t>
      </w:r>
      <w:r w:rsidR="00F83117">
        <w:rPr>
          <w:color w:val="000000" w:themeColor="text1"/>
        </w:rPr>
        <w:t xml:space="preserve"> million, which was down </w:t>
      </w:r>
      <w:r w:rsidR="0086077B">
        <w:rPr>
          <w:color w:val="000000" w:themeColor="text1"/>
        </w:rPr>
        <w:t>6.6%.</w:t>
      </w:r>
    </w:p>
    <w:p w14:paraId="780AB35F" w14:textId="77777777" w:rsidR="000E0D6B" w:rsidRPr="00E72D31" w:rsidRDefault="000E0D6B" w:rsidP="00C9550B">
      <w:pPr>
        <w:pStyle w:val="NoSpacing"/>
        <w:rPr>
          <w:color w:val="000000" w:themeColor="text1"/>
          <w:sz w:val="10"/>
          <w:szCs w:val="10"/>
        </w:rPr>
      </w:pPr>
    </w:p>
    <w:p w14:paraId="612B03EE" w14:textId="25174154" w:rsidR="000C7E82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EB30C7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EB30C7">
        <w:rPr>
          <w:color w:val="7F7F7F" w:themeColor="text1" w:themeTint="80"/>
          <w:sz w:val="16"/>
          <w:szCs w:val="16"/>
        </w:rPr>
        <w:t xml:space="preserve">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0F7C27">
        <w:rPr>
          <w:color w:val="7F7F7F" w:themeColor="text1" w:themeTint="80"/>
          <w:sz w:val="16"/>
          <w:szCs w:val="16"/>
        </w:rPr>
        <w:t>3/23/2025</w:t>
      </w:r>
      <w:r w:rsidR="00B34EF7">
        <w:t xml:space="preserve"> </w:t>
      </w:r>
    </w:p>
    <w:sectPr w:rsidR="000C7E82" w:rsidRPr="00B34EF7" w:rsidSect="003B4E77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C812" w14:textId="77777777" w:rsidR="002D2524" w:rsidRDefault="002D2524" w:rsidP="004E49DD">
      <w:pPr>
        <w:spacing w:after="0" w:line="240" w:lineRule="auto"/>
      </w:pPr>
      <w:r>
        <w:separator/>
      </w:r>
    </w:p>
  </w:endnote>
  <w:endnote w:type="continuationSeparator" w:id="0">
    <w:p w14:paraId="5B8755BA" w14:textId="77777777" w:rsidR="002D2524" w:rsidRDefault="002D2524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F2C8" w14:textId="77777777" w:rsidR="002D2524" w:rsidRDefault="002D2524" w:rsidP="004E49DD">
      <w:pPr>
        <w:spacing w:after="0" w:line="240" w:lineRule="auto"/>
      </w:pPr>
      <w:r>
        <w:separator/>
      </w:r>
    </w:p>
  </w:footnote>
  <w:footnote w:type="continuationSeparator" w:id="0">
    <w:p w14:paraId="67CDF503" w14:textId="77777777" w:rsidR="002D2524" w:rsidRDefault="002D2524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259"/>
    <w:multiLevelType w:val="hybridMultilevel"/>
    <w:tmpl w:val="908CB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D1A02"/>
    <w:multiLevelType w:val="hybridMultilevel"/>
    <w:tmpl w:val="C4AA5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77733"/>
    <w:multiLevelType w:val="hybridMultilevel"/>
    <w:tmpl w:val="C798B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B7EE9"/>
    <w:multiLevelType w:val="hybridMultilevel"/>
    <w:tmpl w:val="2954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87C96"/>
    <w:multiLevelType w:val="hybridMultilevel"/>
    <w:tmpl w:val="BDBA23DE"/>
    <w:lvl w:ilvl="0" w:tplc="648CDD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AF3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C3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C3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E5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AA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0A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64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F88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C76C8"/>
    <w:multiLevelType w:val="hybridMultilevel"/>
    <w:tmpl w:val="31285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516D57"/>
    <w:multiLevelType w:val="hybridMultilevel"/>
    <w:tmpl w:val="CAD4A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56333"/>
    <w:multiLevelType w:val="hybridMultilevel"/>
    <w:tmpl w:val="DBDA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543B87"/>
    <w:multiLevelType w:val="hybridMultilevel"/>
    <w:tmpl w:val="F7BE0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222FAB"/>
    <w:multiLevelType w:val="hybridMultilevel"/>
    <w:tmpl w:val="D3A4B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E31FD0"/>
    <w:multiLevelType w:val="hybridMultilevel"/>
    <w:tmpl w:val="49DC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214409"/>
    <w:multiLevelType w:val="hybridMultilevel"/>
    <w:tmpl w:val="3BF6A0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952958"/>
    <w:multiLevelType w:val="hybridMultilevel"/>
    <w:tmpl w:val="A35C8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137452"/>
    <w:multiLevelType w:val="hybridMultilevel"/>
    <w:tmpl w:val="9800D6F0"/>
    <w:lvl w:ilvl="0" w:tplc="6F08E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422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87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AB5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CF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CD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41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82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2F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D128A"/>
    <w:multiLevelType w:val="hybridMultilevel"/>
    <w:tmpl w:val="E18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0946444">
    <w:abstractNumId w:val="17"/>
  </w:num>
  <w:num w:numId="2" w16cid:durableId="1091703284">
    <w:abstractNumId w:val="20"/>
  </w:num>
  <w:num w:numId="3" w16cid:durableId="1150169904">
    <w:abstractNumId w:val="23"/>
  </w:num>
  <w:num w:numId="4" w16cid:durableId="143788395">
    <w:abstractNumId w:val="10"/>
  </w:num>
  <w:num w:numId="5" w16cid:durableId="1360087079">
    <w:abstractNumId w:val="28"/>
  </w:num>
  <w:num w:numId="6" w16cid:durableId="1097942560">
    <w:abstractNumId w:val="21"/>
  </w:num>
  <w:num w:numId="7" w16cid:durableId="2075349050">
    <w:abstractNumId w:val="13"/>
  </w:num>
  <w:num w:numId="8" w16cid:durableId="886799228">
    <w:abstractNumId w:val="8"/>
  </w:num>
  <w:num w:numId="9" w16cid:durableId="262684932">
    <w:abstractNumId w:val="5"/>
  </w:num>
  <w:num w:numId="10" w16cid:durableId="860362581">
    <w:abstractNumId w:val="25"/>
  </w:num>
  <w:num w:numId="11" w16cid:durableId="923102994">
    <w:abstractNumId w:val="7"/>
  </w:num>
  <w:num w:numId="12" w16cid:durableId="2026898270">
    <w:abstractNumId w:val="24"/>
  </w:num>
  <w:num w:numId="13" w16cid:durableId="1140465903">
    <w:abstractNumId w:val="11"/>
  </w:num>
  <w:num w:numId="14" w16cid:durableId="946623087">
    <w:abstractNumId w:val="15"/>
  </w:num>
  <w:num w:numId="15" w16cid:durableId="2052875877">
    <w:abstractNumId w:val="31"/>
  </w:num>
  <w:num w:numId="16" w16cid:durableId="1878590305">
    <w:abstractNumId w:val="0"/>
  </w:num>
  <w:num w:numId="17" w16cid:durableId="95636541">
    <w:abstractNumId w:val="18"/>
  </w:num>
  <w:num w:numId="18" w16cid:durableId="672873846">
    <w:abstractNumId w:val="30"/>
  </w:num>
  <w:num w:numId="19" w16cid:durableId="1552614039">
    <w:abstractNumId w:val="16"/>
  </w:num>
  <w:num w:numId="20" w16cid:durableId="1532180193">
    <w:abstractNumId w:val="26"/>
  </w:num>
  <w:num w:numId="21" w16cid:durableId="364839630">
    <w:abstractNumId w:val="14"/>
  </w:num>
  <w:num w:numId="22" w16cid:durableId="1810439867">
    <w:abstractNumId w:val="1"/>
  </w:num>
  <w:num w:numId="23" w16cid:durableId="768506133">
    <w:abstractNumId w:val="4"/>
  </w:num>
  <w:num w:numId="24" w16cid:durableId="1343779002">
    <w:abstractNumId w:val="22"/>
  </w:num>
  <w:num w:numId="25" w16cid:durableId="1734155782">
    <w:abstractNumId w:val="27"/>
  </w:num>
  <w:num w:numId="26" w16cid:durableId="313294752">
    <w:abstractNumId w:val="3"/>
  </w:num>
  <w:num w:numId="27" w16cid:durableId="772867224">
    <w:abstractNumId w:val="6"/>
  </w:num>
  <w:num w:numId="28" w16cid:durableId="187985225">
    <w:abstractNumId w:val="29"/>
  </w:num>
  <w:num w:numId="29" w16cid:durableId="1051424891">
    <w:abstractNumId w:val="2"/>
  </w:num>
  <w:num w:numId="30" w16cid:durableId="1007102269">
    <w:abstractNumId w:val="19"/>
  </w:num>
  <w:num w:numId="31" w16cid:durableId="764109845">
    <w:abstractNumId w:val="9"/>
  </w:num>
  <w:num w:numId="32" w16cid:durableId="1981836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02FF4"/>
    <w:rsid w:val="000073AF"/>
    <w:rsid w:val="00014870"/>
    <w:rsid w:val="00015E7B"/>
    <w:rsid w:val="00023241"/>
    <w:rsid w:val="00024188"/>
    <w:rsid w:val="00024D78"/>
    <w:rsid w:val="00026928"/>
    <w:rsid w:val="00030ABF"/>
    <w:rsid w:val="00031FFF"/>
    <w:rsid w:val="00035D16"/>
    <w:rsid w:val="0003642F"/>
    <w:rsid w:val="00040942"/>
    <w:rsid w:val="0004266D"/>
    <w:rsid w:val="00044279"/>
    <w:rsid w:val="00047054"/>
    <w:rsid w:val="00052654"/>
    <w:rsid w:val="0005390A"/>
    <w:rsid w:val="0005415B"/>
    <w:rsid w:val="00057984"/>
    <w:rsid w:val="00070F7C"/>
    <w:rsid w:val="00072B0E"/>
    <w:rsid w:val="0007328F"/>
    <w:rsid w:val="00074705"/>
    <w:rsid w:val="0007660D"/>
    <w:rsid w:val="000809C3"/>
    <w:rsid w:val="00082B37"/>
    <w:rsid w:val="00085508"/>
    <w:rsid w:val="00085F10"/>
    <w:rsid w:val="00087F7E"/>
    <w:rsid w:val="00090109"/>
    <w:rsid w:val="0009067E"/>
    <w:rsid w:val="00092E55"/>
    <w:rsid w:val="000963FA"/>
    <w:rsid w:val="0009676C"/>
    <w:rsid w:val="000A4146"/>
    <w:rsid w:val="000C03B1"/>
    <w:rsid w:val="000C1DF9"/>
    <w:rsid w:val="000C29FA"/>
    <w:rsid w:val="000C3CC4"/>
    <w:rsid w:val="000C7E82"/>
    <w:rsid w:val="000D5A69"/>
    <w:rsid w:val="000D7A79"/>
    <w:rsid w:val="000E0D6B"/>
    <w:rsid w:val="000E2A1D"/>
    <w:rsid w:val="000E537C"/>
    <w:rsid w:val="000E61FF"/>
    <w:rsid w:val="000F31B1"/>
    <w:rsid w:val="000F7C27"/>
    <w:rsid w:val="001026FB"/>
    <w:rsid w:val="001055A7"/>
    <w:rsid w:val="00105C56"/>
    <w:rsid w:val="001119BD"/>
    <w:rsid w:val="00113A33"/>
    <w:rsid w:val="0011683C"/>
    <w:rsid w:val="00117FE8"/>
    <w:rsid w:val="00124C8B"/>
    <w:rsid w:val="00124CB7"/>
    <w:rsid w:val="00133971"/>
    <w:rsid w:val="00137C12"/>
    <w:rsid w:val="00142A42"/>
    <w:rsid w:val="00145E27"/>
    <w:rsid w:val="00145E9F"/>
    <w:rsid w:val="00154309"/>
    <w:rsid w:val="00157136"/>
    <w:rsid w:val="00164656"/>
    <w:rsid w:val="00170260"/>
    <w:rsid w:val="00181944"/>
    <w:rsid w:val="00184281"/>
    <w:rsid w:val="00195B70"/>
    <w:rsid w:val="001A2890"/>
    <w:rsid w:val="001A33F9"/>
    <w:rsid w:val="001A4D44"/>
    <w:rsid w:val="001A601E"/>
    <w:rsid w:val="001B1351"/>
    <w:rsid w:val="001B18A2"/>
    <w:rsid w:val="001B68E6"/>
    <w:rsid w:val="001B762B"/>
    <w:rsid w:val="001C4DB2"/>
    <w:rsid w:val="001C7D0B"/>
    <w:rsid w:val="001D16CA"/>
    <w:rsid w:val="001D2675"/>
    <w:rsid w:val="001D4C76"/>
    <w:rsid w:val="001E7C8B"/>
    <w:rsid w:val="002007AF"/>
    <w:rsid w:val="00200AD1"/>
    <w:rsid w:val="00201075"/>
    <w:rsid w:val="00205BAF"/>
    <w:rsid w:val="0022081A"/>
    <w:rsid w:val="00221F2D"/>
    <w:rsid w:val="00222054"/>
    <w:rsid w:val="002225C6"/>
    <w:rsid w:val="00224A21"/>
    <w:rsid w:val="002253FE"/>
    <w:rsid w:val="0022580E"/>
    <w:rsid w:val="00226D0D"/>
    <w:rsid w:val="00226EF3"/>
    <w:rsid w:val="00232F2D"/>
    <w:rsid w:val="00240137"/>
    <w:rsid w:val="0024111A"/>
    <w:rsid w:val="002437CE"/>
    <w:rsid w:val="00245EFD"/>
    <w:rsid w:val="00250C2D"/>
    <w:rsid w:val="002511F5"/>
    <w:rsid w:val="00251BBC"/>
    <w:rsid w:val="00253F46"/>
    <w:rsid w:val="00262603"/>
    <w:rsid w:val="00264BA7"/>
    <w:rsid w:val="00264EDA"/>
    <w:rsid w:val="00266BBD"/>
    <w:rsid w:val="002712E8"/>
    <w:rsid w:val="00273580"/>
    <w:rsid w:val="002759F4"/>
    <w:rsid w:val="00276C09"/>
    <w:rsid w:val="00277D7C"/>
    <w:rsid w:val="00281498"/>
    <w:rsid w:val="0028314E"/>
    <w:rsid w:val="00283776"/>
    <w:rsid w:val="00283DB2"/>
    <w:rsid w:val="00284A86"/>
    <w:rsid w:val="00287B67"/>
    <w:rsid w:val="0029118F"/>
    <w:rsid w:val="00291F75"/>
    <w:rsid w:val="00292678"/>
    <w:rsid w:val="002952B2"/>
    <w:rsid w:val="002B3335"/>
    <w:rsid w:val="002B3879"/>
    <w:rsid w:val="002B7DCE"/>
    <w:rsid w:val="002B7E48"/>
    <w:rsid w:val="002D2524"/>
    <w:rsid w:val="002E2CD2"/>
    <w:rsid w:val="002E6000"/>
    <w:rsid w:val="002F23A1"/>
    <w:rsid w:val="002F442E"/>
    <w:rsid w:val="00300A5F"/>
    <w:rsid w:val="003045B7"/>
    <w:rsid w:val="003070A2"/>
    <w:rsid w:val="0031233D"/>
    <w:rsid w:val="00312734"/>
    <w:rsid w:val="00314DA1"/>
    <w:rsid w:val="00322039"/>
    <w:rsid w:val="003222DB"/>
    <w:rsid w:val="003223C7"/>
    <w:rsid w:val="00323F77"/>
    <w:rsid w:val="003263AC"/>
    <w:rsid w:val="003305B1"/>
    <w:rsid w:val="00337F18"/>
    <w:rsid w:val="00347118"/>
    <w:rsid w:val="00347E3A"/>
    <w:rsid w:val="003516FA"/>
    <w:rsid w:val="00351F79"/>
    <w:rsid w:val="003534A1"/>
    <w:rsid w:val="003621B3"/>
    <w:rsid w:val="00362BB1"/>
    <w:rsid w:val="00363853"/>
    <w:rsid w:val="003648C5"/>
    <w:rsid w:val="00371EA9"/>
    <w:rsid w:val="00372196"/>
    <w:rsid w:val="00375863"/>
    <w:rsid w:val="0039393A"/>
    <w:rsid w:val="00395541"/>
    <w:rsid w:val="00396448"/>
    <w:rsid w:val="003A3323"/>
    <w:rsid w:val="003A5AFE"/>
    <w:rsid w:val="003A6A4B"/>
    <w:rsid w:val="003B4DEB"/>
    <w:rsid w:val="003B4E77"/>
    <w:rsid w:val="003C014B"/>
    <w:rsid w:val="003C1DD2"/>
    <w:rsid w:val="003C2891"/>
    <w:rsid w:val="003C4CCE"/>
    <w:rsid w:val="003C72DD"/>
    <w:rsid w:val="003C7AA5"/>
    <w:rsid w:val="003D184D"/>
    <w:rsid w:val="003D3BDA"/>
    <w:rsid w:val="003D3C99"/>
    <w:rsid w:val="003D5B00"/>
    <w:rsid w:val="003D6A0F"/>
    <w:rsid w:val="003E2D02"/>
    <w:rsid w:val="003E466E"/>
    <w:rsid w:val="003E61D0"/>
    <w:rsid w:val="003E7319"/>
    <w:rsid w:val="003E75D3"/>
    <w:rsid w:val="003F4A65"/>
    <w:rsid w:val="003F7344"/>
    <w:rsid w:val="003F77CF"/>
    <w:rsid w:val="003F7D52"/>
    <w:rsid w:val="00400111"/>
    <w:rsid w:val="00403666"/>
    <w:rsid w:val="00406762"/>
    <w:rsid w:val="00410F05"/>
    <w:rsid w:val="00411710"/>
    <w:rsid w:val="004147E0"/>
    <w:rsid w:val="00415721"/>
    <w:rsid w:val="00417945"/>
    <w:rsid w:val="00421D7D"/>
    <w:rsid w:val="00421E2A"/>
    <w:rsid w:val="00423CCF"/>
    <w:rsid w:val="00424BD4"/>
    <w:rsid w:val="00425C26"/>
    <w:rsid w:val="00432D1F"/>
    <w:rsid w:val="00445779"/>
    <w:rsid w:val="004462C1"/>
    <w:rsid w:val="00451263"/>
    <w:rsid w:val="00455F77"/>
    <w:rsid w:val="0045625B"/>
    <w:rsid w:val="0045784D"/>
    <w:rsid w:val="00461D8C"/>
    <w:rsid w:val="00467FB5"/>
    <w:rsid w:val="00471DC7"/>
    <w:rsid w:val="00472B02"/>
    <w:rsid w:val="0047570E"/>
    <w:rsid w:val="00476A3C"/>
    <w:rsid w:val="00476C12"/>
    <w:rsid w:val="004811FD"/>
    <w:rsid w:val="00481440"/>
    <w:rsid w:val="00483711"/>
    <w:rsid w:val="00485429"/>
    <w:rsid w:val="0048662A"/>
    <w:rsid w:val="00487F75"/>
    <w:rsid w:val="00493AD2"/>
    <w:rsid w:val="00496964"/>
    <w:rsid w:val="004A3A95"/>
    <w:rsid w:val="004A50D2"/>
    <w:rsid w:val="004B6371"/>
    <w:rsid w:val="004B7951"/>
    <w:rsid w:val="004C088A"/>
    <w:rsid w:val="004C1DB1"/>
    <w:rsid w:val="004C2808"/>
    <w:rsid w:val="004C5B27"/>
    <w:rsid w:val="004C625A"/>
    <w:rsid w:val="004E1EE4"/>
    <w:rsid w:val="004E49DD"/>
    <w:rsid w:val="004E4F69"/>
    <w:rsid w:val="004E6889"/>
    <w:rsid w:val="004F04E2"/>
    <w:rsid w:val="004F4C4D"/>
    <w:rsid w:val="004F7487"/>
    <w:rsid w:val="00504377"/>
    <w:rsid w:val="00504861"/>
    <w:rsid w:val="005049A9"/>
    <w:rsid w:val="00510C02"/>
    <w:rsid w:val="00511CD0"/>
    <w:rsid w:val="005233A4"/>
    <w:rsid w:val="00525F06"/>
    <w:rsid w:val="00526E95"/>
    <w:rsid w:val="00527BE9"/>
    <w:rsid w:val="00535D22"/>
    <w:rsid w:val="0054182D"/>
    <w:rsid w:val="00541AFF"/>
    <w:rsid w:val="00542C57"/>
    <w:rsid w:val="00543607"/>
    <w:rsid w:val="0055095F"/>
    <w:rsid w:val="00551949"/>
    <w:rsid w:val="00552C5D"/>
    <w:rsid w:val="005547EE"/>
    <w:rsid w:val="00555250"/>
    <w:rsid w:val="005571F3"/>
    <w:rsid w:val="00562346"/>
    <w:rsid w:val="0056284A"/>
    <w:rsid w:val="00567EE0"/>
    <w:rsid w:val="00591D5D"/>
    <w:rsid w:val="0059588E"/>
    <w:rsid w:val="005A3316"/>
    <w:rsid w:val="005A54F2"/>
    <w:rsid w:val="005A72D5"/>
    <w:rsid w:val="005B1FEE"/>
    <w:rsid w:val="005B6968"/>
    <w:rsid w:val="005B7E4B"/>
    <w:rsid w:val="005C6AEE"/>
    <w:rsid w:val="005C75C7"/>
    <w:rsid w:val="005E1A66"/>
    <w:rsid w:val="005E212C"/>
    <w:rsid w:val="005E5127"/>
    <w:rsid w:val="005E5FEF"/>
    <w:rsid w:val="005E7FB2"/>
    <w:rsid w:val="005F1173"/>
    <w:rsid w:val="006035CB"/>
    <w:rsid w:val="0060432D"/>
    <w:rsid w:val="00606FA3"/>
    <w:rsid w:val="00611140"/>
    <w:rsid w:val="00612308"/>
    <w:rsid w:val="00615709"/>
    <w:rsid w:val="00617504"/>
    <w:rsid w:val="00617712"/>
    <w:rsid w:val="0062044B"/>
    <w:rsid w:val="00620ED9"/>
    <w:rsid w:val="00621E2A"/>
    <w:rsid w:val="00630F34"/>
    <w:rsid w:val="00632993"/>
    <w:rsid w:val="0064102A"/>
    <w:rsid w:val="006441B7"/>
    <w:rsid w:val="00645A58"/>
    <w:rsid w:val="00653B33"/>
    <w:rsid w:val="006617FB"/>
    <w:rsid w:val="006636C7"/>
    <w:rsid w:val="00663846"/>
    <w:rsid w:val="00666D40"/>
    <w:rsid w:val="006673B8"/>
    <w:rsid w:val="0066746E"/>
    <w:rsid w:val="00677889"/>
    <w:rsid w:val="00684918"/>
    <w:rsid w:val="00691846"/>
    <w:rsid w:val="00694050"/>
    <w:rsid w:val="00697E4D"/>
    <w:rsid w:val="006A1766"/>
    <w:rsid w:val="006A7A6E"/>
    <w:rsid w:val="006C1B19"/>
    <w:rsid w:val="006C31E3"/>
    <w:rsid w:val="006C6780"/>
    <w:rsid w:val="006D5DC2"/>
    <w:rsid w:val="006E50F3"/>
    <w:rsid w:val="006F1F55"/>
    <w:rsid w:val="006F64AE"/>
    <w:rsid w:val="006F765A"/>
    <w:rsid w:val="00705769"/>
    <w:rsid w:val="00706FA9"/>
    <w:rsid w:val="007070AC"/>
    <w:rsid w:val="0071051A"/>
    <w:rsid w:val="007106F4"/>
    <w:rsid w:val="00727F74"/>
    <w:rsid w:val="00730897"/>
    <w:rsid w:val="00731933"/>
    <w:rsid w:val="00731BCD"/>
    <w:rsid w:val="00734289"/>
    <w:rsid w:val="00743D95"/>
    <w:rsid w:val="00745EAB"/>
    <w:rsid w:val="007501A6"/>
    <w:rsid w:val="00752CD4"/>
    <w:rsid w:val="00757C0B"/>
    <w:rsid w:val="007670E1"/>
    <w:rsid w:val="007764C7"/>
    <w:rsid w:val="00782D09"/>
    <w:rsid w:val="00785D0D"/>
    <w:rsid w:val="00787068"/>
    <w:rsid w:val="00787BBD"/>
    <w:rsid w:val="007946B0"/>
    <w:rsid w:val="00795483"/>
    <w:rsid w:val="007A01C9"/>
    <w:rsid w:val="007A0B40"/>
    <w:rsid w:val="007A67D7"/>
    <w:rsid w:val="007B4A25"/>
    <w:rsid w:val="007C1D26"/>
    <w:rsid w:val="007C4638"/>
    <w:rsid w:val="007C6DB2"/>
    <w:rsid w:val="007D051E"/>
    <w:rsid w:val="007D30DA"/>
    <w:rsid w:val="007D3393"/>
    <w:rsid w:val="007D33D8"/>
    <w:rsid w:val="007D3D1C"/>
    <w:rsid w:val="007F098A"/>
    <w:rsid w:val="007F1F55"/>
    <w:rsid w:val="007F2EF8"/>
    <w:rsid w:val="007F35D3"/>
    <w:rsid w:val="007F7149"/>
    <w:rsid w:val="007F7823"/>
    <w:rsid w:val="00802E32"/>
    <w:rsid w:val="00807BB4"/>
    <w:rsid w:val="00810052"/>
    <w:rsid w:val="00810777"/>
    <w:rsid w:val="0081571E"/>
    <w:rsid w:val="0081583F"/>
    <w:rsid w:val="00826014"/>
    <w:rsid w:val="0083255B"/>
    <w:rsid w:val="00832F0A"/>
    <w:rsid w:val="00834A70"/>
    <w:rsid w:val="00837283"/>
    <w:rsid w:val="00851AC9"/>
    <w:rsid w:val="00851FDB"/>
    <w:rsid w:val="0085373E"/>
    <w:rsid w:val="0086077B"/>
    <w:rsid w:val="0086198D"/>
    <w:rsid w:val="008627B8"/>
    <w:rsid w:val="00863641"/>
    <w:rsid w:val="0086536E"/>
    <w:rsid w:val="00865920"/>
    <w:rsid w:val="00866A7D"/>
    <w:rsid w:val="008717C6"/>
    <w:rsid w:val="00873884"/>
    <w:rsid w:val="00880E1A"/>
    <w:rsid w:val="008815E3"/>
    <w:rsid w:val="008857EE"/>
    <w:rsid w:val="00891F41"/>
    <w:rsid w:val="0089208F"/>
    <w:rsid w:val="008A084A"/>
    <w:rsid w:val="008A1DBB"/>
    <w:rsid w:val="008A56E2"/>
    <w:rsid w:val="008B128D"/>
    <w:rsid w:val="008B46B0"/>
    <w:rsid w:val="008B59F7"/>
    <w:rsid w:val="008B633D"/>
    <w:rsid w:val="008B6971"/>
    <w:rsid w:val="008B7308"/>
    <w:rsid w:val="008B7FFD"/>
    <w:rsid w:val="008C7975"/>
    <w:rsid w:val="008D2A88"/>
    <w:rsid w:val="008D3EBE"/>
    <w:rsid w:val="008E48B1"/>
    <w:rsid w:val="008F2AA0"/>
    <w:rsid w:val="008F5801"/>
    <w:rsid w:val="0090384F"/>
    <w:rsid w:val="009040DB"/>
    <w:rsid w:val="0090410F"/>
    <w:rsid w:val="00904C5C"/>
    <w:rsid w:val="00910CD7"/>
    <w:rsid w:val="00911960"/>
    <w:rsid w:val="009169B9"/>
    <w:rsid w:val="00916DE2"/>
    <w:rsid w:val="0092088E"/>
    <w:rsid w:val="00920FBD"/>
    <w:rsid w:val="009232D4"/>
    <w:rsid w:val="00926E8A"/>
    <w:rsid w:val="00927EAC"/>
    <w:rsid w:val="00933A14"/>
    <w:rsid w:val="009362D0"/>
    <w:rsid w:val="0094103D"/>
    <w:rsid w:val="00941C01"/>
    <w:rsid w:val="0094219B"/>
    <w:rsid w:val="00943FF6"/>
    <w:rsid w:val="009442FF"/>
    <w:rsid w:val="00953897"/>
    <w:rsid w:val="00956FE2"/>
    <w:rsid w:val="00957F25"/>
    <w:rsid w:val="009718A1"/>
    <w:rsid w:val="00972570"/>
    <w:rsid w:val="00975AF5"/>
    <w:rsid w:val="00976BF7"/>
    <w:rsid w:val="00977F7F"/>
    <w:rsid w:val="00983B89"/>
    <w:rsid w:val="00986D1F"/>
    <w:rsid w:val="00990EE6"/>
    <w:rsid w:val="00991E3F"/>
    <w:rsid w:val="009A5A3B"/>
    <w:rsid w:val="009B0330"/>
    <w:rsid w:val="009B3A61"/>
    <w:rsid w:val="009B71AE"/>
    <w:rsid w:val="009B7AC3"/>
    <w:rsid w:val="009C67A4"/>
    <w:rsid w:val="009D14FA"/>
    <w:rsid w:val="009D40C5"/>
    <w:rsid w:val="009D5574"/>
    <w:rsid w:val="009D6711"/>
    <w:rsid w:val="009E4486"/>
    <w:rsid w:val="009F21E8"/>
    <w:rsid w:val="009F546F"/>
    <w:rsid w:val="009F6363"/>
    <w:rsid w:val="00A00697"/>
    <w:rsid w:val="00A050F9"/>
    <w:rsid w:val="00A13601"/>
    <w:rsid w:val="00A142BB"/>
    <w:rsid w:val="00A14586"/>
    <w:rsid w:val="00A14882"/>
    <w:rsid w:val="00A14C2B"/>
    <w:rsid w:val="00A252ED"/>
    <w:rsid w:val="00A25C11"/>
    <w:rsid w:val="00A30FD1"/>
    <w:rsid w:val="00A337DE"/>
    <w:rsid w:val="00A35305"/>
    <w:rsid w:val="00A36245"/>
    <w:rsid w:val="00A368A7"/>
    <w:rsid w:val="00A41711"/>
    <w:rsid w:val="00A43A45"/>
    <w:rsid w:val="00A447B6"/>
    <w:rsid w:val="00A45D51"/>
    <w:rsid w:val="00A50806"/>
    <w:rsid w:val="00A5084B"/>
    <w:rsid w:val="00A50E59"/>
    <w:rsid w:val="00A51F5B"/>
    <w:rsid w:val="00A52411"/>
    <w:rsid w:val="00A52B14"/>
    <w:rsid w:val="00A52EB4"/>
    <w:rsid w:val="00A53BAA"/>
    <w:rsid w:val="00A542DA"/>
    <w:rsid w:val="00A62213"/>
    <w:rsid w:val="00A657C4"/>
    <w:rsid w:val="00A668C3"/>
    <w:rsid w:val="00A70428"/>
    <w:rsid w:val="00A72B72"/>
    <w:rsid w:val="00A7426C"/>
    <w:rsid w:val="00A76558"/>
    <w:rsid w:val="00A80980"/>
    <w:rsid w:val="00A846E4"/>
    <w:rsid w:val="00A86F80"/>
    <w:rsid w:val="00A94A88"/>
    <w:rsid w:val="00A95B14"/>
    <w:rsid w:val="00A96E20"/>
    <w:rsid w:val="00AA721E"/>
    <w:rsid w:val="00AB019A"/>
    <w:rsid w:val="00AB06EA"/>
    <w:rsid w:val="00AB2DDA"/>
    <w:rsid w:val="00AC2BFD"/>
    <w:rsid w:val="00AC2C09"/>
    <w:rsid w:val="00AC5D3F"/>
    <w:rsid w:val="00AC6C8B"/>
    <w:rsid w:val="00AD00F7"/>
    <w:rsid w:val="00AD30B8"/>
    <w:rsid w:val="00AD7044"/>
    <w:rsid w:val="00AD75ED"/>
    <w:rsid w:val="00AE0F54"/>
    <w:rsid w:val="00AE32A2"/>
    <w:rsid w:val="00AE7908"/>
    <w:rsid w:val="00AF14BD"/>
    <w:rsid w:val="00AF55E3"/>
    <w:rsid w:val="00AF5F52"/>
    <w:rsid w:val="00B01FA0"/>
    <w:rsid w:val="00B03343"/>
    <w:rsid w:val="00B04889"/>
    <w:rsid w:val="00B0627A"/>
    <w:rsid w:val="00B07D7F"/>
    <w:rsid w:val="00B11421"/>
    <w:rsid w:val="00B135D9"/>
    <w:rsid w:val="00B13706"/>
    <w:rsid w:val="00B1715B"/>
    <w:rsid w:val="00B24BBD"/>
    <w:rsid w:val="00B25DFD"/>
    <w:rsid w:val="00B26CF3"/>
    <w:rsid w:val="00B32067"/>
    <w:rsid w:val="00B326D5"/>
    <w:rsid w:val="00B33A73"/>
    <w:rsid w:val="00B34EF7"/>
    <w:rsid w:val="00B362B8"/>
    <w:rsid w:val="00B367FA"/>
    <w:rsid w:val="00B369A8"/>
    <w:rsid w:val="00B40974"/>
    <w:rsid w:val="00B40C43"/>
    <w:rsid w:val="00B42A49"/>
    <w:rsid w:val="00B42A84"/>
    <w:rsid w:val="00B50BA8"/>
    <w:rsid w:val="00B542D1"/>
    <w:rsid w:val="00B562D5"/>
    <w:rsid w:val="00B615DD"/>
    <w:rsid w:val="00B63939"/>
    <w:rsid w:val="00B66E92"/>
    <w:rsid w:val="00B672D0"/>
    <w:rsid w:val="00B67414"/>
    <w:rsid w:val="00B67EE8"/>
    <w:rsid w:val="00B711BE"/>
    <w:rsid w:val="00B8232B"/>
    <w:rsid w:val="00B913BB"/>
    <w:rsid w:val="00B9392A"/>
    <w:rsid w:val="00B94AB0"/>
    <w:rsid w:val="00B95DDF"/>
    <w:rsid w:val="00B96FC1"/>
    <w:rsid w:val="00B979CF"/>
    <w:rsid w:val="00BA5F60"/>
    <w:rsid w:val="00BB03F4"/>
    <w:rsid w:val="00BB197D"/>
    <w:rsid w:val="00BC1A46"/>
    <w:rsid w:val="00BC34B2"/>
    <w:rsid w:val="00BC63FC"/>
    <w:rsid w:val="00BD6EDF"/>
    <w:rsid w:val="00BD7CF0"/>
    <w:rsid w:val="00BE1407"/>
    <w:rsid w:val="00BE7EF2"/>
    <w:rsid w:val="00BF16CF"/>
    <w:rsid w:val="00BF2F6B"/>
    <w:rsid w:val="00BF3DAE"/>
    <w:rsid w:val="00BF5D9C"/>
    <w:rsid w:val="00BF62D3"/>
    <w:rsid w:val="00BF713B"/>
    <w:rsid w:val="00C00809"/>
    <w:rsid w:val="00C00CFD"/>
    <w:rsid w:val="00C01917"/>
    <w:rsid w:val="00C0288B"/>
    <w:rsid w:val="00C06C77"/>
    <w:rsid w:val="00C12877"/>
    <w:rsid w:val="00C12E18"/>
    <w:rsid w:val="00C25B31"/>
    <w:rsid w:val="00C26518"/>
    <w:rsid w:val="00C329D7"/>
    <w:rsid w:val="00C3750A"/>
    <w:rsid w:val="00C3770B"/>
    <w:rsid w:val="00C422D1"/>
    <w:rsid w:val="00C469D3"/>
    <w:rsid w:val="00C571DD"/>
    <w:rsid w:val="00C61921"/>
    <w:rsid w:val="00C65479"/>
    <w:rsid w:val="00C71436"/>
    <w:rsid w:val="00C71FDD"/>
    <w:rsid w:val="00C72284"/>
    <w:rsid w:val="00C81CBF"/>
    <w:rsid w:val="00C8545B"/>
    <w:rsid w:val="00C86BBC"/>
    <w:rsid w:val="00C92074"/>
    <w:rsid w:val="00C954F2"/>
    <w:rsid w:val="00C9550B"/>
    <w:rsid w:val="00CB0BBD"/>
    <w:rsid w:val="00CB4067"/>
    <w:rsid w:val="00CB592A"/>
    <w:rsid w:val="00CB6109"/>
    <w:rsid w:val="00CC4137"/>
    <w:rsid w:val="00CD370D"/>
    <w:rsid w:val="00CE27CF"/>
    <w:rsid w:val="00CE4BEB"/>
    <w:rsid w:val="00CE621C"/>
    <w:rsid w:val="00D010B5"/>
    <w:rsid w:val="00D0131F"/>
    <w:rsid w:val="00D03B05"/>
    <w:rsid w:val="00D06A72"/>
    <w:rsid w:val="00D116C0"/>
    <w:rsid w:val="00D1241B"/>
    <w:rsid w:val="00D131C5"/>
    <w:rsid w:val="00D14991"/>
    <w:rsid w:val="00D15B2D"/>
    <w:rsid w:val="00D2073F"/>
    <w:rsid w:val="00D22E21"/>
    <w:rsid w:val="00D24514"/>
    <w:rsid w:val="00D261F8"/>
    <w:rsid w:val="00D26DE8"/>
    <w:rsid w:val="00D305A5"/>
    <w:rsid w:val="00D31C81"/>
    <w:rsid w:val="00D3797F"/>
    <w:rsid w:val="00D44344"/>
    <w:rsid w:val="00D4752E"/>
    <w:rsid w:val="00D55AB1"/>
    <w:rsid w:val="00D66EF8"/>
    <w:rsid w:val="00D76F32"/>
    <w:rsid w:val="00D81FBA"/>
    <w:rsid w:val="00D8225F"/>
    <w:rsid w:val="00D8798E"/>
    <w:rsid w:val="00D9097A"/>
    <w:rsid w:val="00D96AEE"/>
    <w:rsid w:val="00D97BC7"/>
    <w:rsid w:val="00DA553C"/>
    <w:rsid w:val="00DB35E6"/>
    <w:rsid w:val="00DB764D"/>
    <w:rsid w:val="00DD1737"/>
    <w:rsid w:val="00DD58ED"/>
    <w:rsid w:val="00DD59DA"/>
    <w:rsid w:val="00DD7758"/>
    <w:rsid w:val="00DE4C4C"/>
    <w:rsid w:val="00DE66CE"/>
    <w:rsid w:val="00DE7CE5"/>
    <w:rsid w:val="00DF1F77"/>
    <w:rsid w:val="00DF6B8D"/>
    <w:rsid w:val="00E05FFE"/>
    <w:rsid w:val="00E20285"/>
    <w:rsid w:val="00E20E22"/>
    <w:rsid w:val="00E22317"/>
    <w:rsid w:val="00E229C8"/>
    <w:rsid w:val="00E23359"/>
    <w:rsid w:val="00E25816"/>
    <w:rsid w:val="00E25C6B"/>
    <w:rsid w:val="00E26986"/>
    <w:rsid w:val="00E26AD1"/>
    <w:rsid w:val="00E34CF4"/>
    <w:rsid w:val="00E3597B"/>
    <w:rsid w:val="00E37DF5"/>
    <w:rsid w:val="00E44188"/>
    <w:rsid w:val="00E4438B"/>
    <w:rsid w:val="00E46DB2"/>
    <w:rsid w:val="00E4705F"/>
    <w:rsid w:val="00E477C3"/>
    <w:rsid w:val="00E508BB"/>
    <w:rsid w:val="00E54683"/>
    <w:rsid w:val="00E57C49"/>
    <w:rsid w:val="00E629E0"/>
    <w:rsid w:val="00E65269"/>
    <w:rsid w:val="00E65A4C"/>
    <w:rsid w:val="00E66BFD"/>
    <w:rsid w:val="00E72D31"/>
    <w:rsid w:val="00E743EA"/>
    <w:rsid w:val="00E758A0"/>
    <w:rsid w:val="00E81634"/>
    <w:rsid w:val="00E82F6A"/>
    <w:rsid w:val="00E83C6A"/>
    <w:rsid w:val="00E83CBD"/>
    <w:rsid w:val="00E85C62"/>
    <w:rsid w:val="00E9636F"/>
    <w:rsid w:val="00EA0CB5"/>
    <w:rsid w:val="00EA7EC6"/>
    <w:rsid w:val="00EB090C"/>
    <w:rsid w:val="00EB30C7"/>
    <w:rsid w:val="00EB5C11"/>
    <w:rsid w:val="00ED0859"/>
    <w:rsid w:val="00ED2B2E"/>
    <w:rsid w:val="00EE6AB6"/>
    <w:rsid w:val="00EF1E09"/>
    <w:rsid w:val="00EF1F27"/>
    <w:rsid w:val="00EF20EE"/>
    <w:rsid w:val="00EF25E4"/>
    <w:rsid w:val="00F01DDB"/>
    <w:rsid w:val="00F02776"/>
    <w:rsid w:val="00F04FAB"/>
    <w:rsid w:val="00F06A94"/>
    <w:rsid w:val="00F0742E"/>
    <w:rsid w:val="00F12F2D"/>
    <w:rsid w:val="00F16E5F"/>
    <w:rsid w:val="00F20BAF"/>
    <w:rsid w:val="00F2310D"/>
    <w:rsid w:val="00F24118"/>
    <w:rsid w:val="00F24969"/>
    <w:rsid w:val="00F26DD2"/>
    <w:rsid w:val="00F273C5"/>
    <w:rsid w:val="00F31822"/>
    <w:rsid w:val="00F341A6"/>
    <w:rsid w:val="00F40BC0"/>
    <w:rsid w:val="00F4460A"/>
    <w:rsid w:val="00F47EA1"/>
    <w:rsid w:val="00F55228"/>
    <w:rsid w:val="00F553BA"/>
    <w:rsid w:val="00F5571F"/>
    <w:rsid w:val="00F565B7"/>
    <w:rsid w:val="00F57DFC"/>
    <w:rsid w:val="00F65EBE"/>
    <w:rsid w:val="00F71485"/>
    <w:rsid w:val="00F800A5"/>
    <w:rsid w:val="00F83117"/>
    <w:rsid w:val="00F86B08"/>
    <w:rsid w:val="00F93404"/>
    <w:rsid w:val="00F96C98"/>
    <w:rsid w:val="00FA0530"/>
    <w:rsid w:val="00FA1CDF"/>
    <w:rsid w:val="00FA3219"/>
    <w:rsid w:val="00FA7124"/>
    <w:rsid w:val="00FB15C0"/>
    <w:rsid w:val="00FB1F1D"/>
    <w:rsid w:val="00FB7E9E"/>
    <w:rsid w:val="00FC01AA"/>
    <w:rsid w:val="00FC1B34"/>
    <w:rsid w:val="00FC2E5F"/>
    <w:rsid w:val="00FC364A"/>
    <w:rsid w:val="00FC37F4"/>
    <w:rsid w:val="00FC3E0A"/>
    <w:rsid w:val="00FC51AD"/>
    <w:rsid w:val="00FC53C7"/>
    <w:rsid w:val="00FC56B0"/>
    <w:rsid w:val="00FE57C6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85D04" w:themeColor="accent2"/>
        <w:left w:val="single" w:sz="4" w:space="0" w:color="E85D04" w:themeColor="accent2"/>
        <w:bottom w:val="single" w:sz="4" w:space="0" w:color="E85D04" w:themeColor="accent2"/>
        <w:right w:val="single" w:sz="4" w:space="0" w:color="E85D0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5D04" w:themeColor="accent2"/>
          <w:right w:val="single" w:sz="4" w:space="0" w:color="E85D04" w:themeColor="accent2"/>
        </w:tcBorders>
      </w:tcPr>
    </w:tblStylePr>
    <w:tblStylePr w:type="band1Horz">
      <w:tblPr/>
      <w:tcPr>
        <w:tcBorders>
          <w:top w:val="single" w:sz="4" w:space="0" w:color="E85D04" w:themeColor="accent2"/>
          <w:bottom w:val="single" w:sz="4" w:space="0" w:color="E85D0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5D04" w:themeColor="accent2"/>
          <w:left w:val="nil"/>
        </w:tcBorders>
      </w:tcPr>
    </w:tblStylePr>
    <w:tblStylePr w:type="swCell">
      <w:tblPr/>
      <w:tcPr>
        <w:tcBorders>
          <w:top w:val="double" w:sz="4" w:space="0" w:color="E85D04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C9A5D" w:themeColor="accent2" w:themeTint="99"/>
        <w:left w:val="single" w:sz="4" w:space="0" w:color="FC9A5D" w:themeColor="accent2" w:themeTint="99"/>
        <w:bottom w:val="single" w:sz="4" w:space="0" w:color="FC9A5D" w:themeColor="accent2" w:themeTint="99"/>
        <w:right w:val="single" w:sz="4" w:space="0" w:color="FC9A5D" w:themeColor="accent2" w:themeTint="99"/>
        <w:insideH w:val="single" w:sz="4" w:space="0" w:color="FC9A5D" w:themeColor="accent2" w:themeTint="99"/>
        <w:insideV w:val="single" w:sz="4" w:space="0" w:color="FC9A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04" w:themeColor="accent2"/>
          <w:left w:val="single" w:sz="4" w:space="0" w:color="E85D04" w:themeColor="accent2"/>
          <w:bottom w:val="single" w:sz="4" w:space="0" w:color="E85D04" w:themeColor="accent2"/>
          <w:right w:val="single" w:sz="4" w:space="0" w:color="E85D04" w:themeColor="accent2"/>
          <w:insideH w:val="nil"/>
          <w:insideV w:val="nil"/>
        </w:tcBorders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AD4503" w:themeColor="accent2" w:themeShade="BF"/>
    </w:rPr>
    <w:tblPr>
      <w:tblStyleRowBandSize w:val="1"/>
      <w:tblStyleColBandSize w:val="1"/>
      <w:tblBorders>
        <w:top w:val="single" w:sz="4" w:space="0" w:color="E85D04" w:themeColor="accent2"/>
        <w:bottom w:val="single" w:sz="4" w:space="0" w:color="E85D0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85D0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ListParagraph">
    <w:name w:val="List Paragraph"/>
    <w:aliases w:val="FooterText,Bullet List,cS List Paragraph,numbered,Paragraphe de liste1,Bulletr List Paragraph,列  出  段  落,列  出  段  落  1,List Paragraph2,List Paragraph21,List Paragraph11,Parágrafo da Lista1,Párrafo de lista1,リ  ス  ト  段  落  1,Listeafsnit1"/>
    <w:basedOn w:val="Normal"/>
    <w:link w:val="ListParagraphChar"/>
    <w:uiPriority w:val="34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table" w:styleId="ListTable1Light-Accent4">
    <w:name w:val="List Table 1 Light Accent 4"/>
    <w:basedOn w:val="TableNormal"/>
    <w:uiPriority w:val="46"/>
    <w:rsid w:val="005B1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2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stParagraphChar">
    <w:name w:val="List Paragraph Char"/>
    <w:aliases w:val="FooterText Char,Bullet List Char,cS List Paragraph Char,numbered Char,Paragraphe de liste1 Char,Bulletr List Paragraph Char,列  出  段  落 Char,列  出  段  落  1 Char,List Paragraph2 Char,List Paragraph21 Char,List Paragraph11 Char"/>
    <w:basedOn w:val="DefaultParagraphFont"/>
    <w:link w:val="ListParagraph"/>
    <w:uiPriority w:val="34"/>
    <w:locked/>
    <w:rsid w:val="00226D0D"/>
  </w:style>
  <w:style w:type="table" w:styleId="ListTable1Light-Accent1">
    <w:name w:val="List Table 1 Light Accent 1"/>
    <w:basedOn w:val="TableNormal"/>
    <w:uiPriority w:val="46"/>
    <w:rsid w:val="0022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C4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C4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BE1" w:themeFill="accent1" w:themeFillTint="33"/>
      </w:tcPr>
    </w:tblStylePr>
    <w:tblStylePr w:type="band1Horz">
      <w:tblPr/>
      <w:tcPr>
        <w:shd w:val="clear" w:color="auto" w:fill="F6EBE1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641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2A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2A"/>
    <w:rPr>
      <w:b/>
      <w:bCs/>
      <w:sz w:val="20"/>
      <w:szCs w:val="20"/>
    </w:rPr>
  </w:style>
  <w:style w:type="table" w:styleId="ListTable3-Accent3">
    <w:name w:val="List Table 3 Accent 3"/>
    <w:basedOn w:val="TableNormal"/>
    <w:uiPriority w:val="48"/>
    <w:rsid w:val="00D3797F"/>
    <w:pPr>
      <w:spacing w:after="0" w:line="240" w:lineRule="auto"/>
    </w:pPr>
    <w:tblPr>
      <w:tblStyleRowBandSize w:val="1"/>
      <w:tblStyleColBandSize w:val="1"/>
      <w:tblBorders>
        <w:top w:val="single" w:sz="4" w:space="0" w:color="DC2F02" w:themeColor="accent3"/>
        <w:left w:val="single" w:sz="4" w:space="0" w:color="DC2F02" w:themeColor="accent3"/>
        <w:bottom w:val="single" w:sz="4" w:space="0" w:color="DC2F02" w:themeColor="accent3"/>
        <w:right w:val="single" w:sz="4" w:space="0" w:color="DC2F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2F02" w:themeFill="accent3"/>
      </w:tcPr>
    </w:tblStylePr>
    <w:tblStylePr w:type="lastRow">
      <w:rPr>
        <w:b/>
        <w:bCs/>
      </w:rPr>
      <w:tblPr/>
      <w:tcPr>
        <w:tcBorders>
          <w:top w:val="double" w:sz="4" w:space="0" w:color="DC2F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2F02" w:themeColor="accent3"/>
          <w:right w:val="single" w:sz="4" w:space="0" w:color="DC2F02" w:themeColor="accent3"/>
        </w:tcBorders>
      </w:tcPr>
    </w:tblStylePr>
    <w:tblStylePr w:type="band1Horz">
      <w:tblPr/>
      <w:tcPr>
        <w:tcBorders>
          <w:top w:val="single" w:sz="4" w:space="0" w:color="DC2F02" w:themeColor="accent3"/>
          <w:bottom w:val="single" w:sz="4" w:space="0" w:color="DC2F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2F02" w:themeColor="accent3"/>
          <w:left w:val="nil"/>
        </w:tcBorders>
      </w:tcPr>
    </w:tblStylePr>
    <w:tblStylePr w:type="swCell">
      <w:tblPr/>
      <w:tcPr>
        <w:tcBorders>
          <w:top w:val="double" w:sz="4" w:space="0" w:color="DC2F02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B36C40"/>
      </a:dk2>
      <a:lt2>
        <a:srgbClr val="FFF498"/>
      </a:lt2>
      <a:accent1>
        <a:srgbClr val="D59E6E"/>
      </a:accent1>
      <a:accent2>
        <a:srgbClr val="E85D04"/>
      </a:accent2>
      <a:accent3>
        <a:srgbClr val="DC2F02"/>
      </a:accent3>
      <a:accent4>
        <a:srgbClr val="FFC000"/>
      </a:accent4>
      <a:accent5>
        <a:srgbClr val="5B9BD5"/>
      </a:accent5>
      <a:accent6>
        <a:srgbClr val="70AD47"/>
      </a:accent6>
      <a:hlink>
        <a:srgbClr val="B36C40"/>
      </a:hlink>
      <a:folHlink>
        <a:srgbClr val="833C0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5</cp:revision>
  <dcterms:created xsi:type="dcterms:W3CDTF">2025-04-02T23:06:00Z</dcterms:created>
  <dcterms:modified xsi:type="dcterms:W3CDTF">2025-04-03T00:15:00Z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