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7D6092FE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865920">
        <w:rPr>
          <w:sz w:val="44"/>
          <w:szCs w:val="44"/>
        </w:rPr>
        <w:t>10</w:t>
      </w:r>
      <w:r w:rsidR="00705769">
        <w:rPr>
          <w:sz w:val="44"/>
          <w:szCs w:val="44"/>
        </w:rPr>
        <w:t>.</w:t>
      </w:r>
      <w:r w:rsidR="00865920">
        <w:rPr>
          <w:sz w:val="44"/>
          <w:szCs w:val="44"/>
        </w:rPr>
        <w:t>6</w:t>
      </w:r>
      <w:r w:rsidR="004147E0">
        <w:rPr>
          <w:sz w:val="44"/>
          <w:szCs w:val="44"/>
        </w:rPr>
        <w:t>.2024</w:t>
      </w:r>
    </w:p>
    <w:p w14:paraId="74281325" w14:textId="1B89BF63" w:rsidR="00757C0B" w:rsidRPr="00CC4137" w:rsidRDefault="00D24514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September-October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0C90878E" w14:textId="2FCB25B9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 xml:space="preserve">The Labor Day holiday, eastern seaboard port strike and hurricanes Helene and Milton prompted substantial sales spikes throughout the country, and especially the Southeast. Food and beverage sales </w:t>
      </w:r>
      <w:r w:rsidR="001B68E6">
        <w:t xml:space="preserve">in this region </w:t>
      </w:r>
      <w:r w:rsidRPr="00A7426C">
        <w:t>during the week in advance of hurricane Milton making landfall increased 16.8%</w:t>
      </w:r>
      <w:r w:rsidR="001B68E6">
        <w:t xml:space="preserve"> versus the same week last year</w:t>
      </w:r>
      <w:r w:rsidRPr="00A7426C">
        <w:t xml:space="preserve">. Disruptions also </w:t>
      </w:r>
      <w:r w:rsidR="001B68E6">
        <w:t xml:space="preserve">affected </w:t>
      </w:r>
      <w:r w:rsidRPr="00A7426C">
        <w:t xml:space="preserve">produce sales during this quad-week period.  </w:t>
      </w:r>
    </w:p>
    <w:p w14:paraId="35E137D4" w14:textId="77777777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 xml:space="preserve">The Consumer Sentiment Index by the University of Michigan stood at 70.1 points in September, representing a slight increase from the August 2024 reading of 67.9 points. The university </w:t>
      </w:r>
      <w:r w:rsidRPr="00A7426C">
        <w:t xml:space="preserve">points </w:t>
      </w:r>
      <w:r w:rsidRPr="00A7426C">
        <w:t xml:space="preserve">to a slight increase in the expectations for the economy, though consumers’ assessment of current conditions remained unchanged, at 69.0 points. </w:t>
      </w:r>
    </w:p>
    <w:p w14:paraId="3810F21F" w14:textId="3C842DE3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 xml:space="preserve">Historically, consumer sentiment tracks along with GDP growth/decline, is strongly related to unemployment rates, sensitive to inflation rates, influenced by interest rates, and closely tied to real personal income growth/decline. This explains the stubbornly low consumer sentiment since early 2024. </w:t>
      </w:r>
    </w:p>
    <w:p w14:paraId="7D25735D" w14:textId="77777777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 xml:space="preserve">Low sentiment has resulted in fewer restaurant visits and a greater share of food dollars moving to retail. Most departments achieved real growth with year-over-year increases in units and/or volume. </w:t>
      </w:r>
    </w:p>
    <w:p w14:paraId="4D8BF170" w14:textId="40924292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>While consumers are focused on price and promotions, it’s rarely the only consideration going into the purchase. Th</w:t>
      </w:r>
      <w:r w:rsidR="001B68E6">
        <w:t>is makes</w:t>
      </w:r>
      <w:r w:rsidRPr="00A7426C">
        <w:t xml:space="preserve"> the marketplace complex but also ripe with opportunities for growth. </w:t>
      </w:r>
    </w:p>
    <w:p w14:paraId="2616F2F0" w14:textId="77777777" w:rsidR="00A7426C" w:rsidRPr="00A7426C" w:rsidRDefault="00A7426C" w:rsidP="00A7426C">
      <w:pPr>
        <w:pStyle w:val="NoSpacing"/>
        <w:rPr>
          <w:rFonts w:ascii="Arial" w:hAnsi="Arial" w:cs="Arial"/>
          <w:sz w:val="20"/>
          <w:szCs w:val="20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519D59BB" w:rsidR="00472B02" w:rsidRDefault="00226EF3" w:rsidP="00D3797F">
      <w:pPr>
        <w:pStyle w:val="NoSpacing"/>
        <w:ind w:right="-180"/>
      </w:pPr>
      <w:r>
        <w:t xml:space="preserve">The quad-week generated </w:t>
      </w:r>
      <w:r w:rsidR="001B68E6">
        <w:t>nearly $111 million</w:t>
      </w:r>
      <w:r w:rsidR="00FA0530">
        <w:t xml:space="preserve"> in sales, which </w:t>
      </w:r>
      <w:r w:rsidR="00CC4137">
        <w:t>meant dollar</w:t>
      </w:r>
      <w:r w:rsidR="00D3797F">
        <w:t xml:space="preserve"> sales</w:t>
      </w:r>
      <w:r w:rsidR="00CC4137">
        <w:t xml:space="preserve"> </w:t>
      </w:r>
      <w:r w:rsidR="001B68E6">
        <w:t>came very close to year-ago levels</w:t>
      </w:r>
      <w:r>
        <w:t>.</w:t>
      </w:r>
      <w:r w:rsidR="00865920">
        <w:t xml:space="preserve"> </w:t>
      </w:r>
      <w:r w:rsidR="001B68E6">
        <w:t>P</w:t>
      </w:r>
      <w:r w:rsidR="00865920">
        <w:t xml:space="preserve">ounds were down </w:t>
      </w:r>
      <w:r w:rsidR="001B68E6">
        <w:t>a little, at -</w:t>
      </w:r>
      <w:r w:rsidR="00D24514">
        <w:t>1.7</w:t>
      </w:r>
      <w:r w:rsidR="00CC4137">
        <w:t>%.</w:t>
      </w:r>
      <w:r w:rsidR="001B68E6">
        <w:t xml:space="preserve"> While this performance is not as strong as the one prior, the market disruptions pulled down sales in the Southeast, which is a large region that affected overall patterns. </w:t>
      </w: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64F312C5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6973244E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865920" w14:paraId="22401D5B" w14:textId="77777777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865920" w:rsidRPr="00807BB4" w:rsidRDefault="00865920" w:rsidP="00865920">
            <w:pPr>
              <w:pStyle w:val="NoSpacing"/>
              <w:rPr>
                <w:b w:val="0"/>
                <w:bCs w:val="0"/>
              </w:rPr>
            </w:pPr>
            <w:r w:rsidRPr="00807BB4">
              <w:rPr>
                <w:b w:val="0"/>
                <w:bCs w:val="0"/>
              </w:rPr>
              <w:t>Dollars</w:t>
            </w:r>
          </w:p>
        </w:tc>
        <w:tc>
          <w:tcPr>
            <w:tcW w:w="2163" w:type="dxa"/>
          </w:tcPr>
          <w:p w14:paraId="6D1FCB95" w14:textId="4F82A5E7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62603">
              <w:rPr>
                <w:rFonts w:cstheme="minorHAnsi"/>
              </w:rPr>
              <w:t>110,822,693</w:t>
            </w:r>
          </w:p>
        </w:tc>
        <w:tc>
          <w:tcPr>
            <w:tcW w:w="954" w:type="dxa"/>
          </w:tcPr>
          <w:p w14:paraId="77D2040B" w14:textId="7268422E" w:rsidR="00865920" w:rsidRPr="00807BB4" w:rsidRDefault="00262603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-0.5</w:t>
            </w:r>
            <w:r w:rsidR="00865920" w:rsidRPr="00DC59DC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EF21002" w14:textId="3B44A5E0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3.4</w:t>
            </w:r>
            <w:r w:rsidRPr="00DC59DC">
              <w:rPr>
                <w:rFonts w:cstheme="minorHAnsi"/>
              </w:rPr>
              <w:t>%</w:t>
            </w:r>
          </w:p>
        </w:tc>
        <w:tc>
          <w:tcPr>
            <w:tcW w:w="2074" w:type="dxa"/>
          </w:tcPr>
          <w:p w14:paraId="375CF9DD" w14:textId="17A7C1D0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62603">
              <w:rPr>
                <w:rFonts w:cstheme="minorHAnsi"/>
              </w:rPr>
              <w:t>1,525,312,146</w:t>
            </w:r>
          </w:p>
        </w:tc>
        <w:tc>
          <w:tcPr>
            <w:tcW w:w="1121" w:type="dxa"/>
          </w:tcPr>
          <w:p w14:paraId="04EA64A9" w14:textId="44881E0C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2.1</w:t>
            </w:r>
            <w:r w:rsidRPr="002B683B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2F2464E9" w14:textId="3A52C86C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4.9</w:t>
            </w:r>
            <w:r w:rsidRPr="002B683B">
              <w:rPr>
                <w:rFonts w:cstheme="minorHAnsi"/>
              </w:rPr>
              <w:t>%</w:t>
            </w:r>
          </w:p>
        </w:tc>
      </w:tr>
      <w:tr w:rsidR="00865920" w14:paraId="31FB8D29" w14:textId="77777777" w:rsidTr="00D37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865920" w:rsidRPr="00807BB4" w:rsidRDefault="00865920" w:rsidP="00865920">
            <w:pPr>
              <w:pStyle w:val="NoSpacing"/>
              <w:rPr>
                <w:b w:val="0"/>
                <w:bCs w:val="0"/>
              </w:rPr>
            </w:pPr>
            <w:r w:rsidRPr="00807BB4">
              <w:rPr>
                <w:b w:val="0"/>
                <w:bCs w:val="0"/>
              </w:rPr>
              <w:t>Units</w:t>
            </w:r>
          </w:p>
        </w:tc>
        <w:tc>
          <w:tcPr>
            <w:tcW w:w="2163" w:type="dxa"/>
          </w:tcPr>
          <w:p w14:paraId="3CA03520" w14:textId="182ECD1C" w:rsidR="00865920" w:rsidRPr="00807BB4" w:rsidRDefault="00262603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36,423,806</w:t>
            </w:r>
          </w:p>
        </w:tc>
        <w:tc>
          <w:tcPr>
            <w:tcW w:w="954" w:type="dxa"/>
          </w:tcPr>
          <w:p w14:paraId="6922F333" w14:textId="5EF67D3E" w:rsidR="00865920" w:rsidRPr="00807BB4" w:rsidRDefault="00262603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-2.7</w:t>
            </w:r>
            <w:r w:rsidR="00865920" w:rsidRPr="00DC59DC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7CD8DEEA" w14:textId="2DAB852A" w:rsidR="00865920" w:rsidRPr="00807BB4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11.0</w:t>
            </w:r>
            <w:r w:rsidRPr="00DC59DC">
              <w:rPr>
                <w:rFonts w:cstheme="minorHAnsi"/>
              </w:rPr>
              <w:t>%</w:t>
            </w:r>
          </w:p>
        </w:tc>
        <w:tc>
          <w:tcPr>
            <w:tcW w:w="2074" w:type="dxa"/>
          </w:tcPr>
          <w:p w14:paraId="26ECACB9" w14:textId="1CE5B2F2" w:rsidR="00865920" w:rsidRPr="00807BB4" w:rsidRDefault="00262603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503,259,257</w:t>
            </w:r>
          </w:p>
        </w:tc>
        <w:tc>
          <w:tcPr>
            <w:tcW w:w="1121" w:type="dxa"/>
          </w:tcPr>
          <w:p w14:paraId="60AAF678" w14:textId="35E15207" w:rsidR="00865920" w:rsidRPr="00807BB4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2.7</w:t>
            </w:r>
            <w:r w:rsidRPr="002B683B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19BE3B74" w14:textId="10595046" w:rsidR="00865920" w:rsidRPr="00807BB4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14.0</w:t>
            </w:r>
            <w:r w:rsidRPr="002B683B">
              <w:rPr>
                <w:rFonts w:cstheme="minorHAnsi"/>
              </w:rPr>
              <w:t>%</w:t>
            </w:r>
          </w:p>
        </w:tc>
      </w:tr>
      <w:tr w:rsidR="00865920" w14:paraId="2EB720F3" w14:textId="77777777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865920" w:rsidRPr="00807BB4" w:rsidRDefault="00865920" w:rsidP="00865920">
            <w:pPr>
              <w:pStyle w:val="NoSpacing"/>
              <w:rPr>
                <w:b w:val="0"/>
                <w:bCs w:val="0"/>
              </w:rPr>
            </w:pPr>
            <w:r w:rsidRPr="00807BB4">
              <w:rPr>
                <w:b w:val="0"/>
                <w:bCs w:val="0"/>
              </w:rPr>
              <w:t>Volume (pounds)</w:t>
            </w:r>
          </w:p>
        </w:tc>
        <w:tc>
          <w:tcPr>
            <w:tcW w:w="2163" w:type="dxa"/>
          </w:tcPr>
          <w:p w14:paraId="68757A76" w14:textId="7E347762" w:rsidR="00865920" w:rsidRPr="00807BB4" w:rsidRDefault="00262603" w:rsidP="00865920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24,279,714</w:t>
            </w:r>
          </w:p>
        </w:tc>
        <w:tc>
          <w:tcPr>
            <w:tcW w:w="954" w:type="dxa"/>
          </w:tcPr>
          <w:p w14:paraId="7DE7F9CC" w14:textId="137B7472" w:rsidR="00865920" w:rsidRPr="00807BB4" w:rsidRDefault="00262603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-1.7</w:t>
            </w:r>
            <w:r w:rsidR="00865920" w:rsidRPr="00DC59DC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7670DC1" w14:textId="274BCCAA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10.0</w:t>
            </w:r>
            <w:r w:rsidRPr="00DC59DC">
              <w:rPr>
                <w:rFonts w:cstheme="minorHAnsi"/>
              </w:rPr>
              <w:t>%</w:t>
            </w:r>
          </w:p>
        </w:tc>
        <w:tc>
          <w:tcPr>
            <w:tcW w:w="2074" w:type="dxa"/>
          </w:tcPr>
          <w:p w14:paraId="57878EB0" w14:textId="0CE6C452" w:rsidR="00865920" w:rsidRPr="00807BB4" w:rsidRDefault="00262603" w:rsidP="00865920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335,240,864</w:t>
            </w:r>
          </w:p>
        </w:tc>
        <w:tc>
          <w:tcPr>
            <w:tcW w:w="1121" w:type="dxa"/>
          </w:tcPr>
          <w:p w14:paraId="0679CD28" w14:textId="09BA74FA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2.6</w:t>
            </w:r>
            <w:r w:rsidRPr="002B683B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09C03B7F" w14:textId="5B00717A" w:rsidR="00865920" w:rsidRPr="00807BB4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683B">
              <w:rPr>
                <w:rFonts w:cstheme="minorHAnsi"/>
              </w:rPr>
              <w:t>-</w:t>
            </w:r>
            <w:r w:rsidR="00262603">
              <w:rPr>
                <w:rFonts w:cstheme="minorHAnsi"/>
              </w:rPr>
              <w:t>13.5</w:t>
            </w:r>
            <w:r w:rsidRPr="002B683B">
              <w:rPr>
                <w:rFonts w:cstheme="minorHAnsi"/>
              </w:rPr>
              <w:t>%</w:t>
            </w:r>
          </w:p>
        </w:tc>
      </w:tr>
    </w:tbl>
    <w:p w14:paraId="5B1F1AF6" w14:textId="41B9C768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65920">
        <w:rPr>
          <w:color w:val="7F7F7F" w:themeColor="text1" w:themeTint="80"/>
          <w:sz w:val="16"/>
          <w:szCs w:val="16"/>
        </w:rPr>
        <w:t>10/6</w:t>
      </w:r>
      <w:r w:rsidR="00D15B2D">
        <w:rPr>
          <w:color w:val="7F7F7F" w:themeColor="text1" w:themeTint="80"/>
          <w:sz w:val="16"/>
          <w:szCs w:val="16"/>
        </w:rPr>
        <w:t>/2024</w:t>
      </w:r>
    </w:p>
    <w:p w14:paraId="709034BA" w14:textId="77777777" w:rsidR="0022081A" w:rsidRDefault="0022081A" w:rsidP="00E25C6B">
      <w:pPr>
        <w:pStyle w:val="NoSpacing"/>
      </w:pP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71D6EFD0" w14:textId="31FDFD2A" w:rsidR="00CC4137" w:rsidRDefault="00E25C6B" w:rsidP="001B68E6">
      <w:pPr>
        <w:pStyle w:val="NoSpacing"/>
      </w:pPr>
      <w:r>
        <w:t>In the new MULO+ universe, white</w:t>
      </w:r>
      <w:r w:rsidR="00810052">
        <w:t xml:space="preserve"> mushrooms represented slightly </w:t>
      </w:r>
      <w:r w:rsidR="00D24514">
        <w:t>less</w:t>
      </w:r>
      <w:r>
        <w:t xml:space="preserve"> than half of</w:t>
      </w:r>
      <w:r w:rsidR="00105C56">
        <w:t xml:space="preserve"> the dollars, at </w:t>
      </w:r>
      <w:r w:rsidR="00D24514">
        <w:t>49.0</w:t>
      </w:r>
      <w:r>
        <w:t>% of total</w:t>
      </w:r>
      <w:r w:rsidR="00105C56">
        <w:t xml:space="preserve"> mushroom dollar sales, yet </w:t>
      </w:r>
      <w:r w:rsidR="00D24514">
        <w:t>55.9</w:t>
      </w:r>
      <w:r>
        <w:t xml:space="preserve">% of pounds due to a lower price per pound </w:t>
      </w:r>
      <w:r w:rsidR="0064102A">
        <w:t xml:space="preserve">versus </w:t>
      </w:r>
      <w:r>
        <w:t xml:space="preserve">other varieties. </w:t>
      </w:r>
      <w:r w:rsidR="00CC4137">
        <w:t>White mushroom dollar s</w:t>
      </w:r>
      <w:r w:rsidR="00865920">
        <w:t>ales were down -</w:t>
      </w:r>
      <w:r w:rsidR="00D24514">
        <w:t>2.3</w:t>
      </w:r>
      <w:r w:rsidR="00CC4137">
        <w:t>% during the four-week period, roughly the s</w:t>
      </w:r>
      <w:r w:rsidR="00865920">
        <w:t>ame as the pound decline of -</w:t>
      </w:r>
      <w:r w:rsidR="00D24514">
        <w:t>2.3</w:t>
      </w:r>
      <w:r w:rsidR="00CC4137">
        <w:t>%.</w:t>
      </w:r>
    </w:p>
    <w:p w14:paraId="685C8780" w14:textId="77777777" w:rsidR="00CC4137" w:rsidRDefault="00CC4137" w:rsidP="001B68E6">
      <w:pPr>
        <w:pStyle w:val="NoSpacing"/>
      </w:pPr>
    </w:p>
    <w:p w14:paraId="1EA6211B" w14:textId="2C534D71" w:rsidR="00CC4137" w:rsidRDefault="00CC4137" w:rsidP="001B68E6">
      <w:pPr>
        <w:pStyle w:val="NoSpacing"/>
      </w:pPr>
      <w:r>
        <w:t xml:space="preserve">Crimini mushroom sales had </w:t>
      </w:r>
      <w:r w:rsidR="001B68E6">
        <w:t>a</w:t>
      </w:r>
      <w:r>
        <w:t xml:space="preserve"> better year-on-year volume performance</w:t>
      </w:r>
      <w:r w:rsidR="001B68E6">
        <w:t>. While sales grew the prior quad-week period, the four weeks ending October 6</w:t>
      </w:r>
      <w:r w:rsidR="001B68E6" w:rsidRPr="001B68E6">
        <w:rPr>
          <w:vertAlign w:val="superscript"/>
        </w:rPr>
        <w:t>th</w:t>
      </w:r>
      <w:r w:rsidR="001B68E6">
        <w:t xml:space="preserve"> did see declines in dollars and pounds but the decreases were far milder than those seen in white mushrooms.</w:t>
      </w:r>
      <w:r w:rsidR="00865920">
        <w:t xml:space="preserve"> Specialty mushrooms reflect </w:t>
      </w:r>
      <w:r w:rsidR="001B68E6">
        <w:t>7.9</w:t>
      </w:r>
      <w:r>
        <w:t xml:space="preserve">% of sales in the expanded MULO+ universe. Dollar </w:t>
      </w:r>
      <w:r w:rsidR="00865920">
        <w:t>(+</w:t>
      </w:r>
      <w:r w:rsidR="00262603">
        <w:t>23.4</w:t>
      </w:r>
      <w:r w:rsidR="00D3797F">
        <w:t xml:space="preserve">%) </w:t>
      </w:r>
      <w:r>
        <w:t>and volume</w:t>
      </w:r>
      <w:r w:rsidR="00865920">
        <w:t xml:space="preserve"> (+</w:t>
      </w:r>
      <w:r w:rsidR="00262603">
        <w:t>21.4</w:t>
      </w:r>
      <w:r w:rsidR="00D3797F">
        <w:t>%)</w:t>
      </w:r>
      <w:r>
        <w:t xml:space="preserve"> sales increased substantially year-on-year.</w:t>
      </w:r>
    </w:p>
    <w:p w14:paraId="18F23348" w14:textId="77777777" w:rsidR="00CC4137" w:rsidRDefault="00CC4137" w:rsidP="001B68E6">
      <w:pPr>
        <w:pStyle w:val="NoSpacing"/>
      </w:pPr>
    </w:p>
    <w:tbl>
      <w:tblPr>
        <w:tblStyle w:val="ListTable3-Accent3"/>
        <w:tblW w:w="10615" w:type="dxa"/>
        <w:tblLayout w:type="fixed"/>
        <w:tblLook w:val="0400" w:firstRow="0" w:lastRow="0" w:firstColumn="0" w:lastColumn="0" w:noHBand="0" w:noVBand="1"/>
      </w:tblPr>
      <w:tblGrid>
        <w:gridCol w:w="2547"/>
        <w:gridCol w:w="1168"/>
        <w:gridCol w:w="882"/>
        <w:gridCol w:w="991"/>
        <w:gridCol w:w="972"/>
        <w:gridCol w:w="927"/>
        <w:gridCol w:w="1117"/>
        <w:gridCol w:w="1047"/>
        <w:gridCol w:w="964"/>
      </w:tblGrid>
      <w:tr w:rsidR="00E25C6B" w:rsidRPr="00B25DFD" w14:paraId="06A52115" w14:textId="77777777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shd w:val="clear" w:color="auto" w:fill="800000"/>
            <w:hideMark/>
          </w:tcPr>
          <w:p w14:paraId="60C8BF6E" w14:textId="67DDECDB" w:rsidR="00E25C6B" w:rsidRPr="006A7A6E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865920">
              <w:rPr>
                <w:rFonts w:cstheme="minorHAnsi"/>
                <w:b/>
                <w:bCs/>
                <w:color w:val="FFFFFF" w:themeColor="background1"/>
              </w:rPr>
              <w:t>10/6</w:t>
            </w:r>
            <w:r>
              <w:rPr>
                <w:rFonts w:cstheme="minorHAnsi"/>
                <w:b/>
                <w:bCs/>
                <w:color w:val="FFFFFF" w:themeColor="background1"/>
              </w:rPr>
              <w:t>/2024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>
              <w:rPr>
                <w:rFonts w:cstheme="minorHAnsi"/>
                <w:b/>
                <w:bCs/>
                <w:color w:val="FFFFFF" w:themeColor="background1"/>
              </w:rPr>
              <w:t>YA</w:t>
            </w:r>
          </w:p>
        </w:tc>
        <w:tc>
          <w:tcPr>
            <w:tcW w:w="972" w:type="dxa"/>
            <w:shd w:val="clear" w:color="auto" w:fill="800000"/>
            <w:hideMark/>
          </w:tcPr>
          <w:p w14:paraId="6A0D386A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>
              <w:rPr>
                <w:rFonts w:cstheme="minorHAnsi"/>
                <w:b/>
                <w:bCs/>
                <w:color w:val="FFFFFF" w:themeColor="background1"/>
              </w:rPr>
              <w:t>3YA</w:t>
            </w:r>
          </w:p>
        </w:tc>
        <w:tc>
          <w:tcPr>
            <w:tcW w:w="927" w:type="dxa"/>
            <w:shd w:val="clear" w:color="auto" w:fill="800000"/>
          </w:tcPr>
          <w:p w14:paraId="183A24AF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1117" w:type="dxa"/>
            <w:shd w:val="clear" w:color="auto" w:fill="800000"/>
          </w:tcPr>
          <w:p w14:paraId="099E0FD1" w14:textId="77777777" w:rsidR="00E25C6B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0FD167EC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47" w:type="dxa"/>
            <w:shd w:val="clear" w:color="auto" w:fill="800000"/>
          </w:tcPr>
          <w:p w14:paraId="6F8C758A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>
              <w:rPr>
                <w:rFonts w:cstheme="minorHAnsi"/>
                <w:b/>
                <w:bCs/>
                <w:color w:val="FFFFFF" w:themeColor="background1"/>
              </w:rPr>
              <w:t>YA</w:t>
            </w:r>
          </w:p>
        </w:tc>
        <w:tc>
          <w:tcPr>
            <w:tcW w:w="964" w:type="dxa"/>
            <w:shd w:val="clear" w:color="auto" w:fill="800000"/>
          </w:tcPr>
          <w:p w14:paraId="7A8620CC" w14:textId="77777777" w:rsidR="00E25C6B" w:rsidRPr="006A7A6E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>
              <w:rPr>
                <w:rFonts w:cstheme="minorHAnsi"/>
                <w:b/>
                <w:bCs/>
                <w:color w:val="FFFFFF" w:themeColor="background1"/>
              </w:rPr>
              <w:t>3YA</w:t>
            </w:r>
          </w:p>
        </w:tc>
      </w:tr>
      <w:tr w:rsidR="008B59F7" w:rsidRPr="00B25DFD" w14:paraId="6060B2B6" w14:textId="77777777" w:rsidTr="00D3797F">
        <w:trPr>
          <w:trHeight w:val="20"/>
        </w:trPr>
        <w:tc>
          <w:tcPr>
            <w:tcW w:w="2547" w:type="dxa"/>
            <w:hideMark/>
          </w:tcPr>
          <w:p w14:paraId="07F2D68F" w14:textId="77777777" w:rsidR="008B59F7" w:rsidRPr="00245EFD" w:rsidRDefault="008B59F7" w:rsidP="008B59F7">
            <w:pPr>
              <w:rPr>
                <w:rFonts w:cstheme="minorHAnsi"/>
                <w:b/>
                <w:bCs/>
              </w:rPr>
            </w:pPr>
            <w:r w:rsidRPr="00245EFD">
              <w:rPr>
                <w:rFonts w:eastAsia="Calibri" w:cstheme="minorHAns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1168" w:type="dxa"/>
            <w:hideMark/>
          </w:tcPr>
          <w:p w14:paraId="0A1DDAB5" w14:textId="76163AA5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$</w:t>
            </w:r>
            <w:r w:rsidR="00865920">
              <w:rPr>
                <w:rFonts w:cstheme="minorHAnsi"/>
              </w:rPr>
              <w:t>110.8</w:t>
            </w:r>
            <w:r w:rsidRPr="00245EFD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365C126B" w14:textId="767255F7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/>
              </w:rPr>
              <w:t>100</w:t>
            </w:r>
            <w:r w:rsidRPr="00245EFD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1" w:type="dxa"/>
            <w:hideMark/>
          </w:tcPr>
          <w:p w14:paraId="053B6359" w14:textId="309AA74D" w:rsidR="008B59F7" w:rsidRPr="00245EFD" w:rsidRDefault="008B59F7" w:rsidP="0086592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-</w:t>
            </w:r>
            <w:r w:rsidR="00865920">
              <w:rPr>
                <w:rFonts w:cstheme="minorHAnsi"/>
              </w:rPr>
              <w:t>0.5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72" w:type="dxa"/>
            <w:hideMark/>
          </w:tcPr>
          <w:p w14:paraId="525F03F4" w14:textId="1C61EA9E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-</w:t>
            </w:r>
            <w:r w:rsidR="00865920">
              <w:rPr>
                <w:rFonts w:cstheme="minorHAnsi"/>
              </w:rPr>
              <w:t>3.4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27" w:type="dxa"/>
          </w:tcPr>
          <w:p w14:paraId="22279171" w14:textId="47C6D528" w:rsidR="008B59F7" w:rsidRPr="00245EFD" w:rsidRDefault="00865920" w:rsidP="008B59F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24.3</w:t>
            </w:r>
            <w:r w:rsidR="008B59F7" w:rsidRPr="00C92147">
              <w:rPr>
                <w:rFonts w:cstheme="minorHAnsi"/>
              </w:rPr>
              <w:t>M</w:t>
            </w:r>
          </w:p>
        </w:tc>
        <w:tc>
          <w:tcPr>
            <w:tcW w:w="1117" w:type="dxa"/>
          </w:tcPr>
          <w:p w14:paraId="630361CF" w14:textId="2DC4378C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/>
              </w:rPr>
              <w:t>100</w:t>
            </w:r>
            <w:r w:rsidRPr="00245EFD">
              <w:rPr>
                <w:rFonts w:cstheme="minorHAnsi"/>
                <w:color w:val="000000"/>
              </w:rPr>
              <w:t>%</w:t>
            </w:r>
          </w:p>
        </w:tc>
        <w:tc>
          <w:tcPr>
            <w:tcW w:w="1047" w:type="dxa"/>
          </w:tcPr>
          <w:p w14:paraId="13CC202A" w14:textId="083F77AA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-</w:t>
            </w:r>
            <w:r w:rsidR="00865920">
              <w:rPr>
                <w:rFonts w:cstheme="minorHAnsi"/>
              </w:rPr>
              <w:t>1.7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64" w:type="dxa"/>
          </w:tcPr>
          <w:p w14:paraId="18FA9632" w14:textId="51E0C724" w:rsidR="008B59F7" w:rsidRPr="00245EFD" w:rsidRDefault="008B59F7" w:rsidP="008B59F7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-</w:t>
            </w:r>
            <w:r w:rsidR="00865920">
              <w:rPr>
                <w:rFonts w:cstheme="minorHAnsi"/>
              </w:rPr>
              <w:t>10.0</w:t>
            </w:r>
            <w:r w:rsidRPr="00245EFD">
              <w:rPr>
                <w:rFonts w:cstheme="minorHAnsi"/>
              </w:rPr>
              <w:t>%</w:t>
            </w:r>
          </w:p>
        </w:tc>
      </w:tr>
      <w:tr w:rsidR="00865920" w:rsidRPr="00B25DFD" w14:paraId="145D73B9" w14:textId="77777777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hideMark/>
          </w:tcPr>
          <w:p w14:paraId="78B4D2F2" w14:textId="77777777" w:rsidR="00865920" w:rsidRPr="00245EFD" w:rsidRDefault="00865920" w:rsidP="00865920">
            <w:pPr>
              <w:rPr>
                <w:rFonts w:cstheme="minorHAnsi"/>
              </w:rPr>
            </w:pPr>
            <w:r w:rsidRPr="00245EFD">
              <w:rPr>
                <w:rFonts w:eastAsia="Calibri" w:cstheme="minorHAnsi"/>
                <w:color w:val="000000" w:themeColor="text1"/>
                <w:kern w:val="24"/>
              </w:rPr>
              <w:t>White mushrooms</w:t>
            </w:r>
          </w:p>
        </w:tc>
        <w:tc>
          <w:tcPr>
            <w:tcW w:w="1168" w:type="dxa"/>
            <w:hideMark/>
          </w:tcPr>
          <w:p w14:paraId="4C0D7E28" w14:textId="48789744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 w:rsidRPr="00A408A4">
              <w:rPr>
                <w:rFonts w:cstheme="minorHAnsi"/>
              </w:rPr>
              <w:t>$</w:t>
            </w:r>
            <w:r>
              <w:rPr>
                <w:rFonts w:cstheme="minorHAnsi"/>
              </w:rPr>
              <w:t>54.3</w:t>
            </w:r>
            <w:r w:rsidRPr="00A408A4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3CADA244" w14:textId="751B8F25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49.0</w:t>
            </w:r>
            <w:r w:rsidRPr="00245EFD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1" w:type="dxa"/>
            <w:hideMark/>
          </w:tcPr>
          <w:p w14:paraId="6C36ED75" w14:textId="476C6494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-2.3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72" w:type="dxa"/>
            <w:hideMark/>
          </w:tcPr>
          <w:p w14:paraId="12408AC8" w14:textId="36179DF0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-8.2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27" w:type="dxa"/>
          </w:tcPr>
          <w:p w14:paraId="5118D613" w14:textId="0DCD88CD" w:rsidR="00865920" w:rsidRPr="00245EFD" w:rsidRDefault="00865920" w:rsidP="0086592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13.6</w:t>
            </w:r>
            <w:r w:rsidRPr="00C92147">
              <w:rPr>
                <w:rFonts w:cstheme="minorHAnsi"/>
              </w:rPr>
              <w:t>M</w:t>
            </w:r>
          </w:p>
        </w:tc>
        <w:tc>
          <w:tcPr>
            <w:tcW w:w="1117" w:type="dxa"/>
          </w:tcPr>
          <w:p w14:paraId="40D97251" w14:textId="762591A5" w:rsidR="00865920" w:rsidRPr="00245EFD" w:rsidRDefault="00865920" w:rsidP="00865920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55.9</w:t>
            </w:r>
            <w:r w:rsidRPr="002668E1">
              <w:rPr>
                <w:rFonts w:cstheme="minorHAnsi"/>
                <w:color w:val="000000"/>
              </w:rPr>
              <w:t>%</w:t>
            </w:r>
          </w:p>
        </w:tc>
        <w:tc>
          <w:tcPr>
            <w:tcW w:w="1047" w:type="dxa"/>
          </w:tcPr>
          <w:p w14:paraId="710357FA" w14:textId="57C8CBDD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-2.3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64" w:type="dxa"/>
          </w:tcPr>
          <w:p w14:paraId="285307C2" w14:textId="60D25271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-14.2</w:t>
            </w:r>
            <w:r w:rsidRPr="00245EFD">
              <w:rPr>
                <w:rFonts w:cstheme="minorHAnsi"/>
              </w:rPr>
              <w:t>%</w:t>
            </w:r>
          </w:p>
        </w:tc>
      </w:tr>
      <w:tr w:rsidR="00865920" w:rsidRPr="00B25DFD" w14:paraId="57FEBDF7" w14:textId="77777777" w:rsidTr="00D3797F">
        <w:trPr>
          <w:trHeight w:val="20"/>
        </w:trPr>
        <w:tc>
          <w:tcPr>
            <w:tcW w:w="2547" w:type="dxa"/>
            <w:hideMark/>
          </w:tcPr>
          <w:p w14:paraId="602D364E" w14:textId="77777777" w:rsidR="00865920" w:rsidRPr="00245EFD" w:rsidRDefault="00865920" w:rsidP="00865920">
            <w:pPr>
              <w:rPr>
                <w:rFonts w:cstheme="minorHAnsi"/>
              </w:rPr>
            </w:pPr>
            <w:r w:rsidRPr="00245EFD">
              <w:rPr>
                <w:rFonts w:eastAsia="Calibri" w:cstheme="minorHAnsi"/>
                <w:color w:val="000000" w:themeColor="text1"/>
                <w:kern w:val="24"/>
              </w:rPr>
              <w:lastRenderedPageBreak/>
              <w:t>Crimini mushrooms</w:t>
            </w:r>
          </w:p>
        </w:tc>
        <w:tc>
          <w:tcPr>
            <w:tcW w:w="1168" w:type="dxa"/>
            <w:hideMark/>
          </w:tcPr>
          <w:p w14:paraId="41892DB8" w14:textId="0BCC8DB7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 w:rsidRPr="00A408A4">
              <w:rPr>
                <w:rFonts w:cstheme="minorHAnsi"/>
              </w:rPr>
              <w:t>$</w:t>
            </w:r>
            <w:r>
              <w:rPr>
                <w:rFonts w:cstheme="minorHAnsi"/>
              </w:rPr>
              <w:t>39.4</w:t>
            </w:r>
            <w:r w:rsidRPr="00A408A4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46ABCE73" w14:textId="5CDCF9BC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35.6</w:t>
            </w:r>
            <w:r w:rsidRPr="00245EFD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1" w:type="dxa"/>
            <w:hideMark/>
          </w:tcPr>
          <w:p w14:paraId="481BED1D" w14:textId="060883C8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-0.8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72" w:type="dxa"/>
            <w:hideMark/>
          </w:tcPr>
          <w:p w14:paraId="72645B7B" w14:textId="063940B9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+6.2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27" w:type="dxa"/>
          </w:tcPr>
          <w:p w14:paraId="0F1677BF" w14:textId="5695FBEB" w:rsidR="00865920" w:rsidRPr="00245EFD" w:rsidRDefault="00865920" w:rsidP="0086592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8.5</w:t>
            </w:r>
            <w:r w:rsidRPr="00C92147">
              <w:rPr>
                <w:rFonts w:cstheme="minorHAnsi"/>
              </w:rPr>
              <w:t>M</w:t>
            </w:r>
          </w:p>
        </w:tc>
        <w:tc>
          <w:tcPr>
            <w:tcW w:w="1117" w:type="dxa"/>
          </w:tcPr>
          <w:p w14:paraId="6BFC89D0" w14:textId="1041381C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35.1</w:t>
            </w:r>
            <w:r w:rsidRPr="002668E1">
              <w:rPr>
                <w:rFonts w:cstheme="minorHAnsi"/>
                <w:color w:val="000000"/>
              </w:rPr>
              <w:t>%</w:t>
            </w:r>
          </w:p>
        </w:tc>
        <w:tc>
          <w:tcPr>
            <w:tcW w:w="1047" w:type="dxa"/>
          </w:tcPr>
          <w:p w14:paraId="523FEFF1" w14:textId="3F169B56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-1.4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64" w:type="dxa"/>
          </w:tcPr>
          <w:p w14:paraId="79E4C24B" w14:textId="2F03F4D9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+0.5</w:t>
            </w:r>
            <w:r w:rsidRPr="00245EFD">
              <w:rPr>
                <w:rFonts w:cstheme="minorHAnsi"/>
              </w:rPr>
              <w:t>%</w:t>
            </w:r>
          </w:p>
        </w:tc>
      </w:tr>
      <w:tr w:rsidR="00865920" w:rsidRPr="00B25DFD" w14:paraId="7E4A2AE4" w14:textId="77777777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hideMark/>
          </w:tcPr>
          <w:p w14:paraId="62CA9D59" w14:textId="77777777" w:rsidR="00865920" w:rsidRPr="00245EFD" w:rsidRDefault="00865920" w:rsidP="00865920">
            <w:pPr>
              <w:rPr>
                <w:rFonts w:cstheme="minorHAnsi"/>
              </w:rPr>
            </w:pPr>
            <w:r w:rsidRPr="00245EFD">
              <w:rPr>
                <w:rFonts w:eastAsia="Calibri" w:cstheme="minorHAns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1168" w:type="dxa"/>
            <w:hideMark/>
          </w:tcPr>
          <w:p w14:paraId="12033966" w14:textId="1319ADCA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 w:rsidRPr="00A408A4">
              <w:rPr>
                <w:rFonts w:cstheme="minorHAnsi"/>
              </w:rPr>
              <w:t>$</w:t>
            </w:r>
            <w:r>
              <w:rPr>
                <w:rFonts w:cstheme="minorHAnsi"/>
              </w:rPr>
              <w:t>8.8</w:t>
            </w:r>
            <w:r w:rsidRPr="00A408A4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20BDBE45" w14:textId="0A6BAF62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7.9</w:t>
            </w:r>
            <w:r w:rsidRPr="00245EFD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1" w:type="dxa"/>
            <w:hideMark/>
          </w:tcPr>
          <w:p w14:paraId="2A392A18" w14:textId="75772057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+23.4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72" w:type="dxa"/>
            <w:hideMark/>
          </w:tcPr>
          <w:p w14:paraId="6E10AA11" w14:textId="513B30BA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+22.9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27" w:type="dxa"/>
          </w:tcPr>
          <w:p w14:paraId="105935BB" w14:textId="6E3C395C" w:rsidR="00865920" w:rsidRPr="00245EFD" w:rsidRDefault="00865920" w:rsidP="0086592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  <w:r w:rsidRPr="00C92147">
              <w:rPr>
                <w:rFonts w:cstheme="minorHAnsi"/>
              </w:rPr>
              <w:t>M</w:t>
            </w:r>
          </w:p>
        </w:tc>
        <w:tc>
          <w:tcPr>
            <w:tcW w:w="1117" w:type="dxa"/>
          </w:tcPr>
          <w:p w14:paraId="496EFB9C" w14:textId="033B5CE9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2.5</w:t>
            </w:r>
            <w:r w:rsidRPr="002668E1">
              <w:rPr>
                <w:rFonts w:cstheme="minorHAnsi"/>
                <w:color w:val="000000"/>
              </w:rPr>
              <w:t>%</w:t>
            </w:r>
          </w:p>
        </w:tc>
        <w:tc>
          <w:tcPr>
            <w:tcW w:w="1047" w:type="dxa"/>
          </w:tcPr>
          <w:p w14:paraId="41B75DBF" w14:textId="28B253E4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+21.4</w:t>
            </w:r>
            <w:r w:rsidRPr="00245EFD">
              <w:rPr>
                <w:rFonts w:cstheme="minorHAnsi"/>
              </w:rPr>
              <w:t>%</w:t>
            </w:r>
          </w:p>
        </w:tc>
        <w:tc>
          <w:tcPr>
            <w:tcW w:w="964" w:type="dxa"/>
          </w:tcPr>
          <w:p w14:paraId="32944C91" w14:textId="7CF29B01" w:rsidR="00865920" w:rsidRPr="00245EFD" w:rsidRDefault="00865920" w:rsidP="0086592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+11.2</w:t>
            </w:r>
            <w:r w:rsidRPr="00245EFD">
              <w:rPr>
                <w:rFonts w:cstheme="minorHAnsi"/>
              </w:rPr>
              <w:t>%</w:t>
            </w:r>
          </w:p>
        </w:tc>
      </w:tr>
    </w:tbl>
    <w:bookmarkEnd w:id="0"/>
    <w:p w14:paraId="7E5C7352" w14:textId="3ADA425D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65920">
        <w:rPr>
          <w:color w:val="7F7F7F" w:themeColor="text1" w:themeTint="80"/>
          <w:sz w:val="16"/>
          <w:szCs w:val="16"/>
        </w:rPr>
        <w:t>10/6</w:t>
      </w:r>
      <w:r>
        <w:rPr>
          <w:color w:val="7F7F7F" w:themeColor="text1" w:themeTint="80"/>
          <w:sz w:val="16"/>
          <w:szCs w:val="16"/>
        </w:rPr>
        <w:t>/2024</w:t>
      </w:r>
    </w:p>
    <w:p w14:paraId="47E14816" w14:textId="77777777" w:rsidR="00E25C6B" w:rsidRDefault="00E25C6B" w:rsidP="005E7FB2">
      <w:pPr>
        <w:pStyle w:val="NoSpacing"/>
      </w:pPr>
    </w:p>
    <w:p w14:paraId="14458122" w14:textId="09E2A23B" w:rsidR="000E0D6B" w:rsidRDefault="00D3797F" w:rsidP="005E7FB2">
      <w:pPr>
        <w:pStyle w:val="NoSpacing"/>
      </w:pPr>
      <w:r>
        <w:t xml:space="preserve">Reflecting typical quad-week </w:t>
      </w:r>
      <w:r w:rsidR="001B68E6">
        <w:t xml:space="preserve">10 </w:t>
      </w:r>
      <w:r>
        <w:t xml:space="preserve">patterns, volume sales </w:t>
      </w:r>
      <w:r w:rsidR="001B68E6">
        <w:t xml:space="preserve">gained steam </w:t>
      </w:r>
      <w:r>
        <w:t xml:space="preserve">in the four weeks ending </w:t>
      </w:r>
      <w:r w:rsidR="00865920">
        <w:t>October 6</w:t>
      </w:r>
      <w:r w:rsidRPr="00D3797F">
        <w:rPr>
          <w:vertAlign w:val="superscript"/>
        </w:rPr>
        <w:t>th</w:t>
      </w:r>
      <w:r w:rsidR="00865920">
        <w:t>, 2024. At +0.7</w:t>
      </w:r>
      <w:r>
        <w:t xml:space="preserve">%, the increase versus the prior quad-week was similar to the growth seen in 2019. Mushroom volume sales typically gear up between now and January </w:t>
      </w:r>
      <w:r w:rsidR="005E7FB2">
        <w:t>(see forecasting tab</w:t>
      </w:r>
      <w:r>
        <w:t xml:space="preserve"> in the data spreadsheet for more information</w:t>
      </w:r>
      <w:r w:rsidR="005E7FB2">
        <w:t>)</w:t>
      </w:r>
      <w:r w:rsidR="00E72D31">
        <w:t>.</w:t>
      </w:r>
    </w:p>
    <w:p w14:paraId="2BFEB89E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5E7FB2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D379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D379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D379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E4705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86592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5E7FB2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105C56" w:rsidRPr="005E7FB2" w14:paraId="02AC87C2" w14:textId="77777777" w:rsidTr="00865920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105C56" w:rsidRPr="0022081A" w:rsidRDefault="00105C56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8B9A064" w14:textId="63C77521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AC127A" w14:textId="5996A06C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574D8BED" w:rsidR="00105C56" w:rsidRPr="00105C56" w:rsidRDefault="00105C56" w:rsidP="00105C5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-0,6%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105C56" w:rsidRPr="0022081A" w:rsidRDefault="00E4705F" w:rsidP="00E4705F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105C56" w:rsidRPr="0022081A" w:rsidRDefault="00865920" w:rsidP="0086592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84F4" w14:textId="77777777" w:rsidR="00105C56" w:rsidRPr="0022081A" w:rsidRDefault="00105C56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7FAD" w14:textId="77777777" w:rsidR="00105C56" w:rsidRPr="0022081A" w:rsidRDefault="00105C56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D37" w14:textId="77777777" w:rsidR="00105C56" w:rsidRPr="005E7FB2" w:rsidRDefault="00105C56" w:rsidP="0022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5F384E3C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2017-2024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22C6915F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AD75ED">
        <w:t>in</w:t>
      </w:r>
      <w:r w:rsidR="00157136">
        <w:t>creased</w:t>
      </w:r>
      <w:r w:rsidR="00024D78">
        <w:t xml:space="preserve"> </w:t>
      </w:r>
      <w:r w:rsidR="00AD75ED">
        <w:t xml:space="preserve">slightly </w:t>
      </w:r>
      <w:r w:rsidR="00024D78">
        <w:t>over the</w:t>
      </w:r>
      <w:r w:rsidR="00AD75ED">
        <w:t xml:space="preserve"> past four weeks</w:t>
      </w:r>
      <w:r w:rsidR="00157136">
        <w:t>, both on a per unit and per pound basis</w:t>
      </w:r>
      <w:r w:rsidR="006A1766">
        <w:t xml:space="preserve">. </w:t>
      </w:r>
      <w:r w:rsidR="00024D78">
        <w:t xml:space="preserve">During the </w:t>
      </w:r>
      <w:r w:rsidR="00AD75ED">
        <w:t>full year,</w:t>
      </w:r>
      <w:r w:rsidR="00024D78">
        <w:t xml:space="preserve"> prices were mostly flat.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304"/>
        <w:gridCol w:w="1146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gridSpan w:val="2"/>
            <w:shd w:val="clear" w:color="auto" w:fill="800000"/>
          </w:tcPr>
          <w:p w14:paraId="5EC6EFF0" w14:textId="04ED15DE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shd w:val="clear" w:color="auto" w:fill="800000"/>
          </w:tcPr>
          <w:p w14:paraId="6A5B944C" w14:textId="60A56200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865920" w14:paraId="2B35BE12" w14:textId="0A6FF303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5B4CB702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698FC5C9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24514">
              <w:t>3.04</w:t>
            </w:r>
          </w:p>
        </w:tc>
        <w:tc>
          <w:tcPr>
            <w:tcW w:w="973" w:type="dxa"/>
          </w:tcPr>
          <w:p w14:paraId="3E0967AB" w14:textId="3A885F51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D43">
              <w:t>+</w:t>
            </w:r>
            <w:r w:rsidR="00D24514">
              <w:t>2.3</w:t>
            </w:r>
            <w:r w:rsidRPr="007E7D43">
              <w:t>%</w:t>
            </w:r>
          </w:p>
        </w:tc>
        <w:tc>
          <w:tcPr>
            <w:tcW w:w="909" w:type="dxa"/>
          </w:tcPr>
          <w:p w14:paraId="09DAD54E" w14:textId="167C5CBA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D43">
              <w:t>+</w:t>
            </w:r>
            <w:r w:rsidR="00D24514">
              <w:t>0.8</w:t>
            </w:r>
            <w:r w:rsidRPr="007E7D43">
              <w:t>%</w:t>
            </w:r>
          </w:p>
        </w:tc>
        <w:tc>
          <w:tcPr>
            <w:tcW w:w="1776" w:type="dxa"/>
          </w:tcPr>
          <w:p w14:paraId="03CA719E" w14:textId="0EFF443E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24514">
              <w:t>3.03</w:t>
            </w:r>
          </w:p>
        </w:tc>
        <w:tc>
          <w:tcPr>
            <w:tcW w:w="817" w:type="dxa"/>
          </w:tcPr>
          <w:p w14:paraId="08755E5E" w14:textId="4991D261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0.6</w:t>
            </w:r>
            <w:r w:rsidRPr="00636D0A">
              <w:t>%</w:t>
            </w:r>
          </w:p>
        </w:tc>
        <w:tc>
          <w:tcPr>
            <w:tcW w:w="1275" w:type="dxa"/>
          </w:tcPr>
          <w:p w14:paraId="19B1F6D2" w14:textId="40C2E7A8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4.0</w:t>
            </w:r>
            <w:r w:rsidRPr="00636D0A">
              <w:t>%</w:t>
            </w:r>
          </w:p>
        </w:tc>
      </w:tr>
      <w:tr w:rsidR="00865920" w14:paraId="7C18640F" w14:textId="5B569261" w:rsidTr="00D37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47C97CE0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21CE2BFF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4.56</w:t>
            </w:r>
          </w:p>
        </w:tc>
        <w:tc>
          <w:tcPr>
            <w:tcW w:w="973" w:type="dxa"/>
          </w:tcPr>
          <w:p w14:paraId="7E986169" w14:textId="13F0E4A7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D43">
              <w:t>+</w:t>
            </w:r>
            <w:r w:rsidR="00D24514">
              <w:t>1.3</w:t>
            </w:r>
            <w:r w:rsidRPr="007E7D43">
              <w:t>%</w:t>
            </w:r>
          </w:p>
        </w:tc>
        <w:tc>
          <w:tcPr>
            <w:tcW w:w="909" w:type="dxa"/>
          </w:tcPr>
          <w:p w14:paraId="36DDF54D" w14:textId="79869F28" w:rsidR="00865920" w:rsidRDefault="00D24514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-0.1</w:t>
            </w:r>
            <w:r w:rsidR="00865920" w:rsidRPr="007E7D43">
              <w:t>%</w:t>
            </w:r>
          </w:p>
        </w:tc>
        <w:tc>
          <w:tcPr>
            <w:tcW w:w="1776" w:type="dxa"/>
          </w:tcPr>
          <w:p w14:paraId="233A8701" w14:textId="4EC05CB7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4.55</w:t>
            </w:r>
          </w:p>
        </w:tc>
        <w:tc>
          <w:tcPr>
            <w:tcW w:w="817" w:type="dxa"/>
          </w:tcPr>
          <w:p w14:paraId="1759FD32" w14:textId="015C7E78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0.6</w:t>
            </w:r>
            <w:r w:rsidRPr="00636D0A">
              <w:t>%</w:t>
            </w:r>
          </w:p>
        </w:tc>
        <w:tc>
          <w:tcPr>
            <w:tcW w:w="1275" w:type="dxa"/>
          </w:tcPr>
          <w:p w14:paraId="725313BE" w14:textId="6DD7B637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3.5</w:t>
            </w:r>
            <w:r w:rsidRPr="00636D0A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092808E9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E82F6A">
        <w:t>18.4</w:t>
      </w:r>
      <w:r>
        <w:t xml:space="preserve">% of total dollars during the quad week, </w:t>
      </w:r>
      <w:r w:rsidR="002952B2">
        <w:t xml:space="preserve">about the same as the </w:t>
      </w:r>
      <w:r>
        <w:t>annual average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  <w:shd w:val="clear" w:color="auto" w:fill="800000"/>
          </w:tcPr>
          <w:p w14:paraId="6A0500B8" w14:textId="72DCB2C5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1369" w:type="dxa"/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shd w:val="clear" w:color="auto" w:fill="800000"/>
          </w:tcPr>
          <w:p w14:paraId="413A4F70" w14:textId="366E25EB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865920">
              <w:t>10/6</w:t>
            </w:r>
            <w:r w:rsidR="00D15B2D">
              <w:t>/2024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</w:tcPr>
          <w:p w14:paraId="6D5E5F03" w14:textId="685E2219" w:rsidR="00D15B2D" w:rsidRPr="00D15B2D" w:rsidRDefault="00567EE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18.4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586FECBD" w14:textId="63AE80AD" w:rsidR="00D15B2D" w:rsidRPr="00D15B2D" w:rsidRDefault="00743D95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567EE0">
              <w:rPr>
                <w:rFonts w:ascii="Calibri" w:eastAsia="Calibri" w:hAnsi="Calibri"/>
                <w:kern w:val="24"/>
              </w:rPr>
              <w:t>3.6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</w:tcPr>
          <w:p w14:paraId="66CD7DD9" w14:textId="0C07C815" w:rsidR="00D15B2D" w:rsidRPr="00D15B2D" w:rsidRDefault="00567EE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17.9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33B0F4C9" w:rsidR="00D15B2D" w:rsidRPr="00D15B2D" w:rsidRDefault="00FA053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567EE0">
              <w:rPr>
                <w:rFonts w:ascii="Calibri" w:eastAsia="Calibri" w:hAnsi="Calibri"/>
                <w:kern w:val="24"/>
              </w:rPr>
              <w:t>9.2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4417233C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65920">
        <w:rPr>
          <w:color w:val="7F7F7F" w:themeColor="text1" w:themeTint="80"/>
          <w:sz w:val="16"/>
          <w:szCs w:val="16"/>
        </w:rPr>
        <w:t>10/6</w:t>
      </w:r>
      <w:r w:rsidR="00D15B2D">
        <w:rPr>
          <w:color w:val="7F7F7F" w:themeColor="text1" w:themeTint="80"/>
          <w:sz w:val="16"/>
          <w:szCs w:val="16"/>
        </w:rPr>
        <w:t>/2024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0576598F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691846">
        <w:rPr>
          <w:color w:val="000000" w:themeColor="text1"/>
        </w:rPr>
        <w:t>738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691846">
        <w:rPr>
          <w:color w:val="000000" w:themeColor="text1"/>
        </w:rPr>
        <w:t>1.6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</w:t>
      </w:r>
      <w:r w:rsidR="002952B2">
        <w:rPr>
          <w:color w:val="000000" w:themeColor="text1"/>
        </w:rPr>
        <w:t xml:space="preserve">remained ahead of </w:t>
      </w:r>
      <w:r w:rsidR="00D3797F">
        <w:rPr>
          <w:color w:val="000000" w:themeColor="text1"/>
        </w:rPr>
        <w:t xml:space="preserve">16-ounce packages in dollar and volume sales. Additionally, </w:t>
      </w:r>
      <w:r w:rsidR="00F565B7">
        <w:rPr>
          <w:color w:val="000000" w:themeColor="text1"/>
        </w:rPr>
        <w:t xml:space="preserve">24-ounce packages </w:t>
      </w:r>
      <w:r w:rsidR="00D3797F">
        <w:rPr>
          <w:color w:val="000000" w:themeColor="text1"/>
        </w:rPr>
        <w:t xml:space="preserve">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565B7">
        <w:rPr>
          <w:color w:val="000000" w:themeColor="text1"/>
        </w:rPr>
        <w:t xml:space="preserve">. </w:t>
      </w:r>
    </w:p>
    <w:p w14:paraId="39BF4FC8" w14:textId="7C96D6D5" w:rsidR="00E72D31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Pr="00E72D31">
        <w:rPr>
          <w:color w:val="000000" w:themeColor="text1"/>
        </w:rPr>
        <w:t>made up</w:t>
      </w:r>
      <w:r w:rsidR="007946B0" w:rsidRPr="00E72D31">
        <w:rPr>
          <w:color w:val="000000" w:themeColor="text1"/>
        </w:rPr>
        <w:t xml:space="preserve"> </w:t>
      </w:r>
      <w:r w:rsidR="000C7E82" w:rsidRPr="00E72D31">
        <w:rPr>
          <w:color w:val="000000" w:themeColor="text1"/>
        </w:rPr>
        <w:t xml:space="preserve">a little more than </w:t>
      </w:r>
      <w:r w:rsidR="00E82F6A">
        <w:rPr>
          <w:color w:val="000000" w:themeColor="text1"/>
        </w:rPr>
        <w:t>20.5</w:t>
      </w:r>
      <w:r w:rsidRPr="00E72D31">
        <w:rPr>
          <w:color w:val="000000" w:themeColor="text1"/>
        </w:rPr>
        <w:t xml:space="preserve">% of </w:t>
      </w:r>
      <w:r w:rsidR="00BE7EF2" w:rsidRPr="00E72D31">
        <w:rPr>
          <w:color w:val="000000" w:themeColor="text1"/>
        </w:rPr>
        <w:t>pounds</w:t>
      </w:r>
      <w:r w:rsidR="00FC3E0A">
        <w:rPr>
          <w:color w:val="000000" w:themeColor="text1"/>
        </w:rPr>
        <w:t xml:space="preserve">, which is far more than </w:t>
      </w:r>
      <w:r w:rsidR="00FC3E0A" w:rsidRPr="00FC3E0A">
        <w:t xml:space="preserve">the </w:t>
      </w:r>
      <w:r w:rsidR="00E82F6A">
        <w:t>8.3</w:t>
      </w:r>
      <w:r w:rsidR="00E72D31" w:rsidRPr="00FC3E0A">
        <w:t xml:space="preserve">% </w:t>
      </w:r>
      <w:r w:rsidR="00E72D31" w:rsidRPr="00E72D31">
        <w:rPr>
          <w:color w:val="000000" w:themeColor="text1"/>
        </w:rPr>
        <w:t>for total produce</w:t>
      </w:r>
      <w:r w:rsidR="00F565B7" w:rsidRPr="00E72D31">
        <w:rPr>
          <w:color w:val="000000" w:themeColor="text1"/>
        </w:rPr>
        <w:t>. Dollar and volume sales were up f</w:t>
      </w:r>
      <w:r w:rsidR="00FA0530" w:rsidRPr="00E72D31">
        <w:rPr>
          <w:color w:val="000000" w:themeColor="text1"/>
        </w:rPr>
        <w:t xml:space="preserve">or organic mushrooms, with a </w:t>
      </w:r>
      <w:r w:rsidR="00E82F6A">
        <w:rPr>
          <w:color w:val="000000" w:themeColor="text1"/>
        </w:rPr>
        <w:t>4.0</w:t>
      </w:r>
      <w:r w:rsidR="00F565B7" w:rsidRPr="00E72D31">
        <w:rPr>
          <w:color w:val="000000" w:themeColor="text1"/>
        </w:rPr>
        <w:t xml:space="preserve">% year-on-year increase for organic mushroom pounds. </w:t>
      </w:r>
    </w:p>
    <w:p w14:paraId="5CC8E748" w14:textId="68478A79" w:rsidR="00300A5F" w:rsidRPr="00E72D31" w:rsidRDefault="00B1142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Whole vs. sliced/diced</w:t>
      </w:r>
      <w:r w:rsidRPr="00E72D31">
        <w:rPr>
          <w:color w:val="000000" w:themeColor="text1"/>
        </w:rPr>
        <w:t xml:space="preserve">: </w:t>
      </w:r>
      <w:r w:rsidR="00D3797F">
        <w:rPr>
          <w:color w:val="000000" w:themeColor="text1"/>
        </w:rPr>
        <w:t>The performance of whole versus sliced was very similar during this quad-week.</w:t>
      </w:r>
      <w:r w:rsidR="00F565B7" w:rsidRPr="00E72D31">
        <w:rPr>
          <w:color w:val="000000" w:themeColor="text1"/>
        </w:rPr>
        <w:t xml:space="preserve"> </w:t>
      </w:r>
      <w:r w:rsidR="00195B70" w:rsidRPr="00E72D31">
        <w:rPr>
          <w:color w:val="000000" w:themeColor="text1"/>
        </w:rPr>
        <w:t xml:space="preserve">  </w:t>
      </w:r>
      <w:r w:rsidRPr="00E72D31">
        <w:rPr>
          <w:color w:val="000000" w:themeColor="text1"/>
        </w:rPr>
        <w:t xml:space="preserve"> </w:t>
      </w:r>
      <w:r w:rsidR="0009067E" w:rsidRPr="00E72D31">
        <w:rPr>
          <w:color w:val="000000" w:themeColor="text1"/>
        </w:rPr>
        <w:t xml:space="preserve"> </w:t>
      </w:r>
    </w:p>
    <w:p w14:paraId="780AB35F" w14:textId="77777777" w:rsidR="000E0D6B" w:rsidRPr="00E72D31" w:rsidRDefault="000E0D6B" w:rsidP="00C9550B">
      <w:pPr>
        <w:pStyle w:val="NoSpacing"/>
        <w:rPr>
          <w:color w:val="000000" w:themeColor="text1"/>
          <w:sz w:val="10"/>
          <w:szCs w:val="10"/>
        </w:rPr>
      </w:pPr>
    </w:p>
    <w:p w14:paraId="612B03EE" w14:textId="553F9492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865920">
        <w:rPr>
          <w:color w:val="7F7F7F" w:themeColor="text1" w:themeTint="80"/>
          <w:sz w:val="16"/>
          <w:szCs w:val="16"/>
        </w:rPr>
        <w:t>10/6</w:t>
      </w:r>
      <w:r w:rsidR="001A2890">
        <w:rPr>
          <w:color w:val="7F7F7F" w:themeColor="text1" w:themeTint="80"/>
          <w:sz w:val="16"/>
          <w:szCs w:val="16"/>
        </w:rPr>
        <w:t>/2024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1268" w14:textId="77777777" w:rsidR="003E7319" w:rsidRDefault="003E7319" w:rsidP="004E49DD">
      <w:pPr>
        <w:spacing w:after="0" w:line="240" w:lineRule="auto"/>
      </w:pPr>
      <w:r>
        <w:separator/>
      </w:r>
    </w:p>
  </w:endnote>
  <w:endnote w:type="continuationSeparator" w:id="0">
    <w:p w14:paraId="73B397D8" w14:textId="77777777" w:rsidR="003E7319" w:rsidRDefault="003E7319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8EA7" w14:textId="77777777" w:rsidR="003E7319" w:rsidRDefault="003E7319" w:rsidP="004E49DD">
      <w:pPr>
        <w:spacing w:after="0" w:line="240" w:lineRule="auto"/>
      </w:pPr>
      <w:r>
        <w:separator/>
      </w:r>
    </w:p>
  </w:footnote>
  <w:footnote w:type="continuationSeparator" w:id="0">
    <w:p w14:paraId="4488311B" w14:textId="77777777" w:rsidR="003E7319" w:rsidRDefault="003E7319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329425">
    <w:abstractNumId w:val="16"/>
  </w:num>
  <w:num w:numId="2" w16cid:durableId="644547860">
    <w:abstractNumId w:val="19"/>
  </w:num>
  <w:num w:numId="3" w16cid:durableId="1911307132">
    <w:abstractNumId w:val="22"/>
  </w:num>
  <w:num w:numId="4" w16cid:durableId="1736781181">
    <w:abstractNumId w:val="10"/>
  </w:num>
  <w:num w:numId="5" w16cid:durableId="557324384">
    <w:abstractNumId w:val="27"/>
  </w:num>
  <w:num w:numId="6" w16cid:durableId="1329746927">
    <w:abstractNumId w:val="20"/>
  </w:num>
  <w:num w:numId="7" w16cid:durableId="2062632836">
    <w:abstractNumId w:val="12"/>
  </w:num>
  <w:num w:numId="8" w16cid:durableId="1871525357">
    <w:abstractNumId w:val="8"/>
  </w:num>
  <w:num w:numId="9" w16cid:durableId="577790281">
    <w:abstractNumId w:val="5"/>
  </w:num>
  <w:num w:numId="10" w16cid:durableId="1608153078">
    <w:abstractNumId w:val="24"/>
  </w:num>
  <w:num w:numId="11" w16cid:durableId="1006858205">
    <w:abstractNumId w:val="7"/>
  </w:num>
  <w:num w:numId="12" w16cid:durableId="1245919519">
    <w:abstractNumId w:val="23"/>
  </w:num>
  <w:num w:numId="13" w16cid:durableId="1476146281">
    <w:abstractNumId w:val="11"/>
  </w:num>
  <w:num w:numId="14" w16cid:durableId="879516229">
    <w:abstractNumId w:val="14"/>
  </w:num>
  <w:num w:numId="15" w16cid:durableId="1593122927">
    <w:abstractNumId w:val="30"/>
  </w:num>
  <w:num w:numId="16" w16cid:durableId="1467897718">
    <w:abstractNumId w:val="0"/>
  </w:num>
  <w:num w:numId="17" w16cid:durableId="224994427">
    <w:abstractNumId w:val="17"/>
  </w:num>
  <w:num w:numId="18" w16cid:durableId="242573606">
    <w:abstractNumId w:val="29"/>
  </w:num>
  <w:num w:numId="19" w16cid:durableId="1941139546">
    <w:abstractNumId w:val="15"/>
  </w:num>
  <w:num w:numId="20" w16cid:durableId="1163738741">
    <w:abstractNumId w:val="25"/>
  </w:num>
  <w:num w:numId="21" w16cid:durableId="1139229579">
    <w:abstractNumId w:val="13"/>
  </w:num>
  <w:num w:numId="22" w16cid:durableId="613949522">
    <w:abstractNumId w:val="1"/>
  </w:num>
  <w:num w:numId="23" w16cid:durableId="303390697">
    <w:abstractNumId w:val="4"/>
  </w:num>
  <w:num w:numId="24" w16cid:durableId="1560630692">
    <w:abstractNumId w:val="21"/>
  </w:num>
  <w:num w:numId="25" w16cid:durableId="1820269919">
    <w:abstractNumId w:val="26"/>
  </w:num>
  <w:num w:numId="26" w16cid:durableId="1179662545">
    <w:abstractNumId w:val="3"/>
  </w:num>
  <w:num w:numId="27" w16cid:durableId="441077983">
    <w:abstractNumId w:val="6"/>
  </w:num>
  <w:num w:numId="28" w16cid:durableId="2121141177">
    <w:abstractNumId w:val="28"/>
  </w:num>
  <w:num w:numId="29" w16cid:durableId="1728259774">
    <w:abstractNumId w:val="2"/>
  </w:num>
  <w:num w:numId="30" w16cid:durableId="1922329906">
    <w:abstractNumId w:val="18"/>
  </w:num>
  <w:num w:numId="31" w16cid:durableId="51441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4D78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7984"/>
    <w:rsid w:val="00070F7C"/>
    <w:rsid w:val="00072B0E"/>
    <w:rsid w:val="0007328F"/>
    <w:rsid w:val="00074705"/>
    <w:rsid w:val="0007660D"/>
    <w:rsid w:val="000809C3"/>
    <w:rsid w:val="00085508"/>
    <w:rsid w:val="00085F10"/>
    <w:rsid w:val="00087F7E"/>
    <w:rsid w:val="00090109"/>
    <w:rsid w:val="0009067E"/>
    <w:rsid w:val="00092E55"/>
    <w:rsid w:val="000963FA"/>
    <w:rsid w:val="000A4146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1026FB"/>
    <w:rsid w:val="001055A7"/>
    <w:rsid w:val="00105C56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37CE"/>
    <w:rsid w:val="00245EFD"/>
    <w:rsid w:val="00250C2D"/>
    <w:rsid w:val="00251BBC"/>
    <w:rsid w:val="00253F46"/>
    <w:rsid w:val="00262603"/>
    <w:rsid w:val="00264BA7"/>
    <w:rsid w:val="00264EDA"/>
    <w:rsid w:val="00266BBD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879"/>
    <w:rsid w:val="002B7DCE"/>
    <w:rsid w:val="002B7E48"/>
    <w:rsid w:val="002E2CD2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2196"/>
    <w:rsid w:val="00375863"/>
    <w:rsid w:val="00395541"/>
    <w:rsid w:val="00396448"/>
    <w:rsid w:val="003A3323"/>
    <w:rsid w:val="003A5AFE"/>
    <w:rsid w:val="003A6A4B"/>
    <w:rsid w:val="003B4DEB"/>
    <w:rsid w:val="003B4E77"/>
    <w:rsid w:val="003C014B"/>
    <w:rsid w:val="003C1DD2"/>
    <w:rsid w:val="003C4CCE"/>
    <w:rsid w:val="003C72DD"/>
    <w:rsid w:val="003C7AA5"/>
    <w:rsid w:val="003D184D"/>
    <w:rsid w:val="003D3BDA"/>
    <w:rsid w:val="003D3C99"/>
    <w:rsid w:val="003D5B00"/>
    <w:rsid w:val="003D6A0F"/>
    <w:rsid w:val="003E466E"/>
    <w:rsid w:val="003E61D0"/>
    <w:rsid w:val="003E7319"/>
    <w:rsid w:val="003E75D3"/>
    <w:rsid w:val="003F4A65"/>
    <w:rsid w:val="003F7344"/>
    <w:rsid w:val="003F77CF"/>
    <w:rsid w:val="003F7D52"/>
    <w:rsid w:val="00403666"/>
    <w:rsid w:val="00406762"/>
    <w:rsid w:val="00410F05"/>
    <w:rsid w:val="00411710"/>
    <w:rsid w:val="004147E0"/>
    <w:rsid w:val="00417945"/>
    <w:rsid w:val="00421D7D"/>
    <w:rsid w:val="00423CCF"/>
    <w:rsid w:val="00424BD4"/>
    <w:rsid w:val="00425C26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6FA3"/>
    <w:rsid w:val="00611140"/>
    <w:rsid w:val="00612308"/>
    <w:rsid w:val="00615709"/>
    <w:rsid w:val="00617504"/>
    <w:rsid w:val="00617712"/>
    <w:rsid w:val="0062044B"/>
    <w:rsid w:val="00620ED9"/>
    <w:rsid w:val="00621E2A"/>
    <w:rsid w:val="00630F34"/>
    <w:rsid w:val="00632993"/>
    <w:rsid w:val="0064102A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1D26"/>
    <w:rsid w:val="007C6DB2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83F"/>
    <w:rsid w:val="00826014"/>
    <w:rsid w:val="0083255B"/>
    <w:rsid w:val="00832F0A"/>
    <w:rsid w:val="00834A70"/>
    <w:rsid w:val="00837283"/>
    <w:rsid w:val="00851AC9"/>
    <w:rsid w:val="00851FDB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A084A"/>
    <w:rsid w:val="008A1DBB"/>
    <w:rsid w:val="008A56E2"/>
    <w:rsid w:val="008B128D"/>
    <w:rsid w:val="008B46B0"/>
    <w:rsid w:val="008B59F7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6FE2"/>
    <w:rsid w:val="00957F25"/>
    <w:rsid w:val="009718A1"/>
    <w:rsid w:val="00972570"/>
    <w:rsid w:val="00975AF5"/>
    <w:rsid w:val="00976BF7"/>
    <w:rsid w:val="00977F7F"/>
    <w:rsid w:val="00986D1F"/>
    <w:rsid w:val="00990EE6"/>
    <w:rsid w:val="009A5A3B"/>
    <w:rsid w:val="009B0330"/>
    <w:rsid w:val="009B3A61"/>
    <w:rsid w:val="009B71AE"/>
    <w:rsid w:val="009B7AC3"/>
    <w:rsid w:val="009D40C5"/>
    <w:rsid w:val="009D5574"/>
    <w:rsid w:val="009D6711"/>
    <w:rsid w:val="009E4486"/>
    <w:rsid w:val="009F21E8"/>
    <w:rsid w:val="009F6363"/>
    <w:rsid w:val="00A00697"/>
    <w:rsid w:val="00A050F9"/>
    <w:rsid w:val="00A13601"/>
    <w:rsid w:val="00A142BB"/>
    <w:rsid w:val="00A14586"/>
    <w:rsid w:val="00A14882"/>
    <w:rsid w:val="00A14C2B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26CF3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42D1"/>
    <w:rsid w:val="00B562D5"/>
    <w:rsid w:val="00B615DD"/>
    <w:rsid w:val="00B66E92"/>
    <w:rsid w:val="00B672D0"/>
    <w:rsid w:val="00B67414"/>
    <w:rsid w:val="00B67EE8"/>
    <w:rsid w:val="00B711BE"/>
    <w:rsid w:val="00B8232B"/>
    <w:rsid w:val="00B913BB"/>
    <w:rsid w:val="00B9392A"/>
    <w:rsid w:val="00B94AB0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288B"/>
    <w:rsid w:val="00C06C77"/>
    <w:rsid w:val="00C12877"/>
    <w:rsid w:val="00C12E18"/>
    <w:rsid w:val="00C25B31"/>
    <w:rsid w:val="00C26518"/>
    <w:rsid w:val="00C329D7"/>
    <w:rsid w:val="00C3750A"/>
    <w:rsid w:val="00C3770B"/>
    <w:rsid w:val="00C422D1"/>
    <w:rsid w:val="00C469D3"/>
    <w:rsid w:val="00C571DD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E27CF"/>
    <w:rsid w:val="00CE4BEB"/>
    <w:rsid w:val="00CE621C"/>
    <w:rsid w:val="00D010B5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E4C4C"/>
    <w:rsid w:val="00DE66CE"/>
    <w:rsid w:val="00DE7CE5"/>
    <w:rsid w:val="00DF1F77"/>
    <w:rsid w:val="00E20285"/>
    <w:rsid w:val="00E20E22"/>
    <w:rsid w:val="00E22317"/>
    <w:rsid w:val="00E229C8"/>
    <w:rsid w:val="00E23359"/>
    <w:rsid w:val="00E25C6B"/>
    <w:rsid w:val="00E26986"/>
    <w:rsid w:val="00E26AD1"/>
    <w:rsid w:val="00E34CF4"/>
    <w:rsid w:val="00E3597B"/>
    <w:rsid w:val="00E37DF5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58A0"/>
    <w:rsid w:val="00E81634"/>
    <w:rsid w:val="00E82F6A"/>
    <w:rsid w:val="00E83CBD"/>
    <w:rsid w:val="00E85C62"/>
    <w:rsid w:val="00EA0CB5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2776"/>
    <w:rsid w:val="00F04FAB"/>
    <w:rsid w:val="00F06A94"/>
    <w:rsid w:val="00F0742E"/>
    <w:rsid w:val="00F12F2D"/>
    <w:rsid w:val="00F16E5F"/>
    <w:rsid w:val="00F20BAF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71F"/>
    <w:rsid w:val="00F565B7"/>
    <w:rsid w:val="00F57DFC"/>
    <w:rsid w:val="00F65EBE"/>
    <w:rsid w:val="00F71485"/>
    <w:rsid w:val="00F800A5"/>
    <w:rsid w:val="00F86B08"/>
    <w:rsid w:val="00F93404"/>
    <w:rsid w:val="00F96C98"/>
    <w:rsid w:val="00FA0530"/>
    <w:rsid w:val="00FA1CDF"/>
    <w:rsid w:val="00FA3219"/>
    <w:rsid w:val="00FA7124"/>
    <w:rsid w:val="00FB15C0"/>
    <w:rsid w:val="00FB7E9E"/>
    <w:rsid w:val="00FC01AA"/>
    <w:rsid w:val="00FC1B34"/>
    <w:rsid w:val="00FC2E5F"/>
    <w:rsid w:val="00FC364A"/>
    <w:rsid w:val="00FC3E0A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29</cp:revision>
  <dcterms:created xsi:type="dcterms:W3CDTF">2024-07-28T14:09:00Z</dcterms:created>
  <dcterms:modified xsi:type="dcterms:W3CDTF">2024-10-22T14:30:00Z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