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0B6A7" w14:textId="39842917" w:rsidR="005049A9" w:rsidRDefault="005049A9" w:rsidP="005049A9">
      <w:pPr>
        <w:pStyle w:val="Title"/>
        <w:jc w:val="center"/>
      </w:pPr>
      <w:r w:rsidRPr="005049A9">
        <w:rPr>
          <w:noProof/>
          <w:lang w:val="nl-NL" w:eastAsia="nl-NL"/>
        </w:rPr>
        <w:drawing>
          <wp:anchor distT="0" distB="0" distL="114300" distR="114300" simplePos="0" relativeHeight="251658240" behindDoc="0" locked="0" layoutInCell="1" allowOverlap="1" wp14:anchorId="53E5FC2F" wp14:editId="7C44EFA9">
            <wp:simplePos x="0" y="0"/>
            <wp:positionH relativeFrom="margin">
              <wp:align>center</wp:align>
            </wp:positionH>
            <wp:positionV relativeFrom="paragraph">
              <wp:posOffset>-22860</wp:posOffset>
            </wp:positionV>
            <wp:extent cx="2098415" cy="752475"/>
            <wp:effectExtent l="0" t="0" r="0" b="0"/>
            <wp:wrapNone/>
            <wp:docPr id="2050" name="Picture 2">
              <a:extLst xmlns:a="http://schemas.openxmlformats.org/drawingml/2006/main">
                <a:ext uri="{FF2B5EF4-FFF2-40B4-BE49-F238E27FC236}">
                  <a16:creationId xmlns:a16="http://schemas.microsoft.com/office/drawing/2014/main" id="{DC5CF1A7-753C-4952-8F0D-A77DEE87FB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a:extLst>
                        <a:ext uri="{FF2B5EF4-FFF2-40B4-BE49-F238E27FC236}">
                          <a16:creationId xmlns:a16="http://schemas.microsoft.com/office/drawing/2014/main" id="{DC5CF1A7-753C-4952-8F0D-A77DEE87FB7E}"/>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8415" cy="752475"/>
                    </a:xfrm>
                    <a:prstGeom prst="rect">
                      <a:avLst/>
                    </a:prstGeom>
                    <a:noFill/>
                  </pic:spPr>
                </pic:pic>
              </a:graphicData>
            </a:graphic>
            <wp14:sizeRelH relativeFrom="margin">
              <wp14:pctWidth>0</wp14:pctWidth>
            </wp14:sizeRelH>
            <wp14:sizeRelV relativeFrom="margin">
              <wp14:pctHeight>0</wp14:pctHeight>
            </wp14:sizeRelV>
          </wp:anchor>
        </w:drawing>
      </w:r>
    </w:p>
    <w:p w14:paraId="6F4D26D3" w14:textId="77777777" w:rsidR="0054182D" w:rsidRPr="00A72B72" w:rsidRDefault="0054182D" w:rsidP="00B34EF7">
      <w:pPr>
        <w:pStyle w:val="Title"/>
        <w:rPr>
          <w:sz w:val="48"/>
          <w:szCs w:val="48"/>
        </w:rPr>
      </w:pPr>
    </w:p>
    <w:p w14:paraId="2AC16FEE" w14:textId="69ABDD3B" w:rsidR="00A5084B" w:rsidRPr="000C3CC4" w:rsidRDefault="001119BD" w:rsidP="001119BD">
      <w:pPr>
        <w:pStyle w:val="Title"/>
        <w:ind w:right="-180"/>
        <w:rPr>
          <w:sz w:val="44"/>
          <w:szCs w:val="44"/>
        </w:rPr>
      </w:pPr>
      <w:r w:rsidRPr="000C3CC4">
        <w:rPr>
          <w:sz w:val="44"/>
          <w:szCs w:val="44"/>
        </w:rPr>
        <w:t>Fresh Mushroom Sales Review</w:t>
      </w:r>
      <w:r w:rsidR="000C3CC4" w:rsidRPr="000C3CC4">
        <w:rPr>
          <w:sz w:val="44"/>
          <w:szCs w:val="44"/>
        </w:rPr>
        <w:t>; 4</w:t>
      </w:r>
      <w:r w:rsidR="00AE32A2">
        <w:rPr>
          <w:sz w:val="44"/>
          <w:szCs w:val="44"/>
        </w:rPr>
        <w:t xml:space="preserve"> and 52</w:t>
      </w:r>
      <w:r w:rsidR="000C3CC4" w:rsidRPr="000C3CC4">
        <w:rPr>
          <w:sz w:val="44"/>
          <w:szCs w:val="44"/>
        </w:rPr>
        <w:t xml:space="preserve"> w</w:t>
      </w:r>
      <w:r w:rsidR="00D22E21">
        <w:rPr>
          <w:sz w:val="44"/>
          <w:szCs w:val="44"/>
        </w:rPr>
        <w:t>.e.</w:t>
      </w:r>
      <w:r w:rsidR="000C3CC4" w:rsidRPr="000C3CC4">
        <w:rPr>
          <w:sz w:val="44"/>
          <w:szCs w:val="44"/>
        </w:rPr>
        <w:t xml:space="preserve"> </w:t>
      </w:r>
      <w:r w:rsidR="008B59F7">
        <w:rPr>
          <w:sz w:val="44"/>
          <w:szCs w:val="44"/>
        </w:rPr>
        <w:t>9</w:t>
      </w:r>
      <w:r w:rsidR="00705769">
        <w:rPr>
          <w:sz w:val="44"/>
          <w:szCs w:val="44"/>
        </w:rPr>
        <w:t>.</w:t>
      </w:r>
      <w:r w:rsidR="008B59F7">
        <w:rPr>
          <w:sz w:val="44"/>
          <w:szCs w:val="44"/>
        </w:rPr>
        <w:t>8</w:t>
      </w:r>
      <w:r w:rsidR="004147E0">
        <w:rPr>
          <w:sz w:val="44"/>
          <w:szCs w:val="44"/>
        </w:rPr>
        <w:t>.2024</w:t>
      </w:r>
    </w:p>
    <w:p w14:paraId="74281325" w14:textId="2A923252" w:rsidR="00757C0B" w:rsidRPr="00CC4137" w:rsidRDefault="0064102A" w:rsidP="00757C0B">
      <w:pPr>
        <w:pStyle w:val="Heading1"/>
        <w:rPr>
          <w:b/>
          <w:bCs/>
          <w:color w:val="800000"/>
          <w:sz w:val="26"/>
          <w:szCs w:val="26"/>
        </w:rPr>
      </w:pPr>
      <w:r w:rsidRPr="00CC4137">
        <w:rPr>
          <w:b/>
          <w:bCs/>
          <w:color w:val="800000"/>
          <w:sz w:val="26"/>
          <w:szCs w:val="26"/>
        </w:rPr>
        <w:t>August</w:t>
      </w:r>
      <w:r w:rsidR="00D010B5" w:rsidRPr="00CC4137">
        <w:rPr>
          <w:b/>
          <w:bCs/>
          <w:color w:val="800000"/>
          <w:sz w:val="26"/>
          <w:szCs w:val="26"/>
        </w:rPr>
        <w:t>-September</w:t>
      </w:r>
      <w:r w:rsidR="00807BB4" w:rsidRPr="00CC4137">
        <w:rPr>
          <w:b/>
          <w:bCs/>
          <w:color w:val="800000"/>
          <w:sz w:val="26"/>
          <w:szCs w:val="26"/>
        </w:rPr>
        <w:t xml:space="preserve"> in Review</w:t>
      </w:r>
    </w:p>
    <w:p w14:paraId="4D6B0159" w14:textId="18506BE2" w:rsidR="00D010B5" w:rsidRPr="00427405" w:rsidRDefault="00D010B5" w:rsidP="00D010B5">
      <w:pPr>
        <w:pStyle w:val="NoSpacing"/>
        <w:numPr>
          <w:ilvl w:val="0"/>
          <w:numId w:val="30"/>
        </w:numPr>
        <w:rPr>
          <w:rFonts w:ascii="Arial" w:hAnsi="Arial" w:cs="Arial"/>
          <w:sz w:val="20"/>
        </w:rPr>
      </w:pPr>
      <w:r w:rsidRPr="00427405">
        <w:rPr>
          <w:rFonts w:ascii="Arial" w:hAnsi="Arial" w:cs="Arial"/>
          <w:sz w:val="20"/>
        </w:rPr>
        <w:t xml:space="preserve">The August 2024 Consumer Sentiment Index by the University of Michigan </w:t>
      </w:r>
      <w:r>
        <w:rPr>
          <w:rFonts w:ascii="Arial" w:hAnsi="Arial" w:cs="Arial"/>
          <w:sz w:val="20"/>
        </w:rPr>
        <w:t>improved ever so slightly to</w:t>
      </w:r>
      <w:r w:rsidRPr="00427405">
        <w:rPr>
          <w:rFonts w:ascii="Arial" w:hAnsi="Arial" w:cs="Arial"/>
          <w:sz w:val="20"/>
        </w:rPr>
        <w:t xml:space="preserve"> 67.9</w:t>
      </w:r>
      <w:r>
        <w:rPr>
          <w:rFonts w:ascii="Arial" w:hAnsi="Arial" w:cs="Arial"/>
          <w:sz w:val="20"/>
        </w:rPr>
        <w:t>. As such</w:t>
      </w:r>
      <w:r w:rsidRPr="00427405">
        <w:rPr>
          <w:rFonts w:ascii="Arial" w:hAnsi="Arial" w:cs="Arial"/>
          <w:sz w:val="20"/>
        </w:rPr>
        <w:t>, Americans’ current day sentiment remained far below the neutral rating of 100. Consumers continue to point to impact of high prices and perceive substantial uncertainty in the trajectory of the economy, per the August findings.</w:t>
      </w:r>
      <w:r w:rsidR="00CC4137">
        <w:rPr>
          <w:rFonts w:ascii="Arial" w:hAnsi="Arial" w:cs="Arial"/>
          <w:sz w:val="20"/>
        </w:rPr>
        <w:t xml:space="preserve"> However, 9 in 10 consumers are willing to spend a little more during holidays or entertaining, and when they believe something is healthier or more sustainably grown.  </w:t>
      </w:r>
      <w:r w:rsidRPr="00427405">
        <w:rPr>
          <w:rFonts w:ascii="Arial" w:hAnsi="Arial" w:cs="Arial"/>
          <w:sz w:val="20"/>
        </w:rPr>
        <w:t xml:space="preserve"> </w:t>
      </w:r>
    </w:p>
    <w:p w14:paraId="1D1F9471" w14:textId="77777777" w:rsidR="00D010B5" w:rsidRPr="003C5638" w:rsidRDefault="00D010B5" w:rsidP="00D010B5">
      <w:pPr>
        <w:pStyle w:val="NoSpacing"/>
        <w:numPr>
          <w:ilvl w:val="0"/>
          <w:numId w:val="30"/>
        </w:numPr>
        <w:rPr>
          <w:rFonts w:ascii="Arial" w:hAnsi="Arial" w:cs="Arial"/>
          <w:sz w:val="20"/>
        </w:rPr>
      </w:pPr>
      <w:r w:rsidRPr="003C5638">
        <w:rPr>
          <w:rFonts w:ascii="Arial" w:hAnsi="Arial" w:cs="Arial"/>
          <w:sz w:val="20"/>
        </w:rPr>
        <w:t xml:space="preserve">USDA’s Economic Research Service released the 2023 Food Security numbers. In 2023, 13.5% of households were food insecure at least some time during the year. </w:t>
      </w:r>
      <w:r>
        <w:rPr>
          <w:rFonts w:ascii="Arial" w:hAnsi="Arial" w:cs="Arial"/>
          <w:sz w:val="20"/>
        </w:rPr>
        <w:t>Per the ERS, t</w:t>
      </w:r>
      <w:r w:rsidRPr="003C5638">
        <w:rPr>
          <w:rFonts w:ascii="Arial" w:hAnsi="Arial" w:cs="Arial"/>
          <w:sz w:val="20"/>
        </w:rPr>
        <w:t xml:space="preserve">his is a statistically significant increase from the 12.8% in 2022. </w:t>
      </w:r>
    </w:p>
    <w:p w14:paraId="5F8E761C" w14:textId="163C13EC" w:rsidR="00D010B5" w:rsidRPr="003C5638" w:rsidRDefault="00D010B5" w:rsidP="00D010B5">
      <w:pPr>
        <w:pStyle w:val="NoSpacing"/>
        <w:numPr>
          <w:ilvl w:val="0"/>
          <w:numId w:val="30"/>
        </w:numPr>
        <w:rPr>
          <w:rFonts w:ascii="Arial" w:hAnsi="Arial" w:cs="Arial"/>
          <w:sz w:val="20"/>
        </w:rPr>
      </w:pPr>
      <w:r w:rsidRPr="003C5638">
        <w:rPr>
          <w:rFonts w:ascii="Arial" w:hAnsi="Arial" w:cs="Arial"/>
          <w:sz w:val="20"/>
        </w:rPr>
        <w:t>This</w:t>
      </w:r>
      <w:r>
        <w:rPr>
          <w:rFonts w:ascii="Arial" w:hAnsi="Arial" w:cs="Arial"/>
          <w:sz w:val="20"/>
        </w:rPr>
        <w:t xml:space="preserve"> </w:t>
      </w:r>
      <w:r>
        <w:rPr>
          <w:rFonts w:ascii="Arial" w:hAnsi="Arial" w:cs="Arial"/>
          <w:sz w:val="20"/>
        </w:rPr>
        <w:t xml:space="preserve">widespread pressure on income </w:t>
      </w:r>
      <w:r w:rsidRPr="003C5638">
        <w:rPr>
          <w:rFonts w:ascii="Arial" w:hAnsi="Arial" w:cs="Arial"/>
          <w:sz w:val="20"/>
        </w:rPr>
        <w:t>has resulted in fewer restaurant visits and a greater share of food dollars</w:t>
      </w:r>
      <w:r>
        <w:rPr>
          <w:rFonts w:ascii="Arial" w:hAnsi="Arial" w:cs="Arial"/>
          <w:sz w:val="20"/>
        </w:rPr>
        <w:t xml:space="preserve"> flowing into retail in recent months</w:t>
      </w:r>
      <w:r w:rsidRPr="003C5638">
        <w:rPr>
          <w:rFonts w:ascii="Arial" w:hAnsi="Arial" w:cs="Arial"/>
          <w:sz w:val="20"/>
        </w:rPr>
        <w:t>.</w:t>
      </w:r>
      <w:r>
        <w:rPr>
          <w:rFonts w:ascii="Arial" w:hAnsi="Arial" w:cs="Arial"/>
          <w:sz w:val="20"/>
        </w:rPr>
        <w:t xml:space="preserve"> When shopping for groceries, consumers also apply a wide range of money-saving measures. </w:t>
      </w:r>
    </w:p>
    <w:p w14:paraId="7754DE7C" w14:textId="6A9C81CF" w:rsidR="00D010B5" w:rsidRPr="00D010B5" w:rsidRDefault="00D010B5" w:rsidP="00D010B5">
      <w:pPr>
        <w:pStyle w:val="NoSpacing"/>
        <w:numPr>
          <w:ilvl w:val="0"/>
          <w:numId w:val="30"/>
        </w:numPr>
        <w:rPr>
          <w:rFonts w:ascii="Arial" w:hAnsi="Arial" w:cs="Arial"/>
          <w:sz w:val="20"/>
        </w:rPr>
      </w:pPr>
      <w:r w:rsidRPr="00D010B5">
        <w:rPr>
          <w:rFonts w:ascii="Arial" w:hAnsi="Arial" w:cs="Arial"/>
          <w:sz w:val="20"/>
        </w:rPr>
        <w:t>While consumers are focused on price and promotions, it is rarely the only consideration going into the purchase. There are no linear consumer purchase patterns, which makes the marketplace complex but also ripe with opportunities for growth. Value-added and deli-prepared sales are strengthening, reflecting a continued need for convenient solutions</w:t>
      </w:r>
      <w:r>
        <w:rPr>
          <w:rFonts w:ascii="Arial" w:hAnsi="Arial" w:cs="Arial"/>
          <w:sz w:val="20"/>
        </w:rPr>
        <w:t>.</w:t>
      </w:r>
    </w:p>
    <w:p w14:paraId="76731AFF" w14:textId="62601582" w:rsidR="00C26518" w:rsidRPr="00CC4137" w:rsidRDefault="00E25C6B" w:rsidP="00C26518">
      <w:pPr>
        <w:pStyle w:val="Heading1"/>
        <w:rPr>
          <w:b/>
          <w:bCs/>
          <w:color w:val="800000"/>
          <w:sz w:val="26"/>
          <w:szCs w:val="26"/>
        </w:rPr>
      </w:pPr>
      <w:r w:rsidRPr="00CC4137">
        <w:rPr>
          <w:b/>
          <w:bCs/>
          <w:noProof/>
          <w:color w:val="800000"/>
          <w:sz w:val="26"/>
          <w:szCs w:val="26"/>
          <w:lang w:val="nl-NL" w:eastAsia="nl-NL"/>
        </w:rPr>
        <mc:AlternateContent>
          <mc:Choice Requires="wps">
            <w:drawing>
              <wp:anchor distT="0" distB="0" distL="114300" distR="114300" simplePos="0" relativeHeight="251657215" behindDoc="1" locked="0" layoutInCell="1" allowOverlap="1" wp14:anchorId="540BF7B0" wp14:editId="65E48211">
                <wp:simplePos x="0" y="0"/>
                <wp:positionH relativeFrom="column">
                  <wp:posOffset>-133350</wp:posOffset>
                </wp:positionH>
                <wp:positionV relativeFrom="paragraph">
                  <wp:posOffset>118745</wp:posOffset>
                </wp:positionV>
                <wp:extent cx="6677025" cy="1209675"/>
                <wp:effectExtent l="0" t="0" r="28575" b="28575"/>
                <wp:wrapNone/>
                <wp:docPr id="2130457323" name="Rectangle 2"/>
                <wp:cNvGraphicFramePr/>
                <a:graphic xmlns:a="http://schemas.openxmlformats.org/drawingml/2006/main">
                  <a:graphicData uri="http://schemas.microsoft.com/office/word/2010/wordprocessingShape">
                    <wps:wsp>
                      <wps:cNvSpPr/>
                      <wps:spPr>
                        <a:xfrm>
                          <a:off x="0" y="0"/>
                          <a:ext cx="6677025" cy="1209675"/>
                        </a:xfrm>
                        <a:prstGeom prst="rect">
                          <a:avLst/>
                        </a:prstGeom>
                        <a:solidFill>
                          <a:srgbClr val="FFE7E7"/>
                        </a:solidFill>
                        <a:ln>
                          <a:solidFill>
                            <a:srgbClr val="8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70EE96" id="Rectangle 2" o:spid="_x0000_s1026" style="position:absolute;margin-left:-10.5pt;margin-top:9.35pt;width:525.75pt;height:95.25pt;z-index:-251659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" fillcolor="#ffe7e7" strokecolor="maroon" strokeweight="1pt"/>
            </w:pict>
          </mc:Fallback>
        </mc:AlternateContent>
      </w:r>
      <w:r w:rsidR="00D010B5" w:rsidRPr="00CC4137">
        <w:rPr>
          <w:b/>
          <w:bCs/>
          <w:color w:val="800000"/>
          <w:sz w:val="26"/>
          <w:szCs w:val="26"/>
        </w:rPr>
        <w:t>Reminder: The Switch to MULO+</w:t>
      </w:r>
    </w:p>
    <w:p w14:paraId="122A9917" w14:textId="3013C638" w:rsidR="00C26518" w:rsidRDefault="00D010B5" w:rsidP="006D5DC2">
      <w:pPr>
        <w:pStyle w:val="NoSpacing"/>
        <w:rPr>
          <w:rFonts w:cstheme="minorHAnsi"/>
        </w:rPr>
      </w:pPr>
      <w:r>
        <w:rPr>
          <w:rFonts w:cstheme="minorHAnsi"/>
        </w:rPr>
        <w:t xml:space="preserve">Reminder that the Mushroom Council reporting has upgraded to </w:t>
      </w:r>
      <w:r w:rsidR="00FB7E9E">
        <w:rPr>
          <w:rFonts w:cstheme="minorHAnsi"/>
        </w:rPr>
        <w:t>Circana</w:t>
      </w:r>
      <w:r>
        <w:rPr>
          <w:rFonts w:cstheme="minorHAnsi"/>
        </w:rPr>
        <w:t>’s MULO+</w:t>
      </w:r>
      <w:r w:rsidR="0064102A">
        <w:rPr>
          <w:rFonts w:cstheme="minorHAnsi"/>
        </w:rPr>
        <w:t xml:space="preserve"> universe</w:t>
      </w:r>
      <w:r>
        <w:rPr>
          <w:rFonts w:cstheme="minorHAnsi"/>
        </w:rPr>
        <w:t xml:space="preserve">, which encompasses food, club, online and other retailers that were previously not included in data collection or projection. The mushroom </w:t>
      </w:r>
      <w:r w:rsidR="00FB7E9E">
        <w:rPr>
          <w:rFonts w:cstheme="minorHAnsi"/>
        </w:rPr>
        <w:t>universe expanded by 14.8% to annual sales of $1.5 billion</w:t>
      </w:r>
      <w:r>
        <w:rPr>
          <w:rFonts w:cstheme="minorHAnsi"/>
        </w:rPr>
        <w:t xml:space="preserve"> annually. </w:t>
      </w:r>
      <w:r w:rsidR="00FB7E9E">
        <w:rPr>
          <w:rFonts w:cstheme="minorHAnsi"/>
        </w:rPr>
        <w:t xml:space="preserve"> through the inclusion of food, club, online and other retailers who were not previously included nor projected in the data. </w:t>
      </w:r>
      <w:r w:rsidR="00E25C6B">
        <w:rPr>
          <w:rFonts w:cstheme="minorHAnsi"/>
        </w:rPr>
        <w:t>All historic data points in the spreadsheet and PowerPoint have been upgraded to MULO+.</w:t>
      </w:r>
    </w:p>
    <w:p w14:paraId="35C96E34" w14:textId="77777777" w:rsidR="00C26518" w:rsidRPr="00CC4137" w:rsidRDefault="00C26518" w:rsidP="006D5DC2">
      <w:pPr>
        <w:pStyle w:val="NoSpacing"/>
        <w:rPr>
          <w:rFonts w:cstheme="minorHAnsi"/>
          <w:sz w:val="24"/>
          <w:szCs w:val="24"/>
        </w:rPr>
      </w:pPr>
    </w:p>
    <w:p w14:paraId="737234D5" w14:textId="3B512D43" w:rsidR="00927EAC" w:rsidRPr="00CC4137" w:rsidRDefault="007D3393" w:rsidP="00927EAC">
      <w:pPr>
        <w:pStyle w:val="Heading2"/>
        <w:rPr>
          <w:b/>
          <w:bCs/>
          <w:color w:val="800000"/>
        </w:rPr>
      </w:pPr>
      <w:r w:rsidRPr="00CC4137">
        <w:rPr>
          <w:b/>
          <w:bCs/>
          <w:color w:val="800000"/>
        </w:rPr>
        <w:t xml:space="preserve">Fresh Mushroom </w:t>
      </w:r>
      <w:r w:rsidR="00927EAC" w:rsidRPr="00CC4137">
        <w:rPr>
          <w:b/>
          <w:bCs/>
          <w:color w:val="800000"/>
        </w:rPr>
        <w:t>Dollars, Units and Volume Performance</w:t>
      </w:r>
    </w:p>
    <w:p w14:paraId="47797D03" w14:textId="30057629" w:rsidR="00472B02" w:rsidRDefault="00CC4137" w:rsidP="00D3797F">
      <w:pPr>
        <w:pStyle w:val="NoSpacing"/>
        <w:ind w:right="-180"/>
      </w:pPr>
      <w:r>
        <w:t xml:space="preserve">Sales tend to turn around during quad-week nine and they were even stronger than expected. </w:t>
      </w:r>
      <w:r w:rsidR="00226EF3">
        <w:t>The quad-week generated a</w:t>
      </w:r>
      <w:r>
        <w:t xml:space="preserve">bout </w:t>
      </w:r>
      <w:r w:rsidR="00FA0530">
        <w:t>$</w:t>
      </w:r>
      <w:r w:rsidR="00BD6EDF">
        <w:t>110</w:t>
      </w:r>
      <w:r w:rsidR="00226EF3">
        <w:t xml:space="preserve"> mi</w:t>
      </w:r>
      <w:r w:rsidR="00FA0530">
        <w:t xml:space="preserve">llion in sales, which </w:t>
      </w:r>
      <w:r>
        <w:t>meant dollar</w:t>
      </w:r>
      <w:r w:rsidR="00D3797F">
        <w:t xml:space="preserve"> sales</w:t>
      </w:r>
      <w:r>
        <w:t xml:space="preserve"> held </w:t>
      </w:r>
      <w:r w:rsidR="00D3797F">
        <w:t xml:space="preserve">steady </w:t>
      </w:r>
      <w:r>
        <w:t>against</w:t>
      </w:r>
      <w:r w:rsidR="00226EF3">
        <w:t xml:space="preserve"> year-ago levels. </w:t>
      </w:r>
      <w:r>
        <w:t>Additionally, pounds were down a mere 0.5%, making this quad-week growth performance one of the best in several years.</w:t>
      </w:r>
    </w:p>
    <w:p w14:paraId="40FAA348" w14:textId="6A56CCC2" w:rsidR="00AD7044" w:rsidRPr="006D5DC2" w:rsidRDefault="00AD7044" w:rsidP="00472B02">
      <w:pPr>
        <w:pStyle w:val="NoSpacing"/>
        <w:rPr>
          <w:sz w:val="6"/>
          <w:szCs w:val="6"/>
        </w:rPr>
      </w:pPr>
    </w:p>
    <w:tbl>
      <w:tblPr>
        <w:tblStyle w:val="ListTable3-Accent3"/>
        <w:tblW w:w="10269" w:type="dxa"/>
        <w:tblLook w:val="04A0" w:firstRow="1" w:lastRow="0" w:firstColumn="1" w:lastColumn="0" w:noHBand="0" w:noVBand="1"/>
      </w:tblPr>
      <w:tblGrid>
        <w:gridCol w:w="1792"/>
        <w:gridCol w:w="2163"/>
        <w:gridCol w:w="954"/>
        <w:gridCol w:w="971"/>
        <w:gridCol w:w="2074"/>
        <w:gridCol w:w="1121"/>
        <w:gridCol w:w="1194"/>
      </w:tblGrid>
      <w:tr w:rsidR="00B672D0" w:rsidRPr="00124CB7" w14:paraId="5D073D77" w14:textId="77777777" w:rsidTr="00D3797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92" w:type="dxa"/>
            <w:shd w:val="clear" w:color="auto" w:fill="800000"/>
          </w:tcPr>
          <w:p w14:paraId="0624EE87" w14:textId="452C2900" w:rsidR="00B672D0" w:rsidRPr="00124CB7" w:rsidRDefault="00B672D0" w:rsidP="00B672D0">
            <w:pPr>
              <w:pStyle w:val="NoSpacing"/>
            </w:pPr>
            <w:r>
              <w:t>Fresh mushrooms</w:t>
            </w:r>
          </w:p>
        </w:tc>
        <w:tc>
          <w:tcPr>
            <w:tcW w:w="2163" w:type="dxa"/>
            <w:shd w:val="clear" w:color="auto" w:fill="800000"/>
          </w:tcPr>
          <w:p w14:paraId="51DF6E55" w14:textId="6689741D" w:rsidR="00B672D0" w:rsidRPr="00124CB7" w:rsidRDefault="00B672D0" w:rsidP="00B672D0">
            <w:pPr>
              <w:pStyle w:val="NoSpacing"/>
              <w:jc w:val="right"/>
              <w:cnfStyle w:val="100000000000" w:firstRow="1" w:lastRow="0" w:firstColumn="0" w:lastColumn="0" w:oddVBand="0" w:evenVBand="0" w:oddHBand="0" w:evenHBand="0" w:firstRowFirstColumn="0" w:firstRowLastColumn="0" w:lastRowFirstColumn="0" w:lastRowLastColumn="0"/>
            </w:pPr>
            <w:r>
              <w:t xml:space="preserve">4 weeks ending </w:t>
            </w:r>
            <w:r w:rsidR="008B59F7">
              <w:t>9/8</w:t>
            </w:r>
            <w:r w:rsidR="00D15B2D">
              <w:t>/2024</w:t>
            </w:r>
          </w:p>
        </w:tc>
        <w:tc>
          <w:tcPr>
            <w:tcW w:w="954" w:type="dxa"/>
            <w:shd w:val="clear" w:color="auto" w:fill="800000"/>
          </w:tcPr>
          <w:p w14:paraId="0398A30D" w14:textId="4921FDAA" w:rsidR="00B672D0" w:rsidRPr="00124CB7" w:rsidRDefault="00FA3219" w:rsidP="00B672D0">
            <w:pPr>
              <w:pStyle w:val="NoSpacing"/>
              <w:jc w:val="right"/>
              <w:cnfStyle w:val="100000000000" w:firstRow="1" w:lastRow="0" w:firstColumn="0" w:lastColumn="0" w:oddVBand="0" w:evenVBand="0" w:oddHBand="0" w:evenHBand="0" w:firstRowFirstColumn="0" w:firstRowLastColumn="0" w:lastRowFirstColumn="0" w:lastRowLastColumn="0"/>
            </w:pPr>
            <w:r>
              <w:t xml:space="preserve">Vs. </w:t>
            </w:r>
            <w:r w:rsidR="003516FA">
              <w:br/>
              <w:t>YA</w:t>
            </w:r>
          </w:p>
        </w:tc>
        <w:tc>
          <w:tcPr>
            <w:tcW w:w="971" w:type="dxa"/>
            <w:shd w:val="clear" w:color="auto" w:fill="800000"/>
          </w:tcPr>
          <w:p w14:paraId="11B3D9FB" w14:textId="380D4956" w:rsidR="00B672D0" w:rsidRPr="00124CB7" w:rsidRDefault="00FA3219" w:rsidP="00B672D0">
            <w:pPr>
              <w:pStyle w:val="NoSpacing"/>
              <w:jc w:val="right"/>
              <w:cnfStyle w:val="100000000000" w:firstRow="1" w:lastRow="0" w:firstColumn="0" w:lastColumn="0" w:oddVBand="0" w:evenVBand="0" w:oddHBand="0" w:evenHBand="0" w:firstRowFirstColumn="0" w:firstRowLastColumn="0" w:lastRowFirstColumn="0" w:lastRowLastColumn="0"/>
            </w:pPr>
            <w:r>
              <w:t xml:space="preserve">Vs. </w:t>
            </w:r>
            <w:r w:rsidR="003516FA">
              <w:br/>
              <w:t>3YA</w:t>
            </w:r>
          </w:p>
        </w:tc>
        <w:tc>
          <w:tcPr>
            <w:tcW w:w="2074" w:type="dxa"/>
            <w:shd w:val="clear" w:color="auto" w:fill="800000"/>
          </w:tcPr>
          <w:p w14:paraId="3BBE24C3" w14:textId="0B051C9F" w:rsidR="00B672D0" w:rsidRPr="00124CB7" w:rsidRDefault="00B672D0" w:rsidP="00B672D0">
            <w:pPr>
              <w:pStyle w:val="NoSpacing"/>
              <w:jc w:val="right"/>
              <w:cnfStyle w:val="100000000000" w:firstRow="1" w:lastRow="0" w:firstColumn="0" w:lastColumn="0" w:oddVBand="0" w:evenVBand="0" w:oddHBand="0" w:evenHBand="0" w:firstRowFirstColumn="0" w:firstRowLastColumn="0" w:lastRowFirstColumn="0" w:lastRowLastColumn="0"/>
            </w:pPr>
            <w:r>
              <w:t xml:space="preserve">Latest 52 w.e. </w:t>
            </w:r>
            <w:r w:rsidR="008B59F7">
              <w:t>9/8</w:t>
            </w:r>
            <w:r w:rsidR="00D15B2D">
              <w:t>/2024</w:t>
            </w:r>
          </w:p>
        </w:tc>
        <w:tc>
          <w:tcPr>
            <w:tcW w:w="1121" w:type="dxa"/>
            <w:shd w:val="clear" w:color="auto" w:fill="800000"/>
          </w:tcPr>
          <w:p w14:paraId="0895179F" w14:textId="7698D04F" w:rsidR="00B672D0" w:rsidRPr="00124CB7" w:rsidRDefault="00FA3219" w:rsidP="00B672D0">
            <w:pPr>
              <w:pStyle w:val="NoSpacing"/>
              <w:jc w:val="right"/>
              <w:cnfStyle w:val="100000000000" w:firstRow="1" w:lastRow="0" w:firstColumn="0" w:lastColumn="0" w:oddVBand="0" w:evenVBand="0" w:oddHBand="0" w:evenHBand="0" w:firstRowFirstColumn="0" w:firstRowLastColumn="0" w:lastRowFirstColumn="0" w:lastRowLastColumn="0"/>
            </w:pPr>
            <w:r>
              <w:t xml:space="preserve">Vs. </w:t>
            </w:r>
            <w:r w:rsidR="00226EF3">
              <w:br/>
            </w:r>
            <w:r w:rsidR="003516FA">
              <w:t>YA</w:t>
            </w:r>
          </w:p>
        </w:tc>
        <w:tc>
          <w:tcPr>
            <w:tcW w:w="1194" w:type="dxa"/>
            <w:shd w:val="clear" w:color="auto" w:fill="800000"/>
          </w:tcPr>
          <w:p w14:paraId="5AB7ECE0" w14:textId="6F271372" w:rsidR="00B672D0" w:rsidRPr="00124CB7" w:rsidRDefault="00B672D0" w:rsidP="00FA3219">
            <w:pPr>
              <w:pStyle w:val="NoSpacing"/>
              <w:jc w:val="right"/>
              <w:cnfStyle w:val="100000000000" w:firstRow="1" w:lastRow="0" w:firstColumn="0" w:lastColumn="0" w:oddVBand="0" w:evenVBand="0" w:oddHBand="0" w:evenHBand="0" w:firstRowFirstColumn="0" w:firstRowLastColumn="0" w:lastRowFirstColumn="0" w:lastRowLastColumn="0"/>
            </w:pPr>
            <w:r>
              <w:t xml:space="preserve">Vs. </w:t>
            </w:r>
            <w:r w:rsidR="00226EF3">
              <w:br/>
            </w:r>
            <w:r w:rsidR="003516FA">
              <w:t>3YA</w:t>
            </w:r>
          </w:p>
        </w:tc>
      </w:tr>
      <w:tr w:rsidR="008B59F7" w14:paraId="22401D5B" w14:textId="77777777" w:rsidTr="00D3797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792" w:type="dxa"/>
          </w:tcPr>
          <w:p w14:paraId="79CDF43D" w14:textId="166854D6" w:rsidR="008B59F7" w:rsidRPr="00807BB4" w:rsidRDefault="008B59F7" w:rsidP="008B59F7">
            <w:pPr>
              <w:pStyle w:val="NoSpacing"/>
              <w:rPr>
                <w:b w:val="0"/>
                <w:bCs w:val="0"/>
              </w:rPr>
            </w:pPr>
            <w:r w:rsidRPr="00807BB4">
              <w:rPr>
                <w:b w:val="0"/>
                <w:bCs w:val="0"/>
              </w:rPr>
              <w:t>Dollars</w:t>
            </w:r>
          </w:p>
        </w:tc>
        <w:tc>
          <w:tcPr>
            <w:tcW w:w="2163" w:type="dxa"/>
          </w:tcPr>
          <w:p w14:paraId="6D1FCB95" w14:textId="05E01422" w:rsidR="008B59F7" w:rsidRPr="00807BB4" w:rsidRDefault="008B59F7" w:rsidP="008B59F7">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00C571DD">
              <w:rPr>
                <w:rFonts w:cstheme="minorHAnsi"/>
              </w:rPr>
              <w:t>109,873,492</w:t>
            </w:r>
          </w:p>
        </w:tc>
        <w:tc>
          <w:tcPr>
            <w:tcW w:w="954" w:type="dxa"/>
          </w:tcPr>
          <w:p w14:paraId="77D2040B" w14:textId="1BD9DDBE" w:rsidR="008B59F7" w:rsidRPr="00807BB4" w:rsidRDefault="00CC4137" w:rsidP="008B59F7">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00C571DD">
              <w:rPr>
                <w:rFonts w:cstheme="minorHAnsi"/>
              </w:rPr>
              <w:t>0.0</w:t>
            </w:r>
            <w:r w:rsidR="008B59F7" w:rsidRPr="00DC59DC">
              <w:rPr>
                <w:rFonts w:cstheme="minorHAnsi"/>
              </w:rPr>
              <w:t>%</w:t>
            </w:r>
          </w:p>
        </w:tc>
        <w:tc>
          <w:tcPr>
            <w:tcW w:w="971" w:type="dxa"/>
          </w:tcPr>
          <w:p w14:paraId="4EF21002" w14:textId="4C47BDDA" w:rsidR="008B59F7" w:rsidRPr="00807BB4" w:rsidRDefault="008B59F7" w:rsidP="008B59F7">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sidRPr="00DC59DC">
              <w:rPr>
                <w:rFonts w:cstheme="minorHAnsi"/>
              </w:rPr>
              <w:t>-</w:t>
            </w:r>
            <w:r w:rsidR="00C571DD">
              <w:rPr>
                <w:rFonts w:cstheme="minorHAnsi"/>
              </w:rPr>
              <w:t>2.7</w:t>
            </w:r>
            <w:r w:rsidRPr="00DC59DC">
              <w:rPr>
                <w:rFonts w:cstheme="minorHAnsi"/>
              </w:rPr>
              <w:t>%</w:t>
            </w:r>
          </w:p>
        </w:tc>
        <w:tc>
          <w:tcPr>
            <w:tcW w:w="2074" w:type="dxa"/>
          </w:tcPr>
          <w:p w14:paraId="375CF9DD" w14:textId="3929D8B8" w:rsidR="008B59F7" w:rsidRPr="00807BB4" w:rsidRDefault="008B59F7" w:rsidP="008B59F7">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00C571DD">
              <w:rPr>
                <w:rFonts w:cstheme="minorHAnsi"/>
              </w:rPr>
              <w:t>1,525,039,506</w:t>
            </w:r>
          </w:p>
        </w:tc>
        <w:tc>
          <w:tcPr>
            <w:tcW w:w="1121" w:type="dxa"/>
          </w:tcPr>
          <w:p w14:paraId="04EA64A9" w14:textId="79E72A51" w:rsidR="008B59F7" w:rsidRPr="00807BB4" w:rsidRDefault="008B59F7" w:rsidP="008B59F7">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sidRPr="002B683B">
              <w:rPr>
                <w:rFonts w:cstheme="minorHAnsi"/>
              </w:rPr>
              <w:t>-</w:t>
            </w:r>
            <w:r w:rsidR="00C571DD">
              <w:rPr>
                <w:rFonts w:cstheme="minorHAnsi"/>
              </w:rPr>
              <w:t>2.3</w:t>
            </w:r>
            <w:r w:rsidRPr="002B683B">
              <w:rPr>
                <w:rFonts w:cstheme="minorHAnsi"/>
              </w:rPr>
              <w:t>%</w:t>
            </w:r>
          </w:p>
        </w:tc>
        <w:tc>
          <w:tcPr>
            <w:tcW w:w="1194" w:type="dxa"/>
          </w:tcPr>
          <w:p w14:paraId="2F2464E9" w14:textId="13FB9080" w:rsidR="008B59F7" w:rsidRPr="00807BB4" w:rsidRDefault="008B59F7" w:rsidP="008B59F7">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sidRPr="002B683B">
              <w:rPr>
                <w:rFonts w:cstheme="minorHAnsi"/>
              </w:rPr>
              <w:t>-</w:t>
            </w:r>
            <w:r w:rsidR="00C571DD">
              <w:rPr>
                <w:rFonts w:cstheme="minorHAnsi"/>
              </w:rPr>
              <w:t>5.3</w:t>
            </w:r>
            <w:r w:rsidRPr="002B683B">
              <w:rPr>
                <w:rFonts w:cstheme="minorHAnsi"/>
              </w:rPr>
              <w:t>%</w:t>
            </w:r>
          </w:p>
        </w:tc>
      </w:tr>
      <w:tr w:rsidR="008B59F7" w14:paraId="31FB8D29" w14:textId="77777777" w:rsidTr="00D3797F">
        <w:tc>
          <w:tcPr>
            <w:cnfStyle w:val="001000000000" w:firstRow="0" w:lastRow="0" w:firstColumn="1" w:lastColumn="0" w:oddVBand="0" w:evenVBand="0" w:oddHBand="0" w:evenHBand="0" w:firstRowFirstColumn="0" w:firstRowLastColumn="0" w:lastRowFirstColumn="0" w:lastRowLastColumn="0"/>
            <w:tcW w:w="1792" w:type="dxa"/>
          </w:tcPr>
          <w:p w14:paraId="10B2F651" w14:textId="48542DFC" w:rsidR="008B59F7" w:rsidRPr="00807BB4" w:rsidRDefault="008B59F7" w:rsidP="008B59F7">
            <w:pPr>
              <w:pStyle w:val="NoSpacing"/>
              <w:rPr>
                <w:b w:val="0"/>
                <w:bCs w:val="0"/>
              </w:rPr>
            </w:pPr>
            <w:r w:rsidRPr="00807BB4">
              <w:rPr>
                <w:b w:val="0"/>
                <w:bCs w:val="0"/>
              </w:rPr>
              <w:t>Units</w:t>
            </w:r>
          </w:p>
        </w:tc>
        <w:tc>
          <w:tcPr>
            <w:tcW w:w="2163" w:type="dxa"/>
          </w:tcPr>
          <w:p w14:paraId="3CA03520" w14:textId="7E3FD1E3" w:rsidR="008B59F7" w:rsidRPr="00807BB4" w:rsidRDefault="00C571DD" w:rsidP="008B59F7">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36,350,144</w:t>
            </w:r>
          </w:p>
        </w:tc>
        <w:tc>
          <w:tcPr>
            <w:tcW w:w="954" w:type="dxa"/>
          </w:tcPr>
          <w:p w14:paraId="6922F333" w14:textId="19A61E5B" w:rsidR="008B59F7" w:rsidRPr="00807BB4" w:rsidRDefault="008B59F7" w:rsidP="008B59F7">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sidRPr="00DC59DC">
              <w:rPr>
                <w:rFonts w:cstheme="minorHAnsi"/>
              </w:rPr>
              <w:t>-</w:t>
            </w:r>
            <w:r w:rsidR="00C571DD">
              <w:rPr>
                <w:rFonts w:cstheme="minorHAnsi"/>
              </w:rPr>
              <w:t>1.4</w:t>
            </w:r>
            <w:r w:rsidRPr="00DC59DC">
              <w:rPr>
                <w:rFonts w:cstheme="minorHAnsi"/>
              </w:rPr>
              <w:t>%</w:t>
            </w:r>
          </w:p>
        </w:tc>
        <w:tc>
          <w:tcPr>
            <w:tcW w:w="971" w:type="dxa"/>
          </w:tcPr>
          <w:p w14:paraId="7CD8DEEA" w14:textId="6CDFFFEC" w:rsidR="008B59F7" w:rsidRPr="00807BB4" w:rsidRDefault="008B59F7" w:rsidP="008B59F7">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sidRPr="00DC59DC">
              <w:rPr>
                <w:rFonts w:cstheme="minorHAnsi"/>
              </w:rPr>
              <w:t>-</w:t>
            </w:r>
            <w:r w:rsidR="00C571DD">
              <w:rPr>
                <w:rFonts w:cstheme="minorHAnsi"/>
              </w:rPr>
              <w:t>11.7</w:t>
            </w:r>
            <w:r w:rsidRPr="00DC59DC">
              <w:rPr>
                <w:rFonts w:cstheme="minorHAnsi"/>
              </w:rPr>
              <w:t>%</w:t>
            </w:r>
          </w:p>
        </w:tc>
        <w:tc>
          <w:tcPr>
            <w:tcW w:w="2074" w:type="dxa"/>
          </w:tcPr>
          <w:p w14:paraId="26ECACB9" w14:textId="4F1FDA19" w:rsidR="008B59F7" w:rsidRPr="00807BB4" w:rsidRDefault="00C571DD" w:rsidP="008B59F7">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504,104,305</w:t>
            </w:r>
          </w:p>
        </w:tc>
        <w:tc>
          <w:tcPr>
            <w:tcW w:w="1121" w:type="dxa"/>
          </w:tcPr>
          <w:p w14:paraId="60AAF678" w14:textId="525B2B33" w:rsidR="008B59F7" w:rsidRPr="00807BB4" w:rsidRDefault="008B59F7" w:rsidP="008B59F7">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sidRPr="002B683B">
              <w:rPr>
                <w:rFonts w:cstheme="minorHAnsi"/>
              </w:rPr>
              <w:t>-</w:t>
            </w:r>
            <w:r w:rsidR="00C571DD">
              <w:rPr>
                <w:rFonts w:cstheme="minorHAnsi"/>
              </w:rPr>
              <w:t>2.6</w:t>
            </w:r>
            <w:r w:rsidRPr="002B683B">
              <w:rPr>
                <w:rFonts w:cstheme="minorHAnsi"/>
              </w:rPr>
              <w:t>%</w:t>
            </w:r>
          </w:p>
        </w:tc>
        <w:tc>
          <w:tcPr>
            <w:tcW w:w="1194" w:type="dxa"/>
          </w:tcPr>
          <w:p w14:paraId="19BE3B74" w14:textId="297DF06A" w:rsidR="008B59F7" w:rsidRPr="00807BB4" w:rsidRDefault="008B59F7" w:rsidP="008B59F7">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sidRPr="002B683B">
              <w:rPr>
                <w:rFonts w:cstheme="minorHAnsi"/>
              </w:rPr>
              <w:t>-</w:t>
            </w:r>
            <w:r w:rsidR="00C571DD">
              <w:rPr>
                <w:rFonts w:cstheme="minorHAnsi"/>
              </w:rPr>
              <w:t>14.3</w:t>
            </w:r>
            <w:r w:rsidRPr="002B683B">
              <w:rPr>
                <w:rFonts w:cstheme="minorHAnsi"/>
              </w:rPr>
              <w:t>%</w:t>
            </w:r>
          </w:p>
        </w:tc>
      </w:tr>
      <w:tr w:rsidR="008B59F7" w14:paraId="2EB720F3" w14:textId="77777777" w:rsidTr="00D379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2" w:type="dxa"/>
          </w:tcPr>
          <w:p w14:paraId="1A632454" w14:textId="04CEBBF8" w:rsidR="008B59F7" w:rsidRPr="00807BB4" w:rsidRDefault="008B59F7" w:rsidP="008B59F7">
            <w:pPr>
              <w:pStyle w:val="NoSpacing"/>
              <w:rPr>
                <w:b w:val="0"/>
                <w:bCs w:val="0"/>
              </w:rPr>
            </w:pPr>
            <w:r w:rsidRPr="00807BB4">
              <w:rPr>
                <w:b w:val="0"/>
                <w:bCs w:val="0"/>
              </w:rPr>
              <w:t>Volume (pounds)</w:t>
            </w:r>
          </w:p>
        </w:tc>
        <w:tc>
          <w:tcPr>
            <w:tcW w:w="2163" w:type="dxa"/>
          </w:tcPr>
          <w:p w14:paraId="68757A76" w14:textId="61302BE2" w:rsidR="008B59F7" w:rsidRPr="00807BB4" w:rsidRDefault="00C571DD" w:rsidP="008B59F7">
            <w:pPr>
              <w:pStyle w:val="NoSpacing"/>
              <w:tabs>
                <w:tab w:val="center" w:pos="747"/>
                <w:tab w:val="right" w:pos="1494"/>
              </w:tabs>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24,115,686</w:t>
            </w:r>
          </w:p>
        </w:tc>
        <w:tc>
          <w:tcPr>
            <w:tcW w:w="954" w:type="dxa"/>
          </w:tcPr>
          <w:p w14:paraId="7DE7F9CC" w14:textId="1ECCDA19" w:rsidR="008B59F7" w:rsidRPr="00807BB4" w:rsidRDefault="008B59F7" w:rsidP="008B59F7">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sidRPr="00DC59DC">
              <w:rPr>
                <w:rFonts w:cstheme="minorHAnsi"/>
              </w:rPr>
              <w:t>-</w:t>
            </w:r>
            <w:r w:rsidR="00C571DD">
              <w:rPr>
                <w:rFonts w:cstheme="minorHAnsi"/>
              </w:rPr>
              <w:t>0.5</w:t>
            </w:r>
            <w:r w:rsidRPr="00DC59DC">
              <w:rPr>
                <w:rFonts w:cstheme="minorHAnsi"/>
              </w:rPr>
              <w:t>%</w:t>
            </w:r>
          </w:p>
        </w:tc>
        <w:tc>
          <w:tcPr>
            <w:tcW w:w="971" w:type="dxa"/>
          </w:tcPr>
          <w:p w14:paraId="47670DC1" w14:textId="5E17B6D5" w:rsidR="008B59F7" w:rsidRPr="00807BB4" w:rsidRDefault="008B59F7" w:rsidP="008B59F7">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sidRPr="00DC59DC">
              <w:rPr>
                <w:rFonts w:cstheme="minorHAnsi"/>
              </w:rPr>
              <w:t>-</w:t>
            </w:r>
            <w:r w:rsidR="00C571DD">
              <w:rPr>
                <w:rFonts w:cstheme="minorHAnsi"/>
              </w:rPr>
              <w:t>10.9</w:t>
            </w:r>
            <w:r w:rsidRPr="00DC59DC">
              <w:rPr>
                <w:rFonts w:cstheme="minorHAnsi"/>
              </w:rPr>
              <w:t>%</w:t>
            </w:r>
          </w:p>
        </w:tc>
        <w:tc>
          <w:tcPr>
            <w:tcW w:w="2074" w:type="dxa"/>
          </w:tcPr>
          <w:p w14:paraId="57878EB0" w14:textId="01CBE768" w:rsidR="008B59F7" w:rsidRPr="00807BB4" w:rsidRDefault="00C571DD" w:rsidP="008B59F7">
            <w:pPr>
              <w:pStyle w:val="NoSpacing"/>
              <w:tabs>
                <w:tab w:val="center" w:pos="743"/>
                <w:tab w:val="right" w:pos="1487"/>
              </w:tabs>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335,543,860</w:t>
            </w:r>
          </w:p>
        </w:tc>
        <w:tc>
          <w:tcPr>
            <w:tcW w:w="1121" w:type="dxa"/>
          </w:tcPr>
          <w:p w14:paraId="0679CD28" w14:textId="382DA5C2" w:rsidR="008B59F7" w:rsidRPr="00807BB4" w:rsidRDefault="008B59F7" w:rsidP="008B59F7">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sidRPr="002B683B">
              <w:rPr>
                <w:rFonts w:cstheme="minorHAnsi"/>
              </w:rPr>
              <w:t>-</w:t>
            </w:r>
            <w:r w:rsidR="00C571DD">
              <w:rPr>
                <w:rFonts w:cstheme="minorHAnsi"/>
              </w:rPr>
              <w:t>2.6</w:t>
            </w:r>
            <w:r w:rsidRPr="002B683B">
              <w:rPr>
                <w:rFonts w:cstheme="minorHAnsi"/>
              </w:rPr>
              <w:t>%</w:t>
            </w:r>
          </w:p>
        </w:tc>
        <w:tc>
          <w:tcPr>
            <w:tcW w:w="1194" w:type="dxa"/>
          </w:tcPr>
          <w:p w14:paraId="09C03B7F" w14:textId="15126C69" w:rsidR="008B59F7" w:rsidRPr="00807BB4" w:rsidRDefault="008B59F7" w:rsidP="008B59F7">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sidRPr="002B683B">
              <w:rPr>
                <w:rFonts w:cstheme="minorHAnsi"/>
              </w:rPr>
              <w:t>-</w:t>
            </w:r>
            <w:r w:rsidR="00C571DD">
              <w:rPr>
                <w:rFonts w:cstheme="minorHAnsi"/>
              </w:rPr>
              <w:t>13.9</w:t>
            </w:r>
            <w:r w:rsidRPr="002B683B">
              <w:rPr>
                <w:rFonts w:cstheme="minorHAnsi"/>
              </w:rPr>
              <w:t>%</w:t>
            </w:r>
          </w:p>
        </w:tc>
      </w:tr>
    </w:tbl>
    <w:p w14:paraId="5B1F1AF6" w14:textId="32C64144" w:rsidR="0092088E" w:rsidRPr="00555250" w:rsidRDefault="00555250" w:rsidP="00555250">
      <w:pPr>
        <w:pStyle w:val="NoSpacing"/>
        <w:spacing w:before="120"/>
        <w:rPr>
          <w:color w:val="7F7F7F" w:themeColor="text1" w:themeTint="80"/>
          <w:sz w:val="16"/>
          <w:szCs w:val="16"/>
        </w:rPr>
      </w:pPr>
      <w:r w:rsidRPr="00555250">
        <w:rPr>
          <w:color w:val="7F7F7F" w:themeColor="text1" w:themeTint="80"/>
          <w:sz w:val="16"/>
          <w:szCs w:val="16"/>
        </w:rPr>
        <w:t xml:space="preserve">Source: </w:t>
      </w:r>
      <w:r w:rsidR="004C5B27">
        <w:rPr>
          <w:color w:val="7F7F7F" w:themeColor="text1" w:themeTint="80"/>
          <w:sz w:val="16"/>
          <w:szCs w:val="16"/>
        </w:rPr>
        <w:t>Circana</w:t>
      </w:r>
      <w:r w:rsidRPr="00555250">
        <w:rPr>
          <w:color w:val="7F7F7F" w:themeColor="text1" w:themeTint="80"/>
          <w:sz w:val="16"/>
          <w:szCs w:val="16"/>
        </w:rPr>
        <w:t xml:space="preserve">, Integrated Fresh, </w:t>
      </w:r>
      <w:r w:rsidR="00FA0530">
        <w:rPr>
          <w:color w:val="7F7F7F" w:themeColor="text1" w:themeTint="80"/>
          <w:sz w:val="16"/>
          <w:szCs w:val="16"/>
        </w:rPr>
        <w:t>MULO+</w:t>
      </w:r>
      <w:r w:rsidRPr="00555250">
        <w:rPr>
          <w:color w:val="7F7F7F" w:themeColor="text1" w:themeTint="80"/>
          <w:sz w:val="16"/>
          <w:szCs w:val="16"/>
        </w:rPr>
        <w:t xml:space="preserve">, </w:t>
      </w:r>
      <w:r w:rsidR="00977F7F">
        <w:rPr>
          <w:color w:val="7F7F7F" w:themeColor="text1" w:themeTint="80"/>
          <w:sz w:val="16"/>
          <w:szCs w:val="16"/>
        </w:rPr>
        <w:t xml:space="preserve">YTD and </w:t>
      </w:r>
      <w:r w:rsidR="007D30DA">
        <w:rPr>
          <w:color w:val="7F7F7F" w:themeColor="text1" w:themeTint="80"/>
          <w:sz w:val="16"/>
          <w:szCs w:val="16"/>
        </w:rPr>
        <w:t>4</w:t>
      </w:r>
      <w:r w:rsidRPr="00555250">
        <w:rPr>
          <w:color w:val="7F7F7F" w:themeColor="text1" w:themeTint="80"/>
          <w:sz w:val="16"/>
          <w:szCs w:val="16"/>
        </w:rPr>
        <w:t xml:space="preserve"> weeks ending </w:t>
      </w:r>
      <w:r w:rsidR="008B59F7">
        <w:rPr>
          <w:color w:val="7F7F7F" w:themeColor="text1" w:themeTint="80"/>
          <w:sz w:val="16"/>
          <w:szCs w:val="16"/>
        </w:rPr>
        <w:t>9/8</w:t>
      </w:r>
      <w:r w:rsidR="00D15B2D">
        <w:rPr>
          <w:color w:val="7F7F7F" w:themeColor="text1" w:themeTint="80"/>
          <w:sz w:val="16"/>
          <w:szCs w:val="16"/>
        </w:rPr>
        <w:t>/2024</w:t>
      </w:r>
    </w:p>
    <w:p w14:paraId="709034BA" w14:textId="77777777" w:rsidR="0022081A" w:rsidRDefault="0022081A" w:rsidP="00E25C6B">
      <w:pPr>
        <w:pStyle w:val="NoSpacing"/>
      </w:pPr>
    </w:p>
    <w:p w14:paraId="01DB995D" w14:textId="5AA054CA" w:rsidR="0022081A" w:rsidRPr="00CC4137" w:rsidRDefault="0022081A" w:rsidP="0022081A">
      <w:pPr>
        <w:pStyle w:val="Heading2"/>
        <w:rPr>
          <w:b/>
          <w:bCs/>
          <w:color w:val="800000"/>
        </w:rPr>
      </w:pPr>
      <w:r w:rsidRPr="00CC4137">
        <w:rPr>
          <w:b/>
          <w:bCs/>
          <w:color w:val="800000"/>
        </w:rPr>
        <w:t>Performance by Type</w:t>
      </w:r>
    </w:p>
    <w:p w14:paraId="71D6EFD0" w14:textId="1D76C468" w:rsidR="00CC4137" w:rsidRDefault="00E25C6B" w:rsidP="00CC4137">
      <w:pPr>
        <w:pStyle w:val="NoSpacing"/>
      </w:pPr>
      <w:r>
        <w:t>In the new MULO+ universe, white</w:t>
      </w:r>
      <w:r w:rsidR="00810052">
        <w:t xml:space="preserve"> mushrooms represented slightly more</w:t>
      </w:r>
      <w:r>
        <w:t xml:space="preserve"> than half of</w:t>
      </w:r>
      <w:r w:rsidR="00105C56">
        <w:t xml:space="preserve"> the dollars, at </w:t>
      </w:r>
      <w:r w:rsidR="00810052">
        <w:t>50.1</w:t>
      </w:r>
      <w:r>
        <w:t>% of total</w:t>
      </w:r>
      <w:r w:rsidR="00105C56">
        <w:t xml:space="preserve"> mushroom dollar sales, yet </w:t>
      </w:r>
      <w:r w:rsidR="00810052">
        <w:t>57.1</w:t>
      </w:r>
      <w:r>
        <w:t xml:space="preserve">% of pounds due to a lower price per pound </w:t>
      </w:r>
      <w:r w:rsidR="0064102A">
        <w:t xml:space="preserve">versus </w:t>
      </w:r>
      <w:r>
        <w:t xml:space="preserve">other varieties. </w:t>
      </w:r>
      <w:r w:rsidR="00CC4137">
        <w:t>White mushroom dollar sales were down slightly, at -0.3% during the four-week period, roughly the same as the pound decline of -0.5%.</w:t>
      </w:r>
    </w:p>
    <w:p w14:paraId="685C8780" w14:textId="77777777" w:rsidR="00CC4137" w:rsidRDefault="00CC4137" w:rsidP="00CC4137">
      <w:pPr>
        <w:pStyle w:val="NoSpacing"/>
      </w:pPr>
    </w:p>
    <w:p w14:paraId="1EA6211B" w14:textId="5B492386" w:rsidR="00CC4137" w:rsidRDefault="00CC4137" w:rsidP="00CC4137">
      <w:pPr>
        <w:pStyle w:val="NoSpacing"/>
      </w:pPr>
      <w:r>
        <w:t xml:space="preserve">Crimini mushroom sales had </w:t>
      </w:r>
      <w:r>
        <w:t xml:space="preserve">the </w:t>
      </w:r>
      <w:r>
        <w:t>better year-on-year volume performance</w:t>
      </w:r>
      <w:r>
        <w:t xml:space="preserve"> with growth in both dollars (+0.6%) and pounds (+0.5%) during the quad-week period when compared to the same four weeks last year</w:t>
      </w:r>
      <w:r>
        <w:t xml:space="preserve">. Specialty mushrooms reflect 6.3% of sales in the expanded MULO+ universe. Dollar </w:t>
      </w:r>
      <w:r w:rsidR="00D3797F">
        <w:t xml:space="preserve">(+6.8%) </w:t>
      </w:r>
      <w:r>
        <w:t>and volume</w:t>
      </w:r>
      <w:r w:rsidR="00D3797F">
        <w:t xml:space="preserve"> (+4.7%)</w:t>
      </w:r>
      <w:r>
        <w:t xml:space="preserve"> sales increased</w:t>
      </w:r>
      <w:r>
        <w:t xml:space="preserve"> substantially</w:t>
      </w:r>
      <w:r>
        <w:t xml:space="preserve"> year-on-year.</w:t>
      </w:r>
    </w:p>
    <w:p w14:paraId="18F23348" w14:textId="77777777" w:rsidR="00CC4137" w:rsidRDefault="00CC4137"/>
    <w:tbl>
      <w:tblPr>
        <w:tblStyle w:val="ListTable3-Accent3"/>
        <w:tblW w:w="10615" w:type="dxa"/>
        <w:tblLayout w:type="fixed"/>
        <w:tblLook w:val="0400" w:firstRow="0" w:lastRow="0" w:firstColumn="0" w:lastColumn="0" w:noHBand="0" w:noVBand="1"/>
      </w:tblPr>
      <w:tblGrid>
        <w:gridCol w:w="2547"/>
        <w:gridCol w:w="1168"/>
        <w:gridCol w:w="882"/>
        <w:gridCol w:w="991"/>
        <w:gridCol w:w="972"/>
        <w:gridCol w:w="927"/>
        <w:gridCol w:w="1117"/>
        <w:gridCol w:w="1047"/>
        <w:gridCol w:w="964"/>
      </w:tblGrid>
      <w:tr w:rsidR="00E25C6B" w:rsidRPr="00B25DFD" w14:paraId="06A52115" w14:textId="77777777" w:rsidTr="00D3797F">
        <w:trPr>
          <w:cnfStyle w:val="000000100000" w:firstRow="0" w:lastRow="0" w:firstColumn="0" w:lastColumn="0" w:oddVBand="0" w:evenVBand="0" w:oddHBand="1" w:evenHBand="0" w:firstRowFirstColumn="0" w:firstRowLastColumn="0" w:lastRowFirstColumn="0" w:lastRowLastColumn="0"/>
          <w:trHeight w:val="20"/>
        </w:trPr>
        <w:tc>
          <w:tcPr>
            <w:tcW w:w="2547" w:type="dxa"/>
            <w:shd w:val="clear" w:color="auto" w:fill="800000"/>
            <w:hideMark/>
          </w:tcPr>
          <w:p w14:paraId="60C8BF6E" w14:textId="16F32492" w:rsidR="00E25C6B" w:rsidRPr="006A7A6E" w:rsidRDefault="00E25C6B" w:rsidP="009718A1">
            <w:pPr>
              <w:pStyle w:val="NoSpacing"/>
              <w:rPr>
                <w:rFonts w:cstheme="minorHAnsi"/>
                <w:b/>
                <w:bCs/>
                <w:color w:val="FFFFFF" w:themeColor="background1"/>
              </w:rPr>
            </w:pPr>
            <w:bookmarkStart w:id="0" w:name="_Hlk97115006"/>
            <w:r w:rsidRPr="006A7A6E">
              <w:rPr>
                <w:rFonts w:cstheme="minorHAnsi"/>
                <w:b/>
                <w:bCs/>
                <w:color w:val="FFFFFF" w:themeColor="background1"/>
              </w:rPr>
              <w:t xml:space="preserve">4 weeks ending </w:t>
            </w:r>
            <w:r w:rsidR="008B59F7">
              <w:rPr>
                <w:rFonts w:cstheme="minorHAnsi"/>
                <w:b/>
                <w:bCs/>
                <w:color w:val="FFFFFF" w:themeColor="background1"/>
              </w:rPr>
              <w:t>9/8</w:t>
            </w:r>
            <w:r>
              <w:rPr>
                <w:rFonts w:cstheme="minorHAnsi"/>
                <w:b/>
                <w:bCs/>
                <w:color w:val="FFFFFF" w:themeColor="background1"/>
              </w:rPr>
              <w:t>/2024</w:t>
            </w:r>
          </w:p>
        </w:tc>
        <w:tc>
          <w:tcPr>
            <w:tcW w:w="1168" w:type="dxa"/>
            <w:shd w:val="clear" w:color="auto" w:fill="800000"/>
            <w:hideMark/>
          </w:tcPr>
          <w:p w14:paraId="1064D99F" w14:textId="77777777" w:rsidR="00E25C6B" w:rsidRPr="006A7A6E" w:rsidRDefault="00E25C6B" w:rsidP="009718A1">
            <w:pPr>
              <w:pStyle w:val="NoSpacing"/>
              <w:jc w:val="right"/>
              <w:rPr>
                <w:rFonts w:cstheme="minorHAnsi"/>
                <w:b/>
                <w:bCs/>
                <w:color w:val="FFFFFF" w:themeColor="background1"/>
              </w:rPr>
            </w:pPr>
            <w:r w:rsidRPr="006A7A6E">
              <w:rPr>
                <w:rFonts w:cstheme="minorHAnsi"/>
                <w:b/>
                <w:bCs/>
                <w:color w:val="FFFFFF" w:themeColor="background1"/>
              </w:rPr>
              <w:t>Dollars</w:t>
            </w:r>
          </w:p>
        </w:tc>
        <w:tc>
          <w:tcPr>
            <w:tcW w:w="882" w:type="dxa"/>
            <w:shd w:val="clear" w:color="auto" w:fill="800000"/>
          </w:tcPr>
          <w:p w14:paraId="07FD6981" w14:textId="77777777" w:rsidR="00E25C6B" w:rsidRPr="006A7A6E" w:rsidRDefault="00E25C6B" w:rsidP="009718A1">
            <w:pPr>
              <w:pStyle w:val="NoSpacing"/>
              <w:jc w:val="right"/>
              <w:rPr>
                <w:rFonts w:cstheme="minorHAnsi"/>
                <w:b/>
                <w:bCs/>
                <w:color w:val="FFFFFF" w:themeColor="background1"/>
              </w:rPr>
            </w:pPr>
            <w:r>
              <w:rPr>
                <w:rFonts w:cstheme="minorHAnsi"/>
                <w:b/>
                <w:bCs/>
                <w:color w:val="FFFFFF" w:themeColor="background1"/>
              </w:rPr>
              <w:t>Dollar share</w:t>
            </w:r>
          </w:p>
        </w:tc>
        <w:tc>
          <w:tcPr>
            <w:tcW w:w="991" w:type="dxa"/>
            <w:shd w:val="clear" w:color="auto" w:fill="800000"/>
            <w:hideMark/>
          </w:tcPr>
          <w:p w14:paraId="1FC52AF2" w14:textId="77777777" w:rsidR="00E25C6B" w:rsidRPr="006A7A6E" w:rsidRDefault="00E25C6B" w:rsidP="009718A1">
            <w:pPr>
              <w:pStyle w:val="NoSpacing"/>
              <w:jc w:val="right"/>
              <w:rPr>
                <w:rFonts w:cstheme="minorHAnsi"/>
                <w:b/>
                <w:bCs/>
                <w:color w:val="FFFFFF" w:themeColor="background1"/>
              </w:rPr>
            </w:pPr>
            <w:r>
              <w:rPr>
                <w:rFonts w:cstheme="minorHAnsi"/>
                <w:b/>
                <w:bCs/>
                <w:color w:val="FFFFFF" w:themeColor="background1"/>
              </w:rPr>
              <w:t>$ sales v</w:t>
            </w:r>
            <w:r w:rsidRPr="006A7A6E">
              <w:rPr>
                <w:rFonts w:cstheme="minorHAnsi"/>
                <w:b/>
                <w:bCs/>
                <w:color w:val="FFFFFF" w:themeColor="background1"/>
              </w:rPr>
              <w:t xml:space="preserve">s. </w:t>
            </w:r>
            <w:r>
              <w:rPr>
                <w:rFonts w:cstheme="minorHAnsi"/>
                <w:b/>
                <w:bCs/>
                <w:color w:val="FFFFFF" w:themeColor="background1"/>
              </w:rPr>
              <w:t>YA</w:t>
            </w:r>
          </w:p>
        </w:tc>
        <w:tc>
          <w:tcPr>
            <w:tcW w:w="972" w:type="dxa"/>
            <w:shd w:val="clear" w:color="auto" w:fill="800000"/>
            <w:hideMark/>
          </w:tcPr>
          <w:p w14:paraId="6A0D386A" w14:textId="77777777" w:rsidR="00E25C6B" w:rsidRPr="006A7A6E" w:rsidRDefault="00E25C6B" w:rsidP="009718A1">
            <w:pPr>
              <w:pStyle w:val="NoSpacing"/>
              <w:jc w:val="right"/>
              <w:rPr>
                <w:rFonts w:cstheme="minorHAnsi"/>
                <w:b/>
                <w:bCs/>
                <w:color w:val="FFFFFF" w:themeColor="background1"/>
              </w:rPr>
            </w:pPr>
            <w:r>
              <w:rPr>
                <w:rFonts w:cstheme="minorHAnsi"/>
                <w:b/>
                <w:bCs/>
                <w:color w:val="FFFFFF" w:themeColor="background1"/>
              </w:rPr>
              <w:t>$ sales v</w:t>
            </w:r>
            <w:r w:rsidRPr="006A7A6E">
              <w:rPr>
                <w:rFonts w:cstheme="minorHAnsi"/>
                <w:b/>
                <w:bCs/>
                <w:color w:val="FFFFFF" w:themeColor="background1"/>
              </w:rPr>
              <w:t xml:space="preserve">s. </w:t>
            </w:r>
            <w:r>
              <w:rPr>
                <w:rFonts w:cstheme="minorHAnsi"/>
                <w:b/>
                <w:bCs/>
                <w:color w:val="FFFFFF" w:themeColor="background1"/>
              </w:rPr>
              <w:t>3YA</w:t>
            </w:r>
          </w:p>
        </w:tc>
        <w:tc>
          <w:tcPr>
            <w:tcW w:w="927" w:type="dxa"/>
            <w:shd w:val="clear" w:color="auto" w:fill="800000"/>
          </w:tcPr>
          <w:p w14:paraId="183A24AF" w14:textId="77777777" w:rsidR="00E25C6B" w:rsidRPr="006A7A6E" w:rsidRDefault="00E25C6B" w:rsidP="009718A1">
            <w:pPr>
              <w:pStyle w:val="NoSpacing"/>
              <w:jc w:val="right"/>
              <w:rPr>
                <w:rFonts w:cstheme="minorHAnsi"/>
                <w:b/>
                <w:bCs/>
                <w:color w:val="FFFFFF" w:themeColor="background1"/>
              </w:rPr>
            </w:pPr>
            <w:r w:rsidRPr="006A7A6E">
              <w:rPr>
                <w:rFonts w:cstheme="minorHAnsi"/>
                <w:b/>
                <w:bCs/>
                <w:color w:val="FFFFFF" w:themeColor="background1"/>
              </w:rPr>
              <w:t>Volume</w:t>
            </w:r>
            <w:r>
              <w:rPr>
                <w:rFonts w:cstheme="minorHAnsi"/>
                <w:b/>
                <w:bCs/>
                <w:color w:val="FFFFFF" w:themeColor="background1"/>
              </w:rPr>
              <w:t xml:space="preserve"> (lbs)</w:t>
            </w:r>
          </w:p>
        </w:tc>
        <w:tc>
          <w:tcPr>
            <w:tcW w:w="1117" w:type="dxa"/>
            <w:shd w:val="clear" w:color="auto" w:fill="800000"/>
          </w:tcPr>
          <w:p w14:paraId="099E0FD1" w14:textId="77777777" w:rsidR="00E25C6B" w:rsidRDefault="00E25C6B" w:rsidP="009718A1">
            <w:pPr>
              <w:pStyle w:val="NoSpacing"/>
              <w:jc w:val="right"/>
              <w:rPr>
                <w:rFonts w:cstheme="minorHAnsi"/>
                <w:b/>
                <w:bCs/>
                <w:color w:val="FFFFFF" w:themeColor="background1"/>
              </w:rPr>
            </w:pPr>
            <w:r>
              <w:rPr>
                <w:rFonts w:cstheme="minorHAnsi"/>
                <w:b/>
                <w:bCs/>
                <w:color w:val="FFFFFF" w:themeColor="background1"/>
              </w:rPr>
              <w:t>Lbs</w:t>
            </w:r>
          </w:p>
          <w:p w14:paraId="0FD167EC" w14:textId="77777777" w:rsidR="00E25C6B" w:rsidRPr="006A7A6E" w:rsidRDefault="00E25C6B" w:rsidP="009718A1">
            <w:pPr>
              <w:pStyle w:val="NoSpacing"/>
              <w:jc w:val="right"/>
              <w:rPr>
                <w:rFonts w:cstheme="minorHAnsi"/>
                <w:b/>
                <w:bCs/>
                <w:color w:val="FFFFFF" w:themeColor="background1"/>
              </w:rPr>
            </w:pPr>
            <w:r>
              <w:rPr>
                <w:rFonts w:cstheme="minorHAnsi"/>
                <w:b/>
                <w:bCs/>
                <w:color w:val="FFFFFF" w:themeColor="background1"/>
              </w:rPr>
              <w:t>share</w:t>
            </w:r>
          </w:p>
        </w:tc>
        <w:tc>
          <w:tcPr>
            <w:tcW w:w="1047" w:type="dxa"/>
            <w:shd w:val="clear" w:color="auto" w:fill="800000"/>
          </w:tcPr>
          <w:p w14:paraId="6F8C758A" w14:textId="77777777" w:rsidR="00E25C6B" w:rsidRPr="006A7A6E" w:rsidRDefault="00E25C6B" w:rsidP="009718A1">
            <w:pPr>
              <w:pStyle w:val="NoSpacing"/>
              <w:jc w:val="right"/>
              <w:rPr>
                <w:rFonts w:cstheme="minorHAnsi"/>
                <w:b/>
                <w:bCs/>
                <w:color w:val="FFFFFF" w:themeColor="background1"/>
              </w:rPr>
            </w:pPr>
            <w:r>
              <w:rPr>
                <w:rFonts w:cstheme="minorHAnsi"/>
                <w:b/>
                <w:bCs/>
                <w:color w:val="FFFFFF" w:themeColor="background1"/>
              </w:rPr>
              <w:t xml:space="preserve">Lbs </w:t>
            </w:r>
            <w:r>
              <w:rPr>
                <w:rFonts w:cstheme="minorHAnsi"/>
                <w:b/>
                <w:bCs/>
                <w:color w:val="FFFFFF" w:themeColor="background1"/>
              </w:rPr>
              <w:br/>
              <w:t>v</w:t>
            </w:r>
            <w:r w:rsidRPr="006A7A6E">
              <w:rPr>
                <w:rFonts w:cstheme="minorHAnsi"/>
                <w:b/>
                <w:bCs/>
                <w:color w:val="FFFFFF" w:themeColor="background1"/>
              </w:rPr>
              <w:t xml:space="preserve">s. </w:t>
            </w:r>
            <w:r>
              <w:rPr>
                <w:rFonts w:cstheme="minorHAnsi"/>
                <w:b/>
                <w:bCs/>
                <w:color w:val="FFFFFF" w:themeColor="background1"/>
              </w:rPr>
              <w:t>YA</w:t>
            </w:r>
          </w:p>
        </w:tc>
        <w:tc>
          <w:tcPr>
            <w:tcW w:w="964" w:type="dxa"/>
            <w:shd w:val="clear" w:color="auto" w:fill="800000"/>
          </w:tcPr>
          <w:p w14:paraId="7A8620CC" w14:textId="77777777" w:rsidR="00E25C6B" w:rsidRPr="006A7A6E" w:rsidRDefault="00E25C6B" w:rsidP="009718A1">
            <w:pPr>
              <w:pStyle w:val="NoSpacing"/>
              <w:jc w:val="right"/>
              <w:rPr>
                <w:rFonts w:cstheme="minorHAnsi"/>
                <w:b/>
                <w:bCs/>
                <w:color w:val="FFFFFF" w:themeColor="background1"/>
              </w:rPr>
            </w:pPr>
            <w:r>
              <w:rPr>
                <w:rFonts w:cstheme="minorHAnsi"/>
                <w:b/>
                <w:bCs/>
                <w:color w:val="FFFFFF" w:themeColor="background1"/>
              </w:rPr>
              <w:t>Lbs v</w:t>
            </w:r>
            <w:r w:rsidRPr="006A7A6E">
              <w:rPr>
                <w:rFonts w:cstheme="minorHAnsi"/>
                <w:b/>
                <w:bCs/>
                <w:color w:val="FFFFFF" w:themeColor="background1"/>
              </w:rPr>
              <w:t xml:space="preserve">s. </w:t>
            </w:r>
            <w:r>
              <w:rPr>
                <w:rFonts w:cstheme="minorHAnsi"/>
                <w:b/>
                <w:bCs/>
                <w:color w:val="FFFFFF" w:themeColor="background1"/>
              </w:rPr>
              <w:t>3YA</w:t>
            </w:r>
          </w:p>
        </w:tc>
      </w:tr>
      <w:tr w:rsidR="008B59F7" w:rsidRPr="00B25DFD" w14:paraId="6060B2B6" w14:textId="77777777" w:rsidTr="00D3797F">
        <w:trPr>
          <w:trHeight w:val="20"/>
        </w:trPr>
        <w:tc>
          <w:tcPr>
            <w:tcW w:w="2547" w:type="dxa"/>
            <w:hideMark/>
          </w:tcPr>
          <w:p w14:paraId="07F2D68F" w14:textId="77777777" w:rsidR="008B59F7" w:rsidRPr="00245EFD" w:rsidRDefault="008B59F7" w:rsidP="008B59F7">
            <w:pPr>
              <w:rPr>
                <w:rFonts w:cstheme="minorHAnsi"/>
                <w:b/>
                <w:bCs/>
              </w:rPr>
            </w:pPr>
            <w:r w:rsidRPr="00245EFD">
              <w:rPr>
                <w:rFonts w:eastAsia="Calibri" w:cstheme="minorHAnsi"/>
                <w:b/>
                <w:bCs/>
                <w:color w:val="000000" w:themeColor="text1"/>
                <w:kern w:val="24"/>
              </w:rPr>
              <w:t>Total fresh mushrooms</w:t>
            </w:r>
          </w:p>
        </w:tc>
        <w:tc>
          <w:tcPr>
            <w:tcW w:w="1168" w:type="dxa"/>
            <w:hideMark/>
          </w:tcPr>
          <w:p w14:paraId="0A1DDAB5" w14:textId="73D15A95" w:rsidR="008B59F7" w:rsidRPr="00245EFD" w:rsidRDefault="008B59F7" w:rsidP="008B59F7">
            <w:pPr>
              <w:pStyle w:val="NoSpacing"/>
              <w:jc w:val="right"/>
              <w:rPr>
                <w:rFonts w:cstheme="minorHAnsi"/>
                <w:b/>
                <w:bCs/>
              </w:rPr>
            </w:pPr>
            <w:r>
              <w:rPr>
                <w:rFonts w:cstheme="minorHAnsi"/>
              </w:rPr>
              <w:t>$</w:t>
            </w:r>
            <w:r w:rsidR="00BD6EDF">
              <w:rPr>
                <w:rFonts w:cstheme="minorHAnsi"/>
              </w:rPr>
              <w:t>109.9</w:t>
            </w:r>
            <w:r w:rsidRPr="00245EFD">
              <w:rPr>
                <w:rFonts w:cstheme="minorHAnsi"/>
              </w:rPr>
              <w:t>M</w:t>
            </w:r>
          </w:p>
        </w:tc>
        <w:tc>
          <w:tcPr>
            <w:tcW w:w="882" w:type="dxa"/>
          </w:tcPr>
          <w:p w14:paraId="365C126B" w14:textId="767255F7" w:rsidR="008B59F7" w:rsidRPr="00245EFD" w:rsidRDefault="008B59F7" w:rsidP="008B59F7">
            <w:pPr>
              <w:pStyle w:val="NoSpacing"/>
              <w:jc w:val="right"/>
              <w:rPr>
                <w:rFonts w:cstheme="minorHAnsi"/>
                <w:b/>
                <w:bCs/>
                <w:color w:val="000000" w:themeColor="text1"/>
              </w:rPr>
            </w:pPr>
            <w:r>
              <w:rPr>
                <w:rFonts w:cstheme="minorHAnsi"/>
                <w:color w:val="000000"/>
              </w:rPr>
              <w:t>100</w:t>
            </w:r>
            <w:r w:rsidRPr="00245EFD">
              <w:rPr>
                <w:rFonts w:cstheme="minorHAnsi"/>
                <w:color w:val="000000"/>
              </w:rPr>
              <w:t>%</w:t>
            </w:r>
          </w:p>
        </w:tc>
        <w:tc>
          <w:tcPr>
            <w:tcW w:w="991" w:type="dxa"/>
            <w:hideMark/>
          </w:tcPr>
          <w:p w14:paraId="053B6359" w14:textId="0D6157B0" w:rsidR="008B59F7" w:rsidRPr="00245EFD" w:rsidRDefault="008B59F7" w:rsidP="008B59F7">
            <w:pPr>
              <w:pStyle w:val="NoSpacing"/>
              <w:jc w:val="right"/>
              <w:rPr>
                <w:rFonts w:cstheme="minorHAnsi"/>
                <w:b/>
                <w:bCs/>
              </w:rPr>
            </w:pPr>
            <w:r>
              <w:rPr>
                <w:rFonts w:cstheme="minorHAnsi"/>
              </w:rPr>
              <w:t>-</w:t>
            </w:r>
            <w:r w:rsidR="00810052">
              <w:rPr>
                <w:rFonts w:cstheme="minorHAnsi"/>
              </w:rPr>
              <w:t>0.0</w:t>
            </w:r>
            <w:r w:rsidRPr="00245EFD">
              <w:rPr>
                <w:rFonts w:cstheme="minorHAnsi"/>
              </w:rPr>
              <w:t>%</w:t>
            </w:r>
          </w:p>
        </w:tc>
        <w:tc>
          <w:tcPr>
            <w:tcW w:w="972" w:type="dxa"/>
            <w:hideMark/>
          </w:tcPr>
          <w:p w14:paraId="525F03F4" w14:textId="47B10FBC" w:rsidR="008B59F7" w:rsidRPr="00245EFD" w:rsidRDefault="008B59F7" w:rsidP="008B59F7">
            <w:pPr>
              <w:pStyle w:val="NoSpacing"/>
              <w:jc w:val="right"/>
              <w:rPr>
                <w:rFonts w:cstheme="minorHAnsi"/>
                <w:b/>
                <w:bCs/>
              </w:rPr>
            </w:pPr>
            <w:r>
              <w:rPr>
                <w:rFonts w:cstheme="minorHAnsi"/>
              </w:rPr>
              <w:t>-</w:t>
            </w:r>
            <w:r w:rsidR="00810052">
              <w:rPr>
                <w:rFonts w:cstheme="minorHAnsi"/>
              </w:rPr>
              <w:t>2.7</w:t>
            </w:r>
            <w:r w:rsidRPr="00245EFD">
              <w:rPr>
                <w:rFonts w:cstheme="minorHAnsi"/>
              </w:rPr>
              <w:t>%</w:t>
            </w:r>
          </w:p>
        </w:tc>
        <w:tc>
          <w:tcPr>
            <w:tcW w:w="927" w:type="dxa"/>
          </w:tcPr>
          <w:p w14:paraId="22279171" w14:textId="6EB2C654" w:rsidR="008B59F7" w:rsidRPr="00245EFD" w:rsidRDefault="00810052" w:rsidP="008B59F7">
            <w:pPr>
              <w:pStyle w:val="NoSpacing"/>
              <w:jc w:val="center"/>
              <w:rPr>
                <w:rFonts w:cstheme="minorHAnsi"/>
                <w:b/>
                <w:bCs/>
              </w:rPr>
            </w:pPr>
            <w:r>
              <w:rPr>
                <w:rFonts w:cstheme="minorHAnsi"/>
              </w:rPr>
              <w:t>24.1</w:t>
            </w:r>
            <w:r w:rsidR="008B59F7" w:rsidRPr="00C92147">
              <w:rPr>
                <w:rFonts w:cstheme="minorHAnsi"/>
              </w:rPr>
              <w:t>M</w:t>
            </w:r>
          </w:p>
        </w:tc>
        <w:tc>
          <w:tcPr>
            <w:tcW w:w="1117" w:type="dxa"/>
          </w:tcPr>
          <w:p w14:paraId="630361CF" w14:textId="2DC4378C" w:rsidR="008B59F7" w:rsidRPr="00245EFD" w:rsidRDefault="008B59F7" w:rsidP="008B59F7">
            <w:pPr>
              <w:pStyle w:val="NoSpacing"/>
              <w:jc w:val="right"/>
              <w:rPr>
                <w:rFonts w:cstheme="minorHAnsi"/>
                <w:b/>
                <w:bCs/>
                <w:color w:val="000000" w:themeColor="text1"/>
              </w:rPr>
            </w:pPr>
            <w:r>
              <w:rPr>
                <w:rFonts w:cstheme="minorHAnsi"/>
                <w:color w:val="000000"/>
              </w:rPr>
              <w:t>100</w:t>
            </w:r>
            <w:r w:rsidRPr="00245EFD">
              <w:rPr>
                <w:rFonts w:cstheme="minorHAnsi"/>
                <w:color w:val="000000"/>
              </w:rPr>
              <w:t>%</w:t>
            </w:r>
          </w:p>
        </w:tc>
        <w:tc>
          <w:tcPr>
            <w:tcW w:w="1047" w:type="dxa"/>
          </w:tcPr>
          <w:p w14:paraId="13CC202A" w14:textId="60BB5EB2" w:rsidR="008B59F7" w:rsidRPr="00245EFD" w:rsidRDefault="008B59F7" w:rsidP="008B59F7">
            <w:pPr>
              <w:pStyle w:val="NoSpacing"/>
              <w:jc w:val="right"/>
              <w:rPr>
                <w:rFonts w:cstheme="minorHAnsi"/>
                <w:b/>
                <w:bCs/>
              </w:rPr>
            </w:pPr>
            <w:r>
              <w:rPr>
                <w:rFonts w:cstheme="minorHAnsi"/>
              </w:rPr>
              <w:t>-</w:t>
            </w:r>
            <w:r w:rsidR="00810052">
              <w:rPr>
                <w:rFonts w:cstheme="minorHAnsi"/>
              </w:rPr>
              <w:t>0.5</w:t>
            </w:r>
            <w:r w:rsidRPr="00245EFD">
              <w:rPr>
                <w:rFonts w:cstheme="minorHAnsi"/>
              </w:rPr>
              <w:t>%</w:t>
            </w:r>
          </w:p>
        </w:tc>
        <w:tc>
          <w:tcPr>
            <w:tcW w:w="964" w:type="dxa"/>
          </w:tcPr>
          <w:p w14:paraId="18FA9632" w14:textId="3F4436D9" w:rsidR="008B59F7" w:rsidRPr="00245EFD" w:rsidRDefault="008B59F7" w:rsidP="008B59F7">
            <w:pPr>
              <w:pStyle w:val="NoSpacing"/>
              <w:jc w:val="right"/>
              <w:rPr>
                <w:rFonts w:cstheme="minorHAnsi"/>
                <w:b/>
                <w:bCs/>
              </w:rPr>
            </w:pPr>
            <w:r>
              <w:rPr>
                <w:rFonts w:cstheme="minorHAnsi"/>
              </w:rPr>
              <w:t>-</w:t>
            </w:r>
            <w:r w:rsidR="00810052">
              <w:rPr>
                <w:rFonts w:cstheme="minorHAnsi"/>
              </w:rPr>
              <w:t>10.9</w:t>
            </w:r>
            <w:r w:rsidRPr="00245EFD">
              <w:rPr>
                <w:rFonts w:cstheme="minorHAnsi"/>
              </w:rPr>
              <w:t>%</w:t>
            </w:r>
          </w:p>
        </w:tc>
      </w:tr>
      <w:tr w:rsidR="008B59F7" w:rsidRPr="00B25DFD" w14:paraId="145D73B9" w14:textId="77777777" w:rsidTr="00D3797F">
        <w:trPr>
          <w:cnfStyle w:val="000000100000" w:firstRow="0" w:lastRow="0" w:firstColumn="0" w:lastColumn="0" w:oddVBand="0" w:evenVBand="0" w:oddHBand="1" w:evenHBand="0" w:firstRowFirstColumn="0" w:firstRowLastColumn="0" w:lastRowFirstColumn="0" w:lastRowLastColumn="0"/>
          <w:trHeight w:val="20"/>
        </w:trPr>
        <w:tc>
          <w:tcPr>
            <w:tcW w:w="2547" w:type="dxa"/>
            <w:hideMark/>
          </w:tcPr>
          <w:p w14:paraId="78B4D2F2" w14:textId="77777777" w:rsidR="008B59F7" w:rsidRPr="00245EFD" w:rsidRDefault="008B59F7" w:rsidP="008B59F7">
            <w:pPr>
              <w:rPr>
                <w:rFonts w:cstheme="minorHAnsi"/>
              </w:rPr>
            </w:pPr>
            <w:r w:rsidRPr="00245EFD">
              <w:rPr>
                <w:rFonts w:eastAsia="Calibri" w:cstheme="minorHAnsi"/>
                <w:color w:val="000000" w:themeColor="text1"/>
                <w:kern w:val="24"/>
              </w:rPr>
              <w:t>White mushrooms</w:t>
            </w:r>
          </w:p>
        </w:tc>
        <w:tc>
          <w:tcPr>
            <w:tcW w:w="1168" w:type="dxa"/>
            <w:hideMark/>
          </w:tcPr>
          <w:p w14:paraId="4C0D7E28" w14:textId="7122B542" w:rsidR="008B59F7" w:rsidRPr="00245EFD" w:rsidRDefault="008B59F7" w:rsidP="008B59F7">
            <w:pPr>
              <w:pStyle w:val="NoSpacing"/>
              <w:jc w:val="right"/>
              <w:rPr>
                <w:rFonts w:cstheme="minorHAnsi"/>
              </w:rPr>
            </w:pPr>
            <w:r w:rsidRPr="00A408A4">
              <w:rPr>
                <w:rFonts w:cstheme="minorHAnsi"/>
              </w:rPr>
              <w:t>$</w:t>
            </w:r>
            <w:r w:rsidR="00BD6EDF">
              <w:rPr>
                <w:rFonts w:cstheme="minorHAnsi"/>
              </w:rPr>
              <w:t>55.1</w:t>
            </w:r>
            <w:r w:rsidRPr="00A408A4">
              <w:rPr>
                <w:rFonts w:cstheme="minorHAnsi"/>
              </w:rPr>
              <w:t>M</w:t>
            </w:r>
          </w:p>
        </w:tc>
        <w:tc>
          <w:tcPr>
            <w:tcW w:w="882" w:type="dxa"/>
          </w:tcPr>
          <w:p w14:paraId="3CADA244" w14:textId="3F31C8ED" w:rsidR="008B59F7" w:rsidRPr="00245EFD" w:rsidRDefault="00810052" w:rsidP="008B59F7">
            <w:pPr>
              <w:pStyle w:val="NoSpacing"/>
              <w:jc w:val="right"/>
              <w:rPr>
                <w:rFonts w:cstheme="minorHAnsi"/>
              </w:rPr>
            </w:pPr>
            <w:r>
              <w:rPr>
                <w:rFonts w:cstheme="minorHAnsi"/>
                <w:color w:val="000000"/>
              </w:rPr>
              <w:t>50.1</w:t>
            </w:r>
            <w:r w:rsidR="008B59F7" w:rsidRPr="00245EFD">
              <w:rPr>
                <w:rFonts w:cstheme="minorHAnsi"/>
                <w:color w:val="000000"/>
              </w:rPr>
              <w:t>%</w:t>
            </w:r>
          </w:p>
        </w:tc>
        <w:tc>
          <w:tcPr>
            <w:tcW w:w="991" w:type="dxa"/>
            <w:hideMark/>
          </w:tcPr>
          <w:p w14:paraId="6C36ED75" w14:textId="22DDAC5D" w:rsidR="008B59F7" w:rsidRPr="00245EFD" w:rsidRDefault="008B59F7" w:rsidP="008B59F7">
            <w:pPr>
              <w:pStyle w:val="NoSpacing"/>
              <w:jc w:val="right"/>
              <w:rPr>
                <w:rFonts w:cstheme="minorHAnsi"/>
              </w:rPr>
            </w:pPr>
            <w:r>
              <w:rPr>
                <w:rFonts w:cstheme="minorHAnsi"/>
              </w:rPr>
              <w:t>-</w:t>
            </w:r>
            <w:r w:rsidR="00810052">
              <w:rPr>
                <w:rFonts w:cstheme="minorHAnsi"/>
              </w:rPr>
              <w:t>0.3</w:t>
            </w:r>
            <w:r w:rsidRPr="00245EFD">
              <w:rPr>
                <w:rFonts w:cstheme="minorHAnsi"/>
              </w:rPr>
              <w:t>%</w:t>
            </w:r>
          </w:p>
        </w:tc>
        <w:tc>
          <w:tcPr>
            <w:tcW w:w="972" w:type="dxa"/>
            <w:hideMark/>
          </w:tcPr>
          <w:p w14:paraId="12408AC8" w14:textId="4727D450" w:rsidR="008B59F7" w:rsidRPr="00245EFD" w:rsidRDefault="008B59F7" w:rsidP="008B59F7">
            <w:pPr>
              <w:pStyle w:val="NoSpacing"/>
              <w:jc w:val="right"/>
              <w:rPr>
                <w:rFonts w:cstheme="minorHAnsi"/>
              </w:rPr>
            </w:pPr>
            <w:r>
              <w:rPr>
                <w:rFonts w:cstheme="minorHAnsi"/>
              </w:rPr>
              <w:t>-</w:t>
            </w:r>
            <w:r w:rsidR="00810052">
              <w:rPr>
                <w:rFonts w:cstheme="minorHAnsi"/>
              </w:rPr>
              <w:t>6.4</w:t>
            </w:r>
            <w:r w:rsidRPr="00245EFD">
              <w:rPr>
                <w:rFonts w:cstheme="minorHAnsi"/>
              </w:rPr>
              <w:t>%</w:t>
            </w:r>
          </w:p>
        </w:tc>
        <w:tc>
          <w:tcPr>
            <w:tcW w:w="927" w:type="dxa"/>
          </w:tcPr>
          <w:p w14:paraId="5118D613" w14:textId="7B1EC2AF" w:rsidR="008B59F7" w:rsidRPr="00245EFD" w:rsidRDefault="00810052" w:rsidP="008B59F7">
            <w:pPr>
              <w:pStyle w:val="NoSpacing"/>
              <w:jc w:val="center"/>
              <w:rPr>
                <w:rFonts w:cstheme="minorHAnsi"/>
              </w:rPr>
            </w:pPr>
            <w:r>
              <w:rPr>
                <w:rFonts w:cstheme="minorHAnsi"/>
              </w:rPr>
              <w:t>13.8</w:t>
            </w:r>
            <w:r w:rsidR="008B59F7" w:rsidRPr="00C92147">
              <w:rPr>
                <w:rFonts w:cstheme="minorHAnsi"/>
              </w:rPr>
              <w:t>M</w:t>
            </w:r>
          </w:p>
        </w:tc>
        <w:tc>
          <w:tcPr>
            <w:tcW w:w="1117" w:type="dxa"/>
          </w:tcPr>
          <w:p w14:paraId="40D97251" w14:textId="4520FD2C" w:rsidR="008B59F7" w:rsidRPr="00245EFD" w:rsidRDefault="00810052" w:rsidP="008B59F7">
            <w:pPr>
              <w:pStyle w:val="NoSpacing"/>
              <w:tabs>
                <w:tab w:val="left" w:pos="510"/>
                <w:tab w:val="right" w:pos="674"/>
              </w:tabs>
              <w:jc w:val="right"/>
              <w:rPr>
                <w:rFonts w:cstheme="minorHAnsi"/>
              </w:rPr>
            </w:pPr>
            <w:r>
              <w:rPr>
                <w:rFonts w:cstheme="minorHAnsi"/>
                <w:color w:val="000000"/>
              </w:rPr>
              <w:t>57.1</w:t>
            </w:r>
            <w:r w:rsidR="008B59F7" w:rsidRPr="002668E1">
              <w:rPr>
                <w:rFonts w:cstheme="minorHAnsi"/>
                <w:color w:val="000000"/>
              </w:rPr>
              <w:t>%</w:t>
            </w:r>
          </w:p>
        </w:tc>
        <w:tc>
          <w:tcPr>
            <w:tcW w:w="1047" w:type="dxa"/>
          </w:tcPr>
          <w:p w14:paraId="710357FA" w14:textId="0210B1D3" w:rsidR="008B59F7" w:rsidRPr="00245EFD" w:rsidRDefault="008B59F7" w:rsidP="008B59F7">
            <w:pPr>
              <w:pStyle w:val="NoSpacing"/>
              <w:jc w:val="right"/>
              <w:rPr>
                <w:rFonts w:cstheme="minorHAnsi"/>
              </w:rPr>
            </w:pPr>
            <w:r>
              <w:rPr>
                <w:rFonts w:cstheme="minorHAnsi"/>
              </w:rPr>
              <w:t>-</w:t>
            </w:r>
            <w:r w:rsidR="00810052">
              <w:rPr>
                <w:rFonts w:cstheme="minorHAnsi"/>
              </w:rPr>
              <w:t>0.5</w:t>
            </w:r>
            <w:r w:rsidRPr="00245EFD">
              <w:rPr>
                <w:rFonts w:cstheme="minorHAnsi"/>
              </w:rPr>
              <w:t>%</w:t>
            </w:r>
          </w:p>
        </w:tc>
        <w:tc>
          <w:tcPr>
            <w:tcW w:w="964" w:type="dxa"/>
          </w:tcPr>
          <w:p w14:paraId="285307C2" w14:textId="28C5EFAB" w:rsidR="008B59F7" w:rsidRPr="00245EFD" w:rsidRDefault="008B59F7" w:rsidP="008B59F7">
            <w:pPr>
              <w:pStyle w:val="NoSpacing"/>
              <w:jc w:val="right"/>
              <w:rPr>
                <w:rFonts w:cstheme="minorHAnsi"/>
              </w:rPr>
            </w:pPr>
            <w:r>
              <w:rPr>
                <w:rFonts w:cstheme="minorHAnsi"/>
              </w:rPr>
              <w:t>-</w:t>
            </w:r>
            <w:r w:rsidR="00810052">
              <w:rPr>
                <w:rFonts w:cstheme="minorHAnsi"/>
              </w:rPr>
              <w:t>14.6</w:t>
            </w:r>
            <w:r w:rsidRPr="00245EFD">
              <w:rPr>
                <w:rFonts w:cstheme="minorHAnsi"/>
              </w:rPr>
              <w:t>%</w:t>
            </w:r>
          </w:p>
        </w:tc>
      </w:tr>
      <w:tr w:rsidR="008B59F7" w:rsidRPr="00B25DFD" w14:paraId="57FEBDF7" w14:textId="77777777" w:rsidTr="00D3797F">
        <w:trPr>
          <w:trHeight w:val="20"/>
        </w:trPr>
        <w:tc>
          <w:tcPr>
            <w:tcW w:w="2547" w:type="dxa"/>
            <w:hideMark/>
          </w:tcPr>
          <w:p w14:paraId="602D364E" w14:textId="77777777" w:rsidR="008B59F7" w:rsidRPr="00245EFD" w:rsidRDefault="008B59F7" w:rsidP="008B59F7">
            <w:pPr>
              <w:rPr>
                <w:rFonts w:cstheme="minorHAnsi"/>
              </w:rPr>
            </w:pPr>
            <w:r w:rsidRPr="00245EFD">
              <w:rPr>
                <w:rFonts w:eastAsia="Calibri" w:cstheme="minorHAnsi"/>
                <w:color w:val="000000" w:themeColor="text1"/>
                <w:kern w:val="24"/>
              </w:rPr>
              <w:t>Crimini mushrooms</w:t>
            </w:r>
          </w:p>
        </w:tc>
        <w:tc>
          <w:tcPr>
            <w:tcW w:w="1168" w:type="dxa"/>
            <w:hideMark/>
          </w:tcPr>
          <w:p w14:paraId="41892DB8" w14:textId="3C7DB275" w:rsidR="008B59F7" w:rsidRPr="00245EFD" w:rsidRDefault="008B59F7" w:rsidP="008B59F7">
            <w:pPr>
              <w:pStyle w:val="NoSpacing"/>
              <w:jc w:val="right"/>
              <w:rPr>
                <w:rFonts w:cstheme="minorHAnsi"/>
              </w:rPr>
            </w:pPr>
            <w:r w:rsidRPr="00A408A4">
              <w:rPr>
                <w:rFonts w:cstheme="minorHAnsi"/>
              </w:rPr>
              <w:t>$</w:t>
            </w:r>
            <w:r w:rsidR="00BD6EDF">
              <w:rPr>
                <w:rFonts w:cstheme="minorHAnsi"/>
              </w:rPr>
              <w:t>38.6</w:t>
            </w:r>
            <w:r w:rsidRPr="00A408A4">
              <w:rPr>
                <w:rFonts w:cstheme="minorHAnsi"/>
              </w:rPr>
              <w:t>M</w:t>
            </w:r>
          </w:p>
        </w:tc>
        <w:tc>
          <w:tcPr>
            <w:tcW w:w="882" w:type="dxa"/>
          </w:tcPr>
          <w:p w14:paraId="46ABCE73" w14:textId="24BAD908" w:rsidR="008B59F7" w:rsidRPr="00245EFD" w:rsidRDefault="00810052" w:rsidP="008B59F7">
            <w:pPr>
              <w:pStyle w:val="NoSpacing"/>
              <w:jc w:val="right"/>
              <w:rPr>
                <w:rFonts w:cstheme="minorHAnsi"/>
              </w:rPr>
            </w:pPr>
            <w:r>
              <w:rPr>
                <w:rFonts w:cstheme="minorHAnsi"/>
                <w:color w:val="000000"/>
              </w:rPr>
              <w:t>35.2</w:t>
            </w:r>
            <w:r w:rsidR="008B59F7" w:rsidRPr="00D57000">
              <w:rPr>
                <w:rFonts w:cstheme="minorHAnsi"/>
                <w:color w:val="000000"/>
              </w:rPr>
              <w:t>%</w:t>
            </w:r>
          </w:p>
        </w:tc>
        <w:tc>
          <w:tcPr>
            <w:tcW w:w="991" w:type="dxa"/>
            <w:hideMark/>
          </w:tcPr>
          <w:p w14:paraId="481BED1D" w14:textId="7C6EFCEC" w:rsidR="008B59F7" w:rsidRPr="00245EFD" w:rsidRDefault="00810052" w:rsidP="008B59F7">
            <w:pPr>
              <w:pStyle w:val="NoSpacing"/>
              <w:jc w:val="right"/>
              <w:rPr>
                <w:rFonts w:cstheme="minorHAnsi"/>
              </w:rPr>
            </w:pPr>
            <w:r>
              <w:rPr>
                <w:rFonts w:cstheme="minorHAnsi"/>
              </w:rPr>
              <w:t>+0.6</w:t>
            </w:r>
            <w:r w:rsidR="008B59F7" w:rsidRPr="00245EFD">
              <w:rPr>
                <w:rFonts w:cstheme="minorHAnsi"/>
              </w:rPr>
              <w:t>%</w:t>
            </w:r>
          </w:p>
        </w:tc>
        <w:tc>
          <w:tcPr>
            <w:tcW w:w="972" w:type="dxa"/>
            <w:hideMark/>
          </w:tcPr>
          <w:p w14:paraId="72645B7B" w14:textId="35850995" w:rsidR="008B59F7" w:rsidRPr="00245EFD" w:rsidRDefault="00810052" w:rsidP="008B59F7">
            <w:pPr>
              <w:pStyle w:val="NoSpacing"/>
              <w:jc w:val="right"/>
              <w:rPr>
                <w:rFonts w:cstheme="minorHAnsi"/>
              </w:rPr>
            </w:pPr>
            <w:r>
              <w:rPr>
                <w:rFonts w:cstheme="minorHAnsi"/>
              </w:rPr>
              <w:t>+8.7</w:t>
            </w:r>
            <w:r w:rsidR="008B59F7" w:rsidRPr="00245EFD">
              <w:rPr>
                <w:rFonts w:cstheme="minorHAnsi"/>
              </w:rPr>
              <w:t>%</w:t>
            </w:r>
          </w:p>
        </w:tc>
        <w:tc>
          <w:tcPr>
            <w:tcW w:w="927" w:type="dxa"/>
          </w:tcPr>
          <w:p w14:paraId="0F1677BF" w14:textId="67BA95C9" w:rsidR="008B59F7" w:rsidRPr="00245EFD" w:rsidRDefault="00810052" w:rsidP="008B59F7">
            <w:pPr>
              <w:pStyle w:val="NoSpacing"/>
              <w:jc w:val="center"/>
              <w:rPr>
                <w:rFonts w:cstheme="minorHAnsi"/>
              </w:rPr>
            </w:pPr>
            <w:r>
              <w:rPr>
                <w:rFonts w:cstheme="minorHAnsi"/>
              </w:rPr>
              <w:t>8.2</w:t>
            </w:r>
            <w:r w:rsidR="008B59F7" w:rsidRPr="00C92147">
              <w:rPr>
                <w:rFonts w:cstheme="minorHAnsi"/>
              </w:rPr>
              <w:t>M</w:t>
            </w:r>
          </w:p>
        </w:tc>
        <w:tc>
          <w:tcPr>
            <w:tcW w:w="1117" w:type="dxa"/>
          </w:tcPr>
          <w:p w14:paraId="6BFC89D0" w14:textId="5EF49FF6" w:rsidR="008B59F7" w:rsidRPr="00245EFD" w:rsidRDefault="00BD6EDF" w:rsidP="008B59F7">
            <w:pPr>
              <w:pStyle w:val="NoSpacing"/>
              <w:jc w:val="right"/>
              <w:rPr>
                <w:rFonts w:cstheme="minorHAnsi"/>
              </w:rPr>
            </w:pPr>
            <w:r>
              <w:rPr>
                <w:rFonts w:cstheme="minorHAnsi"/>
                <w:color w:val="000000"/>
              </w:rPr>
              <w:t>34.0</w:t>
            </w:r>
            <w:r w:rsidR="008B59F7" w:rsidRPr="002668E1">
              <w:rPr>
                <w:rFonts w:cstheme="minorHAnsi"/>
                <w:color w:val="000000"/>
              </w:rPr>
              <w:t>%</w:t>
            </w:r>
          </w:p>
        </w:tc>
        <w:tc>
          <w:tcPr>
            <w:tcW w:w="1047" w:type="dxa"/>
          </w:tcPr>
          <w:p w14:paraId="523FEFF1" w14:textId="39D05E05" w:rsidR="008B59F7" w:rsidRPr="00245EFD" w:rsidRDefault="008B59F7" w:rsidP="008B59F7">
            <w:pPr>
              <w:pStyle w:val="NoSpacing"/>
              <w:jc w:val="right"/>
              <w:rPr>
                <w:rFonts w:cstheme="minorHAnsi"/>
              </w:rPr>
            </w:pPr>
            <w:r>
              <w:rPr>
                <w:rFonts w:cstheme="minorHAnsi"/>
              </w:rPr>
              <w:t>+</w:t>
            </w:r>
            <w:r w:rsidR="00810052">
              <w:rPr>
                <w:rFonts w:cstheme="minorHAnsi"/>
              </w:rPr>
              <w:t>0.5</w:t>
            </w:r>
            <w:r w:rsidRPr="00245EFD">
              <w:rPr>
                <w:rFonts w:cstheme="minorHAnsi"/>
              </w:rPr>
              <w:t>%</w:t>
            </w:r>
          </w:p>
        </w:tc>
        <w:tc>
          <w:tcPr>
            <w:tcW w:w="964" w:type="dxa"/>
          </w:tcPr>
          <w:p w14:paraId="79E4C24B" w14:textId="68FF1A64" w:rsidR="008B59F7" w:rsidRPr="00245EFD" w:rsidRDefault="008B59F7" w:rsidP="008B59F7">
            <w:pPr>
              <w:pStyle w:val="NoSpacing"/>
              <w:jc w:val="right"/>
              <w:rPr>
                <w:rFonts w:cstheme="minorHAnsi"/>
              </w:rPr>
            </w:pPr>
            <w:r>
              <w:rPr>
                <w:rFonts w:cstheme="minorHAnsi"/>
              </w:rPr>
              <w:t>+</w:t>
            </w:r>
            <w:r w:rsidR="00810052">
              <w:rPr>
                <w:rFonts w:cstheme="minorHAnsi"/>
              </w:rPr>
              <w:t>0.9</w:t>
            </w:r>
            <w:r w:rsidRPr="00245EFD">
              <w:rPr>
                <w:rFonts w:cstheme="minorHAnsi"/>
              </w:rPr>
              <w:t>%</w:t>
            </w:r>
          </w:p>
        </w:tc>
      </w:tr>
      <w:tr w:rsidR="008B59F7" w:rsidRPr="00B25DFD" w14:paraId="7E4A2AE4" w14:textId="77777777" w:rsidTr="00D3797F">
        <w:trPr>
          <w:cnfStyle w:val="000000100000" w:firstRow="0" w:lastRow="0" w:firstColumn="0" w:lastColumn="0" w:oddVBand="0" w:evenVBand="0" w:oddHBand="1" w:evenHBand="0" w:firstRowFirstColumn="0" w:firstRowLastColumn="0" w:lastRowFirstColumn="0" w:lastRowLastColumn="0"/>
          <w:trHeight w:val="20"/>
        </w:trPr>
        <w:tc>
          <w:tcPr>
            <w:tcW w:w="2547" w:type="dxa"/>
            <w:hideMark/>
          </w:tcPr>
          <w:p w14:paraId="62CA9D59" w14:textId="77777777" w:rsidR="008B59F7" w:rsidRPr="00245EFD" w:rsidRDefault="008B59F7" w:rsidP="008B59F7">
            <w:pPr>
              <w:rPr>
                <w:rFonts w:cstheme="minorHAnsi"/>
              </w:rPr>
            </w:pPr>
            <w:r w:rsidRPr="00245EFD">
              <w:rPr>
                <w:rFonts w:eastAsia="Calibri" w:cstheme="minorHAnsi"/>
                <w:color w:val="000000" w:themeColor="text1"/>
                <w:kern w:val="24"/>
              </w:rPr>
              <w:t>Specialty mushrooms</w:t>
            </w:r>
          </w:p>
        </w:tc>
        <w:tc>
          <w:tcPr>
            <w:tcW w:w="1168" w:type="dxa"/>
            <w:hideMark/>
          </w:tcPr>
          <w:p w14:paraId="12033966" w14:textId="65D7476B" w:rsidR="008B59F7" w:rsidRPr="00245EFD" w:rsidRDefault="008B59F7" w:rsidP="008B59F7">
            <w:pPr>
              <w:pStyle w:val="NoSpacing"/>
              <w:jc w:val="right"/>
              <w:rPr>
                <w:rFonts w:cstheme="minorHAnsi"/>
              </w:rPr>
            </w:pPr>
            <w:r w:rsidRPr="00A408A4">
              <w:rPr>
                <w:rFonts w:cstheme="minorHAnsi"/>
              </w:rPr>
              <w:t>$</w:t>
            </w:r>
            <w:r w:rsidR="00BD6EDF">
              <w:rPr>
                <w:rFonts w:cstheme="minorHAnsi"/>
              </w:rPr>
              <w:t>6.9</w:t>
            </w:r>
            <w:r w:rsidRPr="00A408A4">
              <w:rPr>
                <w:rFonts w:cstheme="minorHAnsi"/>
              </w:rPr>
              <w:t>M</w:t>
            </w:r>
          </w:p>
        </w:tc>
        <w:tc>
          <w:tcPr>
            <w:tcW w:w="882" w:type="dxa"/>
          </w:tcPr>
          <w:p w14:paraId="20BDBE45" w14:textId="1C184364" w:rsidR="008B59F7" w:rsidRPr="00245EFD" w:rsidRDefault="00810052" w:rsidP="008B59F7">
            <w:pPr>
              <w:pStyle w:val="NoSpacing"/>
              <w:jc w:val="right"/>
              <w:rPr>
                <w:rFonts w:cstheme="minorHAnsi"/>
              </w:rPr>
            </w:pPr>
            <w:r>
              <w:rPr>
                <w:rFonts w:cstheme="minorHAnsi"/>
                <w:color w:val="000000"/>
              </w:rPr>
              <w:t>6.3</w:t>
            </w:r>
            <w:r w:rsidR="008B59F7" w:rsidRPr="00D57000">
              <w:rPr>
                <w:rFonts w:cstheme="minorHAnsi"/>
                <w:color w:val="000000"/>
              </w:rPr>
              <w:t>%</w:t>
            </w:r>
          </w:p>
        </w:tc>
        <w:tc>
          <w:tcPr>
            <w:tcW w:w="991" w:type="dxa"/>
            <w:hideMark/>
          </w:tcPr>
          <w:p w14:paraId="2A392A18" w14:textId="44072DFA" w:rsidR="008B59F7" w:rsidRPr="00245EFD" w:rsidRDefault="00810052" w:rsidP="008B59F7">
            <w:pPr>
              <w:pStyle w:val="NoSpacing"/>
              <w:jc w:val="right"/>
              <w:rPr>
                <w:rFonts w:cstheme="minorHAnsi"/>
              </w:rPr>
            </w:pPr>
            <w:r>
              <w:rPr>
                <w:rFonts w:cstheme="minorHAnsi"/>
              </w:rPr>
              <w:t>+6.8</w:t>
            </w:r>
            <w:r w:rsidR="008B59F7" w:rsidRPr="00245EFD">
              <w:rPr>
                <w:rFonts w:cstheme="minorHAnsi"/>
              </w:rPr>
              <w:t>%</w:t>
            </w:r>
          </w:p>
        </w:tc>
        <w:tc>
          <w:tcPr>
            <w:tcW w:w="972" w:type="dxa"/>
            <w:hideMark/>
          </w:tcPr>
          <w:p w14:paraId="6E10AA11" w14:textId="089BC155" w:rsidR="008B59F7" w:rsidRPr="00245EFD" w:rsidRDefault="008B59F7" w:rsidP="008B59F7">
            <w:pPr>
              <w:pStyle w:val="NoSpacing"/>
              <w:jc w:val="right"/>
              <w:rPr>
                <w:rFonts w:cstheme="minorHAnsi"/>
              </w:rPr>
            </w:pPr>
            <w:r>
              <w:rPr>
                <w:rFonts w:cstheme="minorHAnsi"/>
              </w:rPr>
              <w:t>+</w:t>
            </w:r>
            <w:r w:rsidR="00810052">
              <w:rPr>
                <w:rFonts w:cstheme="minorHAnsi"/>
              </w:rPr>
              <w:t>15.7</w:t>
            </w:r>
            <w:r w:rsidRPr="00245EFD">
              <w:rPr>
                <w:rFonts w:cstheme="minorHAnsi"/>
              </w:rPr>
              <w:t>%</w:t>
            </w:r>
          </w:p>
        </w:tc>
        <w:tc>
          <w:tcPr>
            <w:tcW w:w="927" w:type="dxa"/>
          </w:tcPr>
          <w:p w14:paraId="105935BB" w14:textId="4E244C60" w:rsidR="008B59F7" w:rsidRPr="00245EFD" w:rsidRDefault="00810052" w:rsidP="008B59F7">
            <w:pPr>
              <w:pStyle w:val="NoSpacing"/>
              <w:jc w:val="center"/>
              <w:rPr>
                <w:rFonts w:cstheme="minorHAnsi"/>
              </w:rPr>
            </w:pPr>
            <w:r>
              <w:rPr>
                <w:rFonts w:cstheme="minorHAnsi"/>
              </w:rPr>
              <w:t>0.5</w:t>
            </w:r>
            <w:r w:rsidR="008B59F7" w:rsidRPr="00C92147">
              <w:rPr>
                <w:rFonts w:cstheme="minorHAnsi"/>
              </w:rPr>
              <w:t>M</w:t>
            </w:r>
          </w:p>
        </w:tc>
        <w:tc>
          <w:tcPr>
            <w:tcW w:w="1117" w:type="dxa"/>
          </w:tcPr>
          <w:p w14:paraId="496EFB9C" w14:textId="37501CD5" w:rsidR="008B59F7" w:rsidRPr="00245EFD" w:rsidRDefault="00BD6EDF" w:rsidP="008B59F7">
            <w:pPr>
              <w:pStyle w:val="NoSpacing"/>
              <w:jc w:val="right"/>
              <w:rPr>
                <w:rFonts w:cstheme="minorHAnsi"/>
              </w:rPr>
            </w:pPr>
            <w:r>
              <w:rPr>
                <w:rFonts w:cstheme="minorHAnsi"/>
                <w:color w:val="000000"/>
              </w:rPr>
              <w:t>2.0</w:t>
            </w:r>
            <w:r w:rsidR="008B59F7" w:rsidRPr="002668E1">
              <w:rPr>
                <w:rFonts w:cstheme="minorHAnsi"/>
                <w:color w:val="000000"/>
              </w:rPr>
              <w:t>%</w:t>
            </w:r>
          </w:p>
        </w:tc>
        <w:tc>
          <w:tcPr>
            <w:tcW w:w="1047" w:type="dxa"/>
          </w:tcPr>
          <w:p w14:paraId="41B75DBF" w14:textId="016C10FE" w:rsidR="008B59F7" w:rsidRPr="00245EFD" w:rsidRDefault="00810052" w:rsidP="008B59F7">
            <w:pPr>
              <w:pStyle w:val="NoSpacing"/>
              <w:jc w:val="right"/>
              <w:rPr>
                <w:rFonts w:cstheme="minorHAnsi"/>
              </w:rPr>
            </w:pPr>
            <w:r>
              <w:rPr>
                <w:rFonts w:cstheme="minorHAnsi"/>
              </w:rPr>
              <w:t>+4.7</w:t>
            </w:r>
            <w:r w:rsidR="008B59F7" w:rsidRPr="00245EFD">
              <w:rPr>
                <w:rFonts w:cstheme="minorHAnsi"/>
              </w:rPr>
              <w:t>%</w:t>
            </w:r>
          </w:p>
        </w:tc>
        <w:tc>
          <w:tcPr>
            <w:tcW w:w="964" w:type="dxa"/>
          </w:tcPr>
          <w:p w14:paraId="32944C91" w14:textId="1227F478" w:rsidR="008B59F7" w:rsidRPr="00245EFD" w:rsidRDefault="008B59F7" w:rsidP="008B59F7">
            <w:pPr>
              <w:pStyle w:val="NoSpacing"/>
              <w:jc w:val="right"/>
              <w:rPr>
                <w:rFonts w:cstheme="minorHAnsi"/>
              </w:rPr>
            </w:pPr>
            <w:r>
              <w:rPr>
                <w:rFonts w:cstheme="minorHAnsi"/>
              </w:rPr>
              <w:t>+</w:t>
            </w:r>
            <w:r w:rsidR="00810052">
              <w:rPr>
                <w:rFonts w:cstheme="minorHAnsi"/>
              </w:rPr>
              <w:t>3.3</w:t>
            </w:r>
            <w:r w:rsidRPr="00245EFD">
              <w:rPr>
                <w:rFonts w:cstheme="minorHAnsi"/>
              </w:rPr>
              <w:t>%</w:t>
            </w:r>
          </w:p>
        </w:tc>
      </w:tr>
    </w:tbl>
    <w:bookmarkEnd w:id="0"/>
    <w:p w14:paraId="7E5C7352" w14:textId="7BB91AE6" w:rsidR="00E25C6B" w:rsidRDefault="00E25C6B" w:rsidP="00E25C6B">
      <w:pPr>
        <w:pStyle w:val="NoSpacing"/>
        <w:spacing w:before="120"/>
        <w:rPr>
          <w:color w:val="7F7F7F" w:themeColor="text1" w:themeTint="80"/>
          <w:sz w:val="16"/>
          <w:szCs w:val="16"/>
        </w:rPr>
      </w:pPr>
      <w:r w:rsidRPr="00555250">
        <w:rPr>
          <w:color w:val="7F7F7F" w:themeColor="text1" w:themeTint="80"/>
          <w:sz w:val="16"/>
          <w:szCs w:val="16"/>
        </w:rPr>
        <w:t xml:space="preserve">Source: </w:t>
      </w:r>
      <w:r>
        <w:rPr>
          <w:color w:val="7F7F7F" w:themeColor="text1" w:themeTint="80"/>
          <w:sz w:val="16"/>
          <w:szCs w:val="16"/>
        </w:rPr>
        <w:t>Circana</w:t>
      </w:r>
      <w:r w:rsidRPr="00555250">
        <w:rPr>
          <w:color w:val="7F7F7F" w:themeColor="text1" w:themeTint="80"/>
          <w:sz w:val="16"/>
          <w:szCs w:val="16"/>
        </w:rPr>
        <w:t xml:space="preserve">, Integrated Fresh, </w:t>
      </w:r>
      <w:r>
        <w:rPr>
          <w:color w:val="7F7F7F" w:themeColor="text1" w:themeTint="80"/>
          <w:sz w:val="16"/>
          <w:szCs w:val="16"/>
        </w:rPr>
        <w:t>MULO+</w:t>
      </w:r>
      <w:r w:rsidRPr="00555250">
        <w:rPr>
          <w:color w:val="7F7F7F" w:themeColor="text1" w:themeTint="80"/>
          <w:sz w:val="16"/>
          <w:szCs w:val="16"/>
        </w:rPr>
        <w:t xml:space="preserve">, </w:t>
      </w:r>
      <w:r>
        <w:rPr>
          <w:color w:val="7F7F7F" w:themeColor="text1" w:themeTint="80"/>
          <w:sz w:val="16"/>
          <w:szCs w:val="16"/>
        </w:rPr>
        <w:t>4</w:t>
      </w:r>
      <w:r w:rsidRPr="00555250">
        <w:rPr>
          <w:color w:val="7F7F7F" w:themeColor="text1" w:themeTint="80"/>
          <w:sz w:val="16"/>
          <w:szCs w:val="16"/>
        </w:rPr>
        <w:t xml:space="preserve"> weeks ending </w:t>
      </w:r>
      <w:r w:rsidR="008B59F7">
        <w:rPr>
          <w:color w:val="7F7F7F" w:themeColor="text1" w:themeTint="80"/>
          <w:sz w:val="16"/>
          <w:szCs w:val="16"/>
        </w:rPr>
        <w:t>9/8</w:t>
      </w:r>
      <w:r>
        <w:rPr>
          <w:color w:val="7F7F7F" w:themeColor="text1" w:themeTint="80"/>
          <w:sz w:val="16"/>
          <w:szCs w:val="16"/>
        </w:rPr>
        <w:t>/2024</w:t>
      </w:r>
    </w:p>
    <w:p w14:paraId="47E14816" w14:textId="77777777" w:rsidR="00E25C6B" w:rsidRDefault="00E25C6B" w:rsidP="005E7FB2">
      <w:pPr>
        <w:pStyle w:val="NoSpacing"/>
      </w:pPr>
    </w:p>
    <w:p w14:paraId="14458122" w14:textId="3F2216E9" w:rsidR="000E0D6B" w:rsidRDefault="00D3797F" w:rsidP="005E7FB2">
      <w:pPr>
        <w:pStyle w:val="NoSpacing"/>
      </w:pPr>
      <w:r>
        <w:t>Reflecting typical quad-week nine patterns, volume sales started improving in the four weeks ending September 8</w:t>
      </w:r>
      <w:r w:rsidRPr="00D3797F">
        <w:rPr>
          <w:vertAlign w:val="superscript"/>
        </w:rPr>
        <w:t>th</w:t>
      </w:r>
      <w:r>
        <w:t xml:space="preserve">, 2024. At +2.9%, the increase versus the prior quad-week was similar to the growth seen in 2018 and 2019. Mushroom volume sales typically gear up between now and January </w:t>
      </w:r>
      <w:r w:rsidR="005E7FB2">
        <w:t>(see forecasting tab</w:t>
      </w:r>
      <w:r>
        <w:t xml:space="preserve"> in the data spreadsheet for more information</w:t>
      </w:r>
      <w:r w:rsidR="005E7FB2">
        <w:t>)</w:t>
      </w:r>
      <w:r w:rsidR="00E72D31">
        <w:t>.</w:t>
      </w:r>
    </w:p>
    <w:p w14:paraId="2BFEB89E" w14:textId="77777777" w:rsidR="005E7FB2" w:rsidRPr="00E72D31" w:rsidRDefault="005E7FB2" w:rsidP="005E7FB2">
      <w:pPr>
        <w:pStyle w:val="NoSpacing"/>
        <w:rPr>
          <w:sz w:val="10"/>
          <w:szCs w:val="10"/>
        </w:rPr>
      </w:pPr>
    </w:p>
    <w:tbl>
      <w:tblPr>
        <w:tblpPr w:leftFromText="141" w:rightFromText="141" w:vertAnchor="text" w:tblpY="1"/>
        <w:tblOverlap w:val="never"/>
        <w:tblW w:w="10253" w:type="dxa"/>
        <w:tblCellMar>
          <w:left w:w="70" w:type="dxa"/>
          <w:right w:w="70" w:type="dxa"/>
        </w:tblCellMar>
        <w:tblLook w:val="04A0" w:firstRow="1" w:lastRow="0" w:firstColumn="1" w:lastColumn="0" w:noHBand="0" w:noVBand="1"/>
      </w:tblPr>
      <w:tblGrid>
        <w:gridCol w:w="1413"/>
        <w:gridCol w:w="680"/>
        <w:gridCol w:w="680"/>
        <w:gridCol w:w="680"/>
        <w:gridCol w:w="680"/>
        <w:gridCol w:w="680"/>
        <w:gridCol w:w="680"/>
        <w:gridCol w:w="680"/>
        <w:gridCol w:w="680"/>
        <w:gridCol w:w="680"/>
        <w:gridCol w:w="680"/>
        <w:gridCol w:w="680"/>
        <w:gridCol w:w="680"/>
        <w:gridCol w:w="680"/>
      </w:tblGrid>
      <w:tr w:rsidR="005E7FB2" w:rsidRPr="005E7FB2" w14:paraId="552B7DD4" w14:textId="77777777" w:rsidTr="00D3797F">
        <w:trPr>
          <w:trHeight w:val="545"/>
        </w:trPr>
        <w:tc>
          <w:tcPr>
            <w:tcW w:w="1413" w:type="dxa"/>
            <w:tcBorders>
              <w:top w:val="single" w:sz="4" w:space="0" w:color="auto"/>
              <w:left w:val="single" w:sz="4" w:space="0" w:color="auto"/>
              <w:bottom w:val="single" w:sz="4" w:space="0" w:color="auto"/>
              <w:right w:val="single" w:sz="4" w:space="0" w:color="auto"/>
            </w:tcBorders>
            <w:shd w:val="clear" w:color="auto" w:fill="800000"/>
            <w:hideMark/>
          </w:tcPr>
          <w:p w14:paraId="54AA7F04" w14:textId="77777777" w:rsidR="005E7FB2" w:rsidRPr="00D3797F" w:rsidRDefault="005E7FB2" w:rsidP="005E7FB2">
            <w:pPr>
              <w:spacing w:after="0" w:line="240" w:lineRule="auto"/>
              <w:rPr>
                <w:rFonts w:eastAsia="Times New Roman" w:cstheme="minorHAnsi"/>
                <w:b/>
                <w:bCs/>
                <w:color w:val="FFFFFF" w:themeColor="background1"/>
                <w:sz w:val="16"/>
                <w:szCs w:val="16"/>
                <w:lang w:val="en-GB" w:eastAsia="nl-NL"/>
              </w:rPr>
            </w:pPr>
            <w:r w:rsidRPr="00D3797F">
              <w:rPr>
                <w:rFonts w:eastAsia="Times New Roman" w:cstheme="minorHAnsi"/>
                <w:b/>
                <w:bCs/>
                <w:color w:val="FFFFFF" w:themeColor="background1"/>
                <w:sz w:val="16"/>
                <w:szCs w:val="16"/>
                <w:lang w:val="en-GB" w:eastAsia="nl-NL"/>
              </w:rPr>
              <w:t>Pound growth rates versus PRIOR PERIOD</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2BD79E29"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1</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09DB5F58"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2</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3FE55B48"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3</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5CEBA85B"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4</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57A684AC"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5</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2A3C9D9E"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6</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727775C9"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7</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6BEE937B"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8</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3A9CD271"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9</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2D41FD29"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10</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5799EC01"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11</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46FFC199"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12</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5CB2DF40"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13</w:t>
            </w:r>
          </w:p>
        </w:tc>
      </w:tr>
      <w:tr w:rsidR="0022081A" w:rsidRPr="005E7FB2" w14:paraId="6700F574" w14:textId="77777777" w:rsidTr="005E7FB2">
        <w:trPr>
          <w:trHeight w:val="262"/>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0871738" w14:textId="44F8C944" w:rsidR="0022081A" w:rsidRPr="0022081A" w:rsidRDefault="0022081A" w:rsidP="0022081A">
            <w:pPr>
              <w:spacing w:after="0" w:line="240" w:lineRule="auto"/>
              <w:rPr>
                <w:rFonts w:eastAsia="Times New Roman" w:cstheme="minorHAnsi"/>
                <w:sz w:val="16"/>
                <w:szCs w:val="16"/>
                <w:lang w:val="nl-NL" w:eastAsia="nl-NL"/>
              </w:rPr>
            </w:pPr>
            <w:r w:rsidRPr="0022081A">
              <w:rPr>
                <w:rFonts w:cstheme="minorHAnsi"/>
                <w:sz w:val="16"/>
                <w:szCs w:val="16"/>
              </w:rPr>
              <w:t>2017</w:t>
            </w:r>
          </w:p>
        </w:tc>
        <w:tc>
          <w:tcPr>
            <w:tcW w:w="680" w:type="dxa"/>
            <w:tcBorders>
              <w:top w:val="nil"/>
              <w:left w:val="nil"/>
              <w:bottom w:val="single" w:sz="4" w:space="0" w:color="auto"/>
              <w:right w:val="single" w:sz="4" w:space="0" w:color="auto"/>
            </w:tcBorders>
            <w:shd w:val="clear" w:color="000000" w:fill="C4D79B"/>
            <w:noWrap/>
            <w:vAlign w:val="bottom"/>
            <w:hideMark/>
          </w:tcPr>
          <w:p w14:paraId="599273B8" w14:textId="2769A82C"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2.0%</w:t>
            </w:r>
          </w:p>
        </w:tc>
        <w:tc>
          <w:tcPr>
            <w:tcW w:w="680" w:type="dxa"/>
            <w:tcBorders>
              <w:top w:val="nil"/>
              <w:left w:val="nil"/>
              <w:bottom w:val="single" w:sz="4" w:space="0" w:color="auto"/>
              <w:right w:val="single" w:sz="4" w:space="0" w:color="auto"/>
            </w:tcBorders>
            <w:shd w:val="clear" w:color="000000" w:fill="E6B8B7"/>
            <w:noWrap/>
            <w:vAlign w:val="bottom"/>
            <w:hideMark/>
          </w:tcPr>
          <w:p w14:paraId="626E3269" w14:textId="1BD4C9CC"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-1.5%</w:t>
            </w:r>
          </w:p>
        </w:tc>
        <w:tc>
          <w:tcPr>
            <w:tcW w:w="680" w:type="dxa"/>
            <w:tcBorders>
              <w:top w:val="nil"/>
              <w:left w:val="nil"/>
              <w:bottom w:val="single" w:sz="4" w:space="0" w:color="auto"/>
              <w:right w:val="single" w:sz="4" w:space="0" w:color="auto"/>
            </w:tcBorders>
            <w:shd w:val="clear" w:color="000000" w:fill="E6B8B7"/>
            <w:noWrap/>
            <w:vAlign w:val="bottom"/>
            <w:hideMark/>
          </w:tcPr>
          <w:p w14:paraId="3890BFE9" w14:textId="512E1B8A"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-2.6%</w:t>
            </w:r>
          </w:p>
        </w:tc>
        <w:tc>
          <w:tcPr>
            <w:tcW w:w="680" w:type="dxa"/>
            <w:tcBorders>
              <w:top w:val="nil"/>
              <w:left w:val="nil"/>
              <w:bottom w:val="single" w:sz="4" w:space="0" w:color="auto"/>
              <w:right w:val="single" w:sz="4" w:space="0" w:color="auto"/>
            </w:tcBorders>
            <w:shd w:val="clear" w:color="000000" w:fill="E6B8B7"/>
            <w:noWrap/>
            <w:vAlign w:val="bottom"/>
            <w:hideMark/>
          </w:tcPr>
          <w:p w14:paraId="241F185A" w14:textId="5F88FDBA"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-1.8%</w:t>
            </w:r>
          </w:p>
        </w:tc>
        <w:tc>
          <w:tcPr>
            <w:tcW w:w="680" w:type="dxa"/>
            <w:tcBorders>
              <w:top w:val="nil"/>
              <w:left w:val="nil"/>
              <w:bottom w:val="single" w:sz="4" w:space="0" w:color="auto"/>
              <w:right w:val="single" w:sz="4" w:space="0" w:color="auto"/>
            </w:tcBorders>
            <w:shd w:val="clear" w:color="000000" w:fill="DA9694"/>
            <w:noWrap/>
            <w:vAlign w:val="bottom"/>
            <w:hideMark/>
          </w:tcPr>
          <w:p w14:paraId="57F5EBD7" w14:textId="6F16CC66"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-3.2%</w:t>
            </w:r>
          </w:p>
        </w:tc>
        <w:tc>
          <w:tcPr>
            <w:tcW w:w="680" w:type="dxa"/>
            <w:tcBorders>
              <w:top w:val="nil"/>
              <w:left w:val="nil"/>
              <w:bottom w:val="single" w:sz="4" w:space="0" w:color="auto"/>
              <w:right w:val="single" w:sz="4" w:space="0" w:color="auto"/>
            </w:tcBorders>
            <w:shd w:val="clear" w:color="000000" w:fill="DA9694"/>
            <w:noWrap/>
            <w:vAlign w:val="bottom"/>
            <w:hideMark/>
          </w:tcPr>
          <w:p w14:paraId="10658B53" w14:textId="6431DAB6"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-3.5%</w:t>
            </w:r>
          </w:p>
        </w:tc>
        <w:tc>
          <w:tcPr>
            <w:tcW w:w="680" w:type="dxa"/>
            <w:tcBorders>
              <w:top w:val="nil"/>
              <w:left w:val="nil"/>
              <w:bottom w:val="single" w:sz="4" w:space="0" w:color="auto"/>
              <w:right w:val="single" w:sz="4" w:space="0" w:color="auto"/>
            </w:tcBorders>
            <w:shd w:val="clear" w:color="000000" w:fill="E6B8B7"/>
            <w:noWrap/>
            <w:vAlign w:val="bottom"/>
            <w:hideMark/>
          </w:tcPr>
          <w:p w14:paraId="229E9811" w14:textId="0E7D3E45"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-3.6%</w:t>
            </w:r>
          </w:p>
        </w:tc>
        <w:tc>
          <w:tcPr>
            <w:tcW w:w="680" w:type="dxa"/>
            <w:tcBorders>
              <w:top w:val="nil"/>
              <w:left w:val="nil"/>
              <w:bottom w:val="single" w:sz="4" w:space="0" w:color="auto"/>
              <w:right w:val="single" w:sz="4" w:space="0" w:color="auto"/>
            </w:tcBorders>
            <w:shd w:val="clear" w:color="000000" w:fill="F2DCDB"/>
            <w:noWrap/>
            <w:vAlign w:val="bottom"/>
            <w:hideMark/>
          </w:tcPr>
          <w:p w14:paraId="393C7E65" w14:textId="7A39F215"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-2.0%</w:t>
            </w:r>
          </w:p>
        </w:tc>
        <w:tc>
          <w:tcPr>
            <w:tcW w:w="680" w:type="dxa"/>
            <w:tcBorders>
              <w:top w:val="nil"/>
              <w:left w:val="nil"/>
              <w:bottom w:val="single" w:sz="4" w:space="0" w:color="auto"/>
              <w:right w:val="single" w:sz="4" w:space="0" w:color="auto"/>
            </w:tcBorders>
            <w:shd w:val="clear" w:color="000000" w:fill="D8E4BC"/>
            <w:noWrap/>
            <w:vAlign w:val="bottom"/>
            <w:hideMark/>
          </w:tcPr>
          <w:p w14:paraId="60C9C7B3" w14:textId="22CDEED6"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1.0%</w:t>
            </w:r>
          </w:p>
        </w:tc>
        <w:tc>
          <w:tcPr>
            <w:tcW w:w="680" w:type="dxa"/>
            <w:tcBorders>
              <w:top w:val="nil"/>
              <w:left w:val="nil"/>
              <w:bottom w:val="single" w:sz="4" w:space="0" w:color="auto"/>
              <w:right w:val="single" w:sz="4" w:space="0" w:color="auto"/>
            </w:tcBorders>
            <w:shd w:val="clear" w:color="000000" w:fill="D8E4BC"/>
            <w:noWrap/>
            <w:vAlign w:val="bottom"/>
            <w:hideMark/>
          </w:tcPr>
          <w:p w14:paraId="37FF0428" w14:textId="0E897EAF"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1.5%</w:t>
            </w:r>
          </w:p>
        </w:tc>
        <w:tc>
          <w:tcPr>
            <w:tcW w:w="680" w:type="dxa"/>
            <w:tcBorders>
              <w:top w:val="nil"/>
              <w:left w:val="nil"/>
              <w:bottom w:val="single" w:sz="4" w:space="0" w:color="auto"/>
              <w:right w:val="single" w:sz="4" w:space="0" w:color="auto"/>
            </w:tcBorders>
            <w:shd w:val="clear" w:color="000000" w:fill="D8E4BC"/>
            <w:noWrap/>
            <w:vAlign w:val="bottom"/>
            <w:hideMark/>
          </w:tcPr>
          <w:p w14:paraId="4D4F3C1C" w14:textId="2BC57DA2"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1.4%</w:t>
            </w:r>
          </w:p>
        </w:tc>
        <w:tc>
          <w:tcPr>
            <w:tcW w:w="680" w:type="dxa"/>
            <w:tcBorders>
              <w:top w:val="nil"/>
              <w:left w:val="nil"/>
              <w:bottom w:val="single" w:sz="4" w:space="0" w:color="auto"/>
              <w:right w:val="single" w:sz="4" w:space="0" w:color="auto"/>
            </w:tcBorders>
            <w:shd w:val="clear" w:color="000000" w:fill="C4D79B"/>
            <w:noWrap/>
            <w:vAlign w:val="bottom"/>
            <w:hideMark/>
          </w:tcPr>
          <w:p w14:paraId="73C1E63F" w14:textId="63C2B643" w:rsidR="0022081A" w:rsidRPr="00E4705F" w:rsidRDefault="0022081A" w:rsidP="0022081A">
            <w:pPr>
              <w:spacing w:after="0" w:line="240" w:lineRule="auto"/>
              <w:jc w:val="right"/>
              <w:rPr>
                <w:rFonts w:eastAsia="Times New Roman" w:cstheme="minorHAnsi"/>
                <w:sz w:val="16"/>
                <w:szCs w:val="16"/>
                <w:lang w:val="nl-NL" w:eastAsia="nl-NL"/>
              </w:rPr>
            </w:pPr>
            <w:r w:rsidRPr="00E4705F">
              <w:rPr>
                <w:rFonts w:cstheme="minorHAnsi"/>
                <w:sz w:val="16"/>
                <w:szCs w:val="16"/>
              </w:rPr>
              <w:t>7.9%</w:t>
            </w:r>
          </w:p>
        </w:tc>
        <w:tc>
          <w:tcPr>
            <w:tcW w:w="680" w:type="dxa"/>
            <w:tcBorders>
              <w:top w:val="nil"/>
              <w:left w:val="nil"/>
              <w:bottom w:val="single" w:sz="4" w:space="0" w:color="auto"/>
              <w:right w:val="single" w:sz="4" w:space="0" w:color="auto"/>
            </w:tcBorders>
            <w:shd w:val="clear" w:color="000000" w:fill="C4D79B"/>
            <w:noWrap/>
            <w:vAlign w:val="bottom"/>
            <w:hideMark/>
          </w:tcPr>
          <w:p w14:paraId="70AAE430" w14:textId="39CB6A3B" w:rsidR="0022081A" w:rsidRPr="00E4705F" w:rsidRDefault="0022081A" w:rsidP="0022081A">
            <w:pPr>
              <w:spacing w:after="0" w:line="240" w:lineRule="auto"/>
              <w:jc w:val="right"/>
              <w:rPr>
                <w:rFonts w:eastAsia="Times New Roman" w:cstheme="minorHAnsi"/>
                <w:sz w:val="16"/>
                <w:szCs w:val="16"/>
                <w:lang w:val="nl-NL" w:eastAsia="nl-NL"/>
              </w:rPr>
            </w:pPr>
            <w:r w:rsidRPr="00E4705F">
              <w:rPr>
                <w:rFonts w:cstheme="minorHAnsi"/>
                <w:sz w:val="16"/>
                <w:szCs w:val="16"/>
              </w:rPr>
              <w:t>7.3%</w:t>
            </w:r>
          </w:p>
        </w:tc>
      </w:tr>
      <w:tr w:rsidR="0022081A" w:rsidRPr="005E7FB2" w14:paraId="26A9F9D1" w14:textId="77777777" w:rsidTr="00D3797F">
        <w:trPr>
          <w:trHeight w:val="262"/>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AD55243" w14:textId="4FEEA250" w:rsidR="0022081A" w:rsidRPr="0022081A" w:rsidRDefault="0022081A" w:rsidP="0022081A">
            <w:pPr>
              <w:spacing w:after="0" w:line="240" w:lineRule="auto"/>
              <w:rPr>
                <w:rFonts w:eastAsia="Times New Roman" w:cstheme="minorHAnsi"/>
                <w:sz w:val="16"/>
                <w:szCs w:val="16"/>
                <w:lang w:val="nl-NL" w:eastAsia="nl-NL"/>
              </w:rPr>
            </w:pPr>
            <w:r w:rsidRPr="0022081A">
              <w:rPr>
                <w:rFonts w:cstheme="minorHAnsi"/>
                <w:sz w:val="16"/>
                <w:szCs w:val="16"/>
              </w:rPr>
              <w:t>2018</w:t>
            </w:r>
          </w:p>
        </w:tc>
        <w:tc>
          <w:tcPr>
            <w:tcW w:w="680" w:type="dxa"/>
            <w:tcBorders>
              <w:top w:val="nil"/>
              <w:left w:val="nil"/>
              <w:bottom w:val="single" w:sz="4" w:space="0" w:color="auto"/>
              <w:right w:val="single" w:sz="4" w:space="0" w:color="auto"/>
            </w:tcBorders>
            <w:shd w:val="clear" w:color="000000" w:fill="C4D79B"/>
            <w:noWrap/>
            <w:vAlign w:val="bottom"/>
            <w:hideMark/>
          </w:tcPr>
          <w:p w14:paraId="54C19620" w14:textId="741DDAFD"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1.1%</w:t>
            </w:r>
          </w:p>
        </w:tc>
        <w:tc>
          <w:tcPr>
            <w:tcW w:w="680" w:type="dxa"/>
            <w:tcBorders>
              <w:top w:val="nil"/>
              <w:left w:val="nil"/>
              <w:bottom w:val="single" w:sz="4" w:space="0" w:color="auto"/>
              <w:right w:val="single" w:sz="4" w:space="0" w:color="auto"/>
            </w:tcBorders>
            <w:shd w:val="clear" w:color="000000" w:fill="DA9694"/>
            <w:noWrap/>
            <w:vAlign w:val="bottom"/>
            <w:hideMark/>
          </w:tcPr>
          <w:p w14:paraId="21A935E6" w14:textId="644FD17E"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-3.3%</w:t>
            </w:r>
          </w:p>
        </w:tc>
        <w:tc>
          <w:tcPr>
            <w:tcW w:w="680" w:type="dxa"/>
            <w:tcBorders>
              <w:top w:val="nil"/>
              <w:left w:val="nil"/>
              <w:bottom w:val="single" w:sz="4" w:space="0" w:color="auto"/>
              <w:right w:val="single" w:sz="4" w:space="0" w:color="auto"/>
            </w:tcBorders>
            <w:shd w:val="clear" w:color="000000" w:fill="F2DCDB"/>
            <w:noWrap/>
            <w:vAlign w:val="bottom"/>
            <w:hideMark/>
          </w:tcPr>
          <w:p w14:paraId="73857E16" w14:textId="4E285562"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-0.9%</w:t>
            </w:r>
          </w:p>
        </w:tc>
        <w:tc>
          <w:tcPr>
            <w:tcW w:w="680" w:type="dxa"/>
            <w:tcBorders>
              <w:top w:val="nil"/>
              <w:left w:val="nil"/>
              <w:bottom w:val="single" w:sz="4" w:space="0" w:color="auto"/>
              <w:right w:val="single" w:sz="4" w:space="0" w:color="auto"/>
            </w:tcBorders>
            <w:shd w:val="clear" w:color="000000" w:fill="DA9694"/>
            <w:noWrap/>
            <w:vAlign w:val="bottom"/>
            <w:hideMark/>
          </w:tcPr>
          <w:p w14:paraId="63430169" w14:textId="19E32299"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-3.2%</w:t>
            </w:r>
          </w:p>
        </w:tc>
        <w:tc>
          <w:tcPr>
            <w:tcW w:w="680" w:type="dxa"/>
            <w:tcBorders>
              <w:top w:val="nil"/>
              <w:left w:val="nil"/>
              <w:bottom w:val="single" w:sz="4" w:space="0" w:color="auto"/>
              <w:right w:val="single" w:sz="4" w:space="0" w:color="auto"/>
            </w:tcBorders>
            <w:shd w:val="clear" w:color="000000" w:fill="E6B8B7"/>
            <w:noWrap/>
            <w:vAlign w:val="bottom"/>
            <w:hideMark/>
          </w:tcPr>
          <w:p w14:paraId="1C99F6E2" w14:textId="21A9C7E2"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-1.9%</w:t>
            </w:r>
          </w:p>
        </w:tc>
        <w:tc>
          <w:tcPr>
            <w:tcW w:w="680" w:type="dxa"/>
            <w:tcBorders>
              <w:top w:val="nil"/>
              <w:left w:val="nil"/>
              <w:bottom w:val="single" w:sz="4" w:space="0" w:color="auto"/>
              <w:right w:val="single" w:sz="4" w:space="0" w:color="auto"/>
            </w:tcBorders>
            <w:shd w:val="clear" w:color="000000" w:fill="DA9694"/>
            <w:noWrap/>
            <w:vAlign w:val="bottom"/>
            <w:hideMark/>
          </w:tcPr>
          <w:p w14:paraId="59A0F87E" w14:textId="264A0EBB"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-3.8%</w:t>
            </w:r>
          </w:p>
        </w:tc>
        <w:tc>
          <w:tcPr>
            <w:tcW w:w="680" w:type="dxa"/>
            <w:tcBorders>
              <w:top w:val="nil"/>
              <w:left w:val="nil"/>
              <w:bottom w:val="single" w:sz="4" w:space="0" w:color="auto"/>
              <w:right w:val="single" w:sz="4" w:space="0" w:color="auto"/>
            </w:tcBorders>
            <w:shd w:val="clear" w:color="000000" w:fill="DA9694"/>
            <w:noWrap/>
            <w:vAlign w:val="bottom"/>
            <w:hideMark/>
          </w:tcPr>
          <w:p w14:paraId="0F69E30D" w14:textId="33A7B782"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-3.4%</w:t>
            </w:r>
          </w:p>
        </w:tc>
        <w:tc>
          <w:tcPr>
            <w:tcW w:w="680" w:type="dxa"/>
            <w:tcBorders>
              <w:top w:val="nil"/>
              <w:left w:val="nil"/>
              <w:bottom w:val="single" w:sz="4" w:space="0" w:color="auto"/>
              <w:right w:val="single" w:sz="4" w:space="0" w:color="auto"/>
            </w:tcBorders>
            <w:shd w:val="clear" w:color="000000" w:fill="E6B8B7"/>
            <w:noWrap/>
            <w:vAlign w:val="bottom"/>
            <w:hideMark/>
          </w:tcPr>
          <w:p w14:paraId="6C382510" w14:textId="27EBF64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-2.0%</w:t>
            </w:r>
          </w:p>
        </w:tc>
        <w:tc>
          <w:tcPr>
            <w:tcW w:w="680" w:type="dxa"/>
            <w:tcBorders>
              <w:top w:val="nil"/>
              <w:left w:val="nil"/>
              <w:bottom w:val="single" w:sz="4" w:space="0" w:color="auto"/>
              <w:right w:val="single" w:sz="4" w:space="0" w:color="auto"/>
            </w:tcBorders>
            <w:shd w:val="clear" w:color="auto" w:fill="C4D79B"/>
            <w:noWrap/>
            <w:vAlign w:val="bottom"/>
            <w:hideMark/>
          </w:tcPr>
          <w:p w14:paraId="40F2D19F" w14:textId="6265E2E8"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2.9%</w:t>
            </w:r>
          </w:p>
        </w:tc>
        <w:tc>
          <w:tcPr>
            <w:tcW w:w="680" w:type="dxa"/>
            <w:tcBorders>
              <w:top w:val="nil"/>
              <w:left w:val="nil"/>
              <w:bottom w:val="single" w:sz="4" w:space="0" w:color="auto"/>
              <w:right w:val="single" w:sz="4" w:space="0" w:color="auto"/>
            </w:tcBorders>
            <w:shd w:val="clear" w:color="000000" w:fill="D8E4BC"/>
            <w:noWrap/>
            <w:vAlign w:val="bottom"/>
            <w:hideMark/>
          </w:tcPr>
          <w:p w14:paraId="3E608F83" w14:textId="28AC80C4"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1.7%</w:t>
            </w:r>
          </w:p>
        </w:tc>
        <w:tc>
          <w:tcPr>
            <w:tcW w:w="680" w:type="dxa"/>
            <w:tcBorders>
              <w:top w:val="nil"/>
              <w:left w:val="nil"/>
              <w:bottom w:val="single" w:sz="4" w:space="0" w:color="auto"/>
              <w:right w:val="single" w:sz="4" w:space="0" w:color="auto"/>
            </w:tcBorders>
            <w:shd w:val="clear" w:color="000000" w:fill="D8E4BC"/>
            <w:noWrap/>
            <w:vAlign w:val="bottom"/>
            <w:hideMark/>
          </w:tcPr>
          <w:p w14:paraId="196E6AC3" w14:textId="05BAC478"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0.4%</w:t>
            </w:r>
          </w:p>
        </w:tc>
        <w:tc>
          <w:tcPr>
            <w:tcW w:w="680" w:type="dxa"/>
            <w:tcBorders>
              <w:top w:val="nil"/>
              <w:left w:val="nil"/>
              <w:bottom w:val="single" w:sz="4" w:space="0" w:color="auto"/>
              <w:right w:val="single" w:sz="4" w:space="0" w:color="auto"/>
            </w:tcBorders>
            <w:shd w:val="clear" w:color="000000" w:fill="C4D79B"/>
            <w:noWrap/>
            <w:vAlign w:val="bottom"/>
            <w:hideMark/>
          </w:tcPr>
          <w:p w14:paraId="3C0269F8" w14:textId="20228B40" w:rsidR="0022081A" w:rsidRPr="00E4705F" w:rsidRDefault="0022081A" w:rsidP="0022081A">
            <w:pPr>
              <w:spacing w:after="0" w:line="240" w:lineRule="auto"/>
              <w:jc w:val="right"/>
              <w:rPr>
                <w:rFonts w:eastAsia="Times New Roman" w:cstheme="minorHAnsi"/>
                <w:sz w:val="16"/>
                <w:szCs w:val="16"/>
                <w:lang w:val="nl-NL" w:eastAsia="nl-NL"/>
              </w:rPr>
            </w:pPr>
            <w:r w:rsidRPr="00E4705F">
              <w:rPr>
                <w:rFonts w:cstheme="minorHAnsi"/>
                <w:sz w:val="16"/>
                <w:szCs w:val="16"/>
              </w:rPr>
              <w:t>9.4%</w:t>
            </w:r>
          </w:p>
        </w:tc>
        <w:tc>
          <w:tcPr>
            <w:tcW w:w="680" w:type="dxa"/>
            <w:tcBorders>
              <w:top w:val="nil"/>
              <w:left w:val="nil"/>
              <w:bottom w:val="single" w:sz="4" w:space="0" w:color="auto"/>
              <w:right w:val="single" w:sz="4" w:space="0" w:color="auto"/>
            </w:tcBorders>
            <w:shd w:val="clear" w:color="000000" w:fill="C4D79B"/>
            <w:noWrap/>
            <w:vAlign w:val="bottom"/>
            <w:hideMark/>
          </w:tcPr>
          <w:p w14:paraId="43A83299" w14:textId="33C1E1CF" w:rsidR="0022081A" w:rsidRPr="00E4705F" w:rsidRDefault="0022081A" w:rsidP="0022081A">
            <w:pPr>
              <w:spacing w:after="0" w:line="240" w:lineRule="auto"/>
              <w:jc w:val="right"/>
              <w:rPr>
                <w:rFonts w:eastAsia="Times New Roman" w:cstheme="minorHAnsi"/>
                <w:sz w:val="16"/>
                <w:szCs w:val="16"/>
                <w:lang w:val="nl-NL" w:eastAsia="nl-NL"/>
              </w:rPr>
            </w:pPr>
            <w:r w:rsidRPr="00E4705F">
              <w:rPr>
                <w:rFonts w:cstheme="minorHAnsi"/>
                <w:sz w:val="16"/>
                <w:szCs w:val="16"/>
              </w:rPr>
              <w:t>4.1%</w:t>
            </w:r>
          </w:p>
        </w:tc>
      </w:tr>
      <w:tr w:rsidR="0022081A" w:rsidRPr="005E7FB2" w14:paraId="765FD8B7" w14:textId="77777777" w:rsidTr="00D3797F">
        <w:trPr>
          <w:trHeight w:val="272"/>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1E17F6C" w14:textId="2285FC46" w:rsidR="0022081A" w:rsidRPr="0022081A" w:rsidRDefault="0022081A" w:rsidP="0022081A">
            <w:pPr>
              <w:spacing w:after="0" w:line="240" w:lineRule="auto"/>
              <w:rPr>
                <w:rFonts w:eastAsia="Times New Roman" w:cstheme="minorHAnsi"/>
                <w:b/>
                <w:bCs/>
                <w:color w:val="000000"/>
                <w:sz w:val="16"/>
                <w:szCs w:val="16"/>
                <w:lang w:val="nl-NL" w:eastAsia="nl-NL"/>
              </w:rPr>
            </w:pPr>
            <w:r w:rsidRPr="0022081A">
              <w:rPr>
                <w:rFonts w:cstheme="minorHAnsi"/>
                <w:b/>
                <w:bCs/>
                <w:color w:val="000000"/>
                <w:sz w:val="16"/>
                <w:szCs w:val="16"/>
              </w:rPr>
              <w:t>2019</w:t>
            </w:r>
          </w:p>
        </w:tc>
        <w:tc>
          <w:tcPr>
            <w:tcW w:w="680" w:type="dxa"/>
            <w:tcBorders>
              <w:top w:val="nil"/>
              <w:left w:val="nil"/>
              <w:bottom w:val="single" w:sz="4" w:space="0" w:color="auto"/>
              <w:right w:val="single" w:sz="4" w:space="0" w:color="auto"/>
            </w:tcBorders>
            <w:shd w:val="clear" w:color="000000" w:fill="C4D79B"/>
            <w:noWrap/>
            <w:vAlign w:val="bottom"/>
            <w:hideMark/>
          </w:tcPr>
          <w:p w14:paraId="22E22A6D" w14:textId="6EB8996A"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6.6%</w:t>
            </w:r>
          </w:p>
        </w:tc>
        <w:tc>
          <w:tcPr>
            <w:tcW w:w="680" w:type="dxa"/>
            <w:tcBorders>
              <w:top w:val="nil"/>
              <w:left w:val="nil"/>
              <w:bottom w:val="single" w:sz="4" w:space="0" w:color="auto"/>
              <w:right w:val="single" w:sz="4" w:space="0" w:color="auto"/>
            </w:tcBorders>
            <w:shd w:val="clear" w:color="000000" w:fill="DA9694"/>
            <w:noWrap/>
            <w:vAlign w:val="bottom"/>
            <w:hideMark/>
          </w:tcPr>
          <w:p w14:paraId="5982696B" w14:textId="1C81D997"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-4.4%</w:t>
            </w:r>
          </w:p>
        </w:tc>
        <w:tc>
          <w:tcPr>
            <w:tcW w:w="680" w:type="dxa"/>
            <w:tcBorders>
              <w:top w:val="nil"/>
              <w:left w:val="nil"/>
              <w:bottom w:val="single" w:sz="4" w:space="0" w:color="auto"/>
              <w:right w:val="single" w:sz="4" w:space="0" w:color="auto"/>
            </w:tcBorders>
            <w:shd w:val="clear" w:color="000000" w:fill="E6B8B7"/>
            <w:noWrap/>
            <w:vAlign w:val="bottom"/>
            <w:hideMark/>
          </w:tcPr>
          <w:p w14:paraId="7B131532" w14:textId="5FE7E180"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-2.9%</w:t>
            </w:r>
          </w:p>
        </w:tc>
        <w:tc>
          <w:tcPr>
            <w:tcW w:w="680" w:type="dxa"/>
            <w:tcBorders>
              <w:top w:val="nil"/>
              <w:left w:val="nil"/>
              <w:bottom w:val="single" w:sz="4" w:space="0" w:color="auto"/>
              <w:right w:val="single" w:sz="4" w:space="0" w:color="auto"/>
            </w:tcBorders>
            <w:shd w:val="clear" w:color="000000" w:fill="E6B8B7"/>
            <w:noWrap/>
            <w:vAlign w:val="bottom"/>
            <w:hideMark/>
          </w:tcPr>
          <w:p w14:paraId="26210B83" w14:textId="167DB0BC"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-1.1%</w:t>
            </w:r>
          </w:p>
        </w:tc>
        <w:tc>
          <w:tcPr>
            <w:tcW w:w="680" w:type="dxa"/>
            <w:tcBorders>
              <w:top w:val="nil"/>
              <w:left w:val="nil"/>
              <w:bottom w:val="single" w:sz="4" w:space="0" w:color="auto"/>
              <w:right w:val="single" w:sz="4" w:space="0" w:color="auto"/>
            </w:tcBorders>
            <w:shd w:val="clear" w:color="000000" w:fill="DA9694"/>
            <w:noWrap/>
            <w:vAlign w:val="bottom"/>
            <w:hideMark/>
          </w:tcPr>
          <w:p w14:paraId="5CC36D3D" w14:textId="4E5AC97D"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-2.9%</w:t>
            </w:r>
          </w:p>
        </w:tc>
        <w:tc>
          <w:tcPr>
            <w:tcW w:w="680" w:type="dxa"/>
            <w:tcBorders>
              <w:top w:val="nil"/>
              <w:left w:val="nil"/>
              <w:bottom w:val="single" w:sz="4" w:space="0" w:color="auto"/>
              <w:right w:val="single" w:sz="4" w:space="0" w:color="auto"/>
            </w:tcBorders>
            <w:shd w:val="clear" w:color="000000" w:fill="DA9694"/>
            <w:noWrap/>
            <w:vAlign w:val="bottom"/>
            <w:hideMark/>
          </w:tcPr>
          <w:p w14:paraId="5042B665" w14:textId="28D3157E"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-3.1%</w:t>
            </w:r>
          </w:p>
        </w:tc>
        <w:tc>
          <w:tcPr>
            <w:tcW w:w="680" w:type="dxa"/>
            <w:tcBorders>
              <w:top w:val="nil"/>
              <w:left w:val="nil"/>
              <w:bottom w:val="single" w:sz="4" w:space="0" w:color="auto"/>
              <w:right w:val="single" w:sz="4" w:space="0" w:color="auto"/>
            </w:tcBorders>
            <w:shd w:val="clear" w:color="000000" w:fill="E6B8B7"/>
            <w:noWrap/>
            <w:vAlign w:val="bottom"/>
            <w:hideMark/>
          </w:tcPr>
          <w:p w14:paraId="2A5C167C" w14:textId="37A7675E"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-3.9%</w:t>
            </w:r>
          </w:p>
        </w:tc>
        <w:tc>
          <w:tcPr>
            <w:tcW w:w="680" w:type="dxa"/>
            <w:tcBorders>
              <w:top w:val="nil"/>
              <w:left w:val="nil"/>
              <w:bottom w:val="single" w:sz="4" w:space="0" w:color="auto"/>
              <w:right w:val="single" w:sz="4" w:space="0" w:color="auto"/>
            </w:tcBorders>
            <w:shd w:val="clear" w:color="000000" w:fill="E6B8B7"/>
            <w:noWrap/>
            <w:vAlign w:val="bottom"/>
            <w:hideMark/>
          </w:tcPr>
          <w:p w14:paraId="29D76C10" w14:textId="14A8BC54"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-2.4%</w:t>
            </w:r>
          </w:p>
        </w:tc>
        <w:tc>
          <w:tcPr>
            <w:tcW w:w="680" w:type="dxa"/>
            <w:tcBorders>
              <w:top w:val="nil"/>
              <w:left w:val="nil"/>
              <w:bottom w:val="single" w:sz="4" w:space="0" w:color="auto"/>
              <w:right w:val="single" w:sz="4" w:space="0" w:color="auto"/>
            </w:tcBorders>
            <w:shd w:val="clear" w:color="auto" w:fill="C4D79B"/>
            <w:noWrap/>
            <w:vAlign w:val="bottom"/>
            <w:hideMark/>
          </w:tcPr>
          <w:p w14:paraId="4859738F" w14:textId="44D8F36D"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3.4%</w:t>
            </w:r>
          </w:p>
        </w:tc>
        <w:tc>
          <w:tcPr>
            <w:tcW w:w="680" w:type="dxa"/>
            <w:tcBorders>
              <w:top w:val="nil"/>
              <w:left w:val="nil"/>
              <w:bottom w:val="single" w:sz="4" w:space="0" w:color="auto"/>
              <w:right w:val="single" w:sz="4" w:space="0" w:color="auto"/>
            </w:tcBorders>
            <w:shd w:val="clear" w:color="000000" w:fill="D8E4BC"/>
            <w:noWrap/>
            <w:vAlign w:val="bottom"/>
            <w:hideMark/>
          </w:tcPr>
          <w:p w14:paraId="2AB3154F" w14:textId="50FF31E4"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0.9%</w:t>
            </w:r>
          </w:p>
        </w:tc>
        <w:tc>
          <w:tcPr>
            <w:tcW w:w="680" w:type="dxa"/>
            <w:tcBorders>
              <w:top w:val="nil"/>
              <w:left w:val="nil"/>
              <w:bottom w:val="single" w:sz="4" w:space="0" w:color="auto"/>
              <w:right w:val="single" w:sz="4" w:space="0" w:color="auto"/>
            </w:tcBorders>
            <w:shd w:val="clear" w:color="000000" w:fill="D8E4BC"/>
            <w:noWrap/>
            <w:vAlign w:val="bottom"/>
            <w:hideMark/>
          </w:tcPr>
          <w:p w14:paraId="334541CE" w14:textId="07E9B5EE"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0.4%</w:t>
            </w:r>
          </w:p>
        </w:tc>
        <w:tc>
          <w:tcPr>
            <w:tcW w:w="680" w:type="dxa"/>
            <w:tcBorders>
              <w:top w:val="nil"/>
              <w:left w:val="nil"/>
              <w:bottom w:val="single" w:sz="4" w:space="0" w:color="auto"/>
              <w:right w:val="single" w:sz="4" w:space="0" w:color="auto"/>
            </w:tcBorders>
            <w:shd w:val="clear" w:color="000000" w:fill="C4D79B"/>
            <w:noWrap/>
            <w:vAlign w:val="bottom"/>
            <w:hideMark/>
          </w:tcPr>
          <w:p w14:paraId="02FA47F8" w14:textId="75EFEC03" w:rsidR="0022081A" w:rsidRPr="00E4705F" w:rsidRDefault="0022081A" w:rsidP="0022081A">
            <w:pPr>
              <w:spacing w:after="0" w:line="240" w:lineRule="auto"/>
              <w:jc w:val="right"/>
              <w:rPr>
                <w:rFonts w:eastAsia="Times New Roman" w:cstheme="minorHAnsi"/>
                <w:b/>
                <w:bCs/>
                <w:sz w:val="16"/>
                <w:szCs w:val="16"/>
                <w:lang w:val="nl-NL" w:eastAsia="nl-NL"/>
              </w:rPr>
            </w:pPr>
            <w:r w:rsidRPr="00E4705F">
              <w:rPr>
                <w:rFonts w:cstheme="minorHAnsi"/>
                <w:b/>
                <w:bCs/>
                <w:sz w:val="16"/>
                <w:szCs w:val="16"/>
              </w:rPr>
              <w:t>8.1%</w:t>
            </w:r>
          </w:p>
        </w:tc>
        <w:tc>
          <w:tcPr>
            <w:tcW w:w="680" w:type="dxa"/>
            <w:tcBorders>
              <w:top w:val="nil"/>
              <w:left w:val="nil"/>
              <w:bottom w:val="single" w:sz="4" w:space="0" w:color="auto"/>
              <w:right w:val="single" w:sz="4" w:space="0" w:color="auto"/>
            </w:tcBorders>
            <w:shd w:val="clear" w:color="000000" w:fill="C4D79B"/>
            <w:noWrap/>
            <w:vAlign w:val="bottom"/>
            <w:hideMark/>
          </w:tcPr>
          <w:p w14:paraId="56A7972F" w14:textId="3A813AD3" w:rsidR="0022081A" w:rsidRPr="00E4705F" w:rsidRDefault="0022081A" w:rsidP="0022081A">
            <w:pPr>
              <w:spacing w:after="0" w:line="240" w:lineRule="auto"/>
              <w:jc w:val="right"/>
              <w:rPr>
                <w:rFonts w:eastAsia="Times New Roman" w:cstheme="minorHAnsi"/>
                <w:b/>
                <w:bCs/>
                <w:sz w:val="16"/>
                <w:szCs w:val="16"/>
                <w:lang w:val="nl-NL" w:eastAsia="nl-NL"/>
              </w:rPr>
            </w:pPr>
            <w:r w:rsidRPr="00E4705F">
              <w:rPr>
                <w:rFonts w:cstheme="minorHAnsi"/>
                <w:b/>
                <w:bCs/>
                <w:sz w:val="16"/>
                <w:szCs w:val="16"/>
              </w:rPr>
              <w:t>4.6%</w:t>
            </w:r>
          </w:p>
        </w:tc>
      </w:tr>
      <w:tr w:rsidR="0022081A" w:rsidRPr="005E7FB2" w14:paraId="37295F83" w14:textId="77777777" w:rsidTr="00D3797F">
        <w:trPr>
          <w:trHeight w:val="262"/>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609D1E0" w14:textId="30320307" w:rsidR="0022081A" w:rsidRPr="0022081A" w:rsidRDefault="0022081A" w:rsidP="0022081A">
            <w:pPr>
              <w:spacing w:after="0" w:line="240" w:lineRule="auto"/>
              <w:rPr>
                <w:rFonts w:eastAsia="Times New Roman" w:cstheme="minorHAnsi"/>
                <w:sz w:val="16"/>
                <w:szCs w:val="16"/>
                <w:lang w:val="nl-NL" w:eastAsia="nl-NL"/>
              </w:rPr>
            </w:pPr>
            <w:r w:rsidRPr="0022081A">
              <w:rPr>
                <w:rFonts w:cstheme="minorHAnsi"/>
                <w:sz w:val="16"/>
                <w:szCs w:val="16"/>
              </w:rPr>
              <w:t>2020</w:t>
            </w:r>
          </w:p>
        </w:tc>
        <w:tc>
          <w:tcPr>
            <w:tcW w:w="680" w:type="dxa"/>
            <w:tcBorders>
              <w:top w:val="nil"/>
              <w:left w:val="nil"/>
              <w:bottom w:val="single" w:sz="4" w:space="0" w:color="auto"/>
              <w:right w:val="single" w:sz="4" w:space="0" w:color="auto"/>
            </w:tcBorders>
            <w:shd w:val="clear" w:color="000000" w:fill="C4D79B"/>
            <w:noWrap/>
            <w:vAlign w:val="bottom"/>
            <w:hideMark/>
          </w:tcPr>
          <w:p w14:paraId="51C55FB5" w14:textId="7B917AC4"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3.1%</w:t>
            </w:r>
          </w:p>
        </w:tc>
        <w:tc>
          <w:tcPr>
            <w:tcW w:w="680" w:type="dxa"/>
            <w:tcBorders>
              <w:top w:val="nil"/>
              <w:left w:val="nil"/>
              <w:bottom w:val="single" w:sz="4" w:space="0" w:color="auto"/>
              <w:right w:val="single" w:sz="4" w:space="0" w:color="auto"/>
            </w:tcBorders>
            <w:shd w:val="clear" w:color="000000" w:fill="E6B8B7"/>
            <w:noWrap/>
            <w:vAlign w:val="bottom"/>
            <w:hideMark/>
          </w:tcPr>
          <w:p w14:paraId="1BF57AB9" w14:textId="377542A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-1.9%</w:t>
            </w:r>
          </w:p>
        </w:tc>
        <w:tc>
          <w:tcPr>
            <w:tcW w:w="680" w:type="dxa"/>
            <w:tcBorders>
              <w:top w:val="nil"/>
              <w:left w:val="nil"/>
              <w:bottom w:val="single" w:sz="4" w:space="0" w:color="auto"/>
              <w:right w:val="single" w:sz="4" w:space="0" w:color="auto"/>
            </w:tcBorders>
            <w:shd w:val="clear" w:color="000000" w:fill="76933C"/>
            <w:noWrap/>
            <w:vAlign w:val="bottom"/>
            <w:hideMark/>
          </w:tcPr>
          <w:p w14:paraId="3371C820" w14:textId="4C195299"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12.5%</w:t>
            </w:r>
          </w:p>
        </w:tc>
        <w:tc>
          <w:tcPr>
            <w:tcW w:w="680" w:type="dxa"/>
            <w:tcBorders>
              <w:top w:val="nil"/>
              <w:left w:val="nil"/>
              <w:bottom w:val="single" w:sz="4" w:space="0" w:color="auto"/>
              <w:right w:val="single" w:sz="4" w:space="0" w:color="auto"/>
            </w:tcBorders>
            <w:shd w:val="clear" w:color="000000" w:fill="76933C"/>
            <w:noWrap/>
            <w:vAlign w:val="bottom"/>
            <w:hideMark/>
          </w:tcPr>
          <w:p w14:paraId="2F1740F4" w14:textId="65739504"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5.0%</w:t>
            </w:r>
          </w:p>
        </w:tc>
        <w:tc>
          <w:tcPr>
            <w:tcW w:w="680" w:type="dxa"/>
            <w:tcBorders>
              <w:top w:val="nil"/>
              <w:left w:val="nil"/>
              <w:bottom w:val="single" w:sz="4" w:space="0" w:color="auto"/>
              <w:right w:val="single" w:sz="4" w:space="0" w:color="auto"/>
            </w:tcBorders>
            <w:shd w:val="clear" w:color="000000" w:fill="C4D79B"/>
            <w:noWrap/>
            <w:vAlign w:val="bottom"/>
            <w:hideMark/>
          </w:tcPr>
          <w:p w14:paraId="2A239580" w14:textId="1AF54E90"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2.1%</w:t>
            </w:r>
          </w:p>
        </w:tc>
        <w:tc>
          <w:tcPr>
            <w:tcW w:w="680" w:type="dxa"/>
            <w:tcBorders>
              <w:top w:val="nil"/>
              <w:left w:val="nil"/>
              <w:bottom w:val="single" w:sz="4" w:space="0" w:color="auto"/>
              <w:right w:val="single" w:sz="4" w:space="0" w:color="auto"/>
            </w:tcBorders>
            <w:shd w:val="clear" w:color="000000" w:fill="DA9694"/>
            <w:noWrap/>
            <w:vAlign w:val="bottom"/>
            <w:hideMark/>
          </w:tcPr>
          <w:p w14:paraId="322B2691" w14:textId="06E88292"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-8.3%</w:t>
            </w:r>
          </w:p>
        </w:tc>
        <w:tc>
          <w:tcPr>
            <w:tcW w:w="680" w:type="dxa"/>
            <w:tcBorders>
              <w:top w:val="nil"/>
              <w:left w:val="nil"/>
              <w:bottom w:val="single" w:sz="4" w:space="0" w:color="auto"/>
              <w:right w:val="single" w:sz="4" w:space="0" w:color="auto"/>
            </w:tcBorders>
            <w:shd w:val="clear" w:color="000000" w:fill="DA9694"/>
            <w:noWrap/>
            <w:vAlign w:val="bottom"/>
            <w:hideMark/>
          </w:tcPr>
          <w:p w14:paraId="3C736510" w14:textId="2E0A8EC7"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-3.9%</w:t>
            </w:r>
          </w:p>
        </w:tc>
        <w:tc>
          <w:tcPr>
            <w:tcW w:w="680" w:type="dxa"/>
            <w:tcBorders>
              <w:top w:val="nil"/>
              <w:left w:val="nil"/>
              <w:bottom w:val="single" w:sz="4" w:space="0" w:color="auto"/>
              <w:right w:val="single" w:sz="4" w:space="0" w:color="auto"/>
            </w:tcBorders>
            <w:shd w:val="clear" w:color="000000" w:fill="E6B8B7"/>
            <w:noWrap/>
            <w:vAlign w:val="bottom"/>
            <w:hideMark/>
          </w:tcPr>
          <w:p w14:paraId="31F8EF3B" w14:textId="3084F7AF"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-2.9%</w:t>
            </w:r>
          </w:p>
        </w:tc>
        <w:tc>
          <w:tcPr>
            <w:tcW w:w="680" w:type="dxa"/>
            <w:tcBorders>
              <w:top w:val="nil"/>
              <w:left w:val="nil"/>
              <w:bottom w:val="single" w:sz="4" w:space="0" w:color="auto"/>
              <w:right w:val="single" w:sz="4" w:space="0" w:color="auto"/>
            </w:tcBorders>
            <w:shd w:val="clear" w:color="000000" w:fill="F2DCDB"/>
            <w:noWrap/>
            <w:vAlign w:val="bottom"/>
            <w:hideMark/>
          </w:tcPr>
          <w:p w14:paraId="35FE6ACC" w14:textId="4CF3777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-1.0%</w:t>
            </w:r>
          </w:p>
        </w:tc>
        <w:tc>
          <w:tcPr>
            <w:tcW w:w="680" w:type="dxa"/>
            <w:tcBorders>
              <w:top w:val="nil"/>
              <w:left w:val="nil"/>
              <w:bottom w:val="single" w:sz="4" w:space="0" w:color="auto"/>
              <w:right w:val="single" w:sz="4" w:space="0" w:color="auto"/>
            </w:tcBorders>
            <w:shd w:val="clear" w:color="000000" w:fill="EBF1DE"/>
            <w:noWrap/>
            <w:vAlign w:val="bottom"/>
            <w:hideMark/>
          </w:tcPr>
          <w:p w14:paraId="7C53EF12" w14:textId="57126CB3"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0.3%</w:t>
            </w:r>
          </w:p>
        </w:tc>
        <w:tc>
          <w:tcPr>
            <w:tcW w:w="680" w:type="dxa"/>
            <w:tcBorders>
              <w:top w:val="nil"/>
              <w:left w:val="nil"/>
              <w:bottom w:val="single" w:sz="4" w:space="0" w:color="auto"/>
              <w:right w:val="single" w:sz="4" w:space="0" w:color="auto"/>
            </w:tcBorders>
            <w:shd w:val="clear" w:color="000000" w:fill="EBF1DE"/>
            <w:noWrap/>
            <w:vAlign w:val="bottom"/>
            <w:hideMark/>
          </w:tcPr>
          <w:p w14:paraId="3B077303" w14:textId="6BB36BE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2.6%</w:t>
            </w:r>
          </w:p>
        </w:tc>
        <w:tc>
          <w:tcPr>
            <w:tcW w:w="680" w:type="dxa"/>
            <w:tcBorders>
              <w:top w:val="nil"/>
              <w:left w:val="nil"/>
              <w:bottom w:val="single" w:sz="4" w:space="0" w:color="auto"/>
              <w:right w:val="single" w:sz="4" w:space="0" w:color="auto"/>
            </w:tcBorders>
            <w:shd w:val="clear" w:color="auto" w:fill="C4D79B"/>
            <w:noWrap/>
            <w:vAlign w:val="bottom"/>
            <w:hideMark/>
          </w:tcPr>
          <w:p w14:paraId="27D3FC1A" w14:textId="45BB6717" w:rsidR="0022081A" w:rsidRPr="00E4705F" w:rsidRDefault="0022081A" w:rsidP="0022081A">
            <w:pPr>
              <w:spacing w:after="0" w:line="240" w:lineRule="auto"/>
              <w:jc w:val="right"/>
              <w:rPr>
                <w:rFonts w:eastAsia="Times New Roman" w:cstheme="minorHAnsi"/>
                <w:sz w:val="16"/>
                <w:szCs w:val="16"/>
                <w:lang w:val="nl-NL" w:eastAsia="nl-NL"/>
              </w:rPr>
            </w:pPr>
            <w:r w:rsidRPr="00E4705F">
              <w:rPr>
                <w:rFonts w:cstheme="minorHAnsi"/>
                <w:sz w:val="16"/>
                <w:szCs w:val="16"/>
              </w:rPr>
              <w:t>4.8%</w:t>
            </w:r>
          </w:p>
        </w:tc>
        <w:tc>
          <w:tcPr>
            <w:tcW w:w="680" w:type="dxa"/>
            <w:tcBorders>
              <w:top w:val="nil"/>
              <w:left w:val="nil"/>
              <w:bottom w:val="single" w:sz="4" w:space="0" w:color="auto"/>
              <w:right w:val="single" w:sz="4" w:space="0" w:color="auto"/>
            </w:tcBorders>
            <w:shd w:val="clear" w:color="000000" w:fill="C4D79B"/>
            <w:noWrap/>
            <w:vAlign w:val="bottom"/>
            <w:hideMark/>
          </w:tcPr>
          <w:p w14:paraId="0A7B4C43" w14:textId="4F8AE9EE" w:rsidR="0022081A" w:rsidRPr="00E4705F" w:rsidRDefault="0022081A" w:rsidP="0022081A">
            <w:pPr>
              <w:spacing w:after="0" w:line="240" w:lineRule="auto"/>
              <w:jc w:val="right"/>
              <w:rPr>
                <w:rFonts w:eastAsia="Times New Roman" w:cstheme="minorHAnsi"/>
                <w:sz w:val="16"/>
                <w:szCs w:val="16"/>
                <w:lang w:val="nl-NL" w:eastAsia="nl-NL"/>
              </w:rPr>
            </w:pPr>
            <w:r w:rsidRPr="00E4705F">
              <w:rPr>
                <w:rFonts w:cstheme="minorHAnsi"/>
                <w:sz w:val="16"/>
                <w:szCs w:val="16"/>
              </w:rPr>
              <w:t>4.0%</w:t>
            </w:r>
          </w:p>
        </w:tc>
      </w:tr>
      <w:tr w:rsidR="0022081A" w:rsidRPr="005E7FB2" w14:paraId="7BFB53F4" w14:textId="77777777" w:rsidTr="00E4705F">
        <w:trPr>
          <w:trHeight w:val="262"/>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941EEC5" w14:textId="09C21100" w:rsidR="0022081A" w:rsidRPr="0022081A" w:rsidRDefault="0022081A" w:rsidP="0022081A">
            <w:pPr>
              <w:spacing w:after="0" w:line="240" w:lineRule="auto"/>
              <w:rPr>
                <w:rFonts w:eastAsia="Times New Roman" w:cstheme="minorHAnsi"/>
                <w:sz w:val="16"/>
                <w:szCs w:val="16"/>
                <w:lang w:val="nl-NL" w:eastAsia="nl-NL"/>
              </w:rPr>
            </w:pPr>
            <w:r w:rsidRPr="0022081A">
              <w:rPr>
                <w:rFonts w:cstheme="minorHAnsi"/>
                <w:sz w:val="16"/>
                <w:szCs w:val="16"/>
              </w:rPr>
              <w:t>2021</w:t>
            </w:r>
          </w:p>
        </w:tc>
        <w:tc>
          <w:tcPr>
            <w:tcW w:w="680" w:type="dxa"/>
            <w:tcBorders>
              <w:top w:val="nil"/>
              <w:left w:val="nil"/>
              <w:bottom w:val="single" w:sz="4" w:space="0" w:color="auto"/>
              <w:right w:val="single" w:sz="4" w:space="0" w:color="auto"/>
            </w:tcBorders>
            <w:shd w:val="clear" w:color="000000" w:fill="C4D79B"/>
            <w:noWrap/>
            <w:vAlign w:val="bottom"/>
            <w:hideMark/>
          </w:tcPr>
          <w:p w14:paraId="0171CEAB" w14:textId="702C1AA3"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5.2%</w:t>
            </w:r>
          </w:p>
        </w:tc>
        <w:tc>
          <w:tcPr>
            <w:tcW w:w="680" w:type="dxa"/>
            <w:tcBorders>
              <w:top w:val="nil"/>
              <w:left w:val="nil"/>
              <w:bottom w:val="single" w:sz="4" w:space="0" w:color="auto"/>
              <w:right w:val="single" w:sz="4" w:space="0" w:color="auto"/>
            </w:tcBorders>
            <w:shd w:val="clear" w:color="000000" w:fill="DA9694"/>
            <w:noWrap/>
            <w:vAlign w:val="bottom"/>
            <w:hideMark/>
          </w:tcPr>
          <w:p w14:paraId="06121419" w14:textId="0AFE3CEB"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-5.5%</w:t>
            </w:r>
          </w:p>
        </w:tc>
        <w:tc>
          <w:tcPr>
            <w:tcW w:w="680" w:type="dxa"/>
            <w:tcBorders>
              <w:top w:val="nil"/>
              <w:left w:val="nil"/>
              <w:bottom w:val="single" w:sz="4" w:space="0" w:color="auto"/>
              <w:right w:val="single" w:sz="4" w:space="0" w:color="auto"/>
            </w:tcBorders>
            <w:shd w:val="clear" w:color="000000" w:fill="DA9694"/>
            <w:noWrap/>
            <w:vAlign w:val="bottom"/>
            <w:hideMark/>
          </w:tcPr>
          <w:p w14:paraId="7E99A95E" w14:textId="312EC983"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-4.6%</w:t>
            </w:r>
          </w:p>
        </w:tc>
        <w:tc>
          <w:tcPr>
            <w:tcW w:w="680" w:type="dxa"/>
            <w:tcBorders>
              <w:top w:val="nil"/>
              <w:left w:val="nil"/>
              <w:bottom w:val="single" w:sz="4" w:space="0" w:color="auto"/>
              <w:right w:val="single" w:sz="4" w:space="0" w:color="auto"/>
            </w:tcBorders>
            <w:shd w:val="clear" w:color="000000" w:fill="E6B8B7"/>
            <w:noWrap/>
            <w:vAlign w:val="bottom"/>
            <w:hideMark/>
          </w:tcPr>
          <w:p w14:paraId="68037FE1" w14:textId="667AF712"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-0.7%</w:t>
            </w:r>
          </w:p>
        </w:tc>
        <w:tc>
          <w:tcPr>
            <w:tcW w:w="680" w:type="dxa"/>
            <w:tcBorders>
              <w:top w:val="nil"/>
              <w:left w:val="nil"/>
              <w:bottom w:val="single" w:sz="4" w:space="0" w:color="auto"/>
              <w:right w:val="single" w:sz="4" w:space="0" w:color="auto"/>
            </w:tcBorders>
            <w:shd w:val="clear" w:color="000000" w:fill="DA9694"/>
            <w:noWrap/>
            <w:vAlign w:val="bottom"/>
            <w:hideMark/>
          </w:tcPr>
          <w:p w14:paraId="694DB792" w14:textId="4B38AED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-4.3%</w:t>
            </w:r>
          </w:p>
        </w:tc>
        <w:tc>
          <w:tcPr>
            <w:tcW w:w="680" w:type="dxa"/>
            <w:tcBorders>
              <w:top w:val="nil"/>
              <w:left w:val="nil"/>
              <w:bottom w:val="single" w:sz="4" w:space="0" w:color="auto"/>
              <w:right w:val="single" w:sz="4" w:space="0" w:color="auto"/>
            </w:tcBorders>
            <w:shd w:val="clear" w:color="000000" w:fill="DA9694"/>
            <w:noWrap/>
            <w:vAlign w:val="bottom"/>
            <w:hideMark/>
          </w:tcPr>
          <w:p w14:paraId="65885E43" w14:textId="43DBDEE0"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-3.6%</w:t>
            </w:r>
          </w:p>
        </w:tc>
        <w:tc>
          <w:tcPr>
            <w:tcW w:w="680" w:type="dxa"/>
            <w:tcBorders>
              <w:top w:val="nil"/>
              <w:left w:val="nil"/>
              <w:bottom w:val="single" w:sz="4" w:space="0" w:color="auto"/>
              <w:right w:val="single" w:sz="4" w:space="0" w:color="auto"/>
            </w:tcBorders>
            <w:shd w:val="clear" w:color="000000" w:fill="DA9694"/>
            <w:noWrap/>
            <w:vAlign w:val="bottom"/>
            <w:hideMark/>
          </w:tcPr>
          <w:p w14:paraId="3B9524B4" w14:textId="18A39BF4"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-5.8%</w:t>
            </w:r>
          </w:p>
        </w:tc>
        <w:tc>
          <w:tcPr>
            <w:tcW w:w="680" w:type="dxa"/>
            <w:tcBorders>
              <w:top w:val="nil"/>
              <w:left w:val="nil"/>
              <w:bottom w:val="single" w:sz="4" w:space="0" w:color="auto"/>
              <w:right w:val="single" w:sz="4" w:space="0" w:color="auto"/>
            </w:tcBorders>
            <w:shd w:val="clear" w:color="auto" w:fill="F2DCDB"/>
            <w:noWrap/>
            <w:vAlign w:val="bottom"/>
            <w:hideMark/>
          </w:tcPr>
          <w:p w14:paraId="63ADEA99" w14:textId="12DBB89C"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-0.8%</w:t>
            </w:r>
          </w:p>
        </w:tc>
        <w:tc>
          <w:tcPr>
            <w:tcW w:w="680" w:type="dxa"/>
            <w:tcBorders>
              <w:top w:val="nil"/>
              <w:left w:val="nil"/>
              <w:bottom w:val="single" w:sz="4" w:space="0" w:color="auto"/>
              <w:right w:val="single" w:sz="4" w:space="0" w:color="auto"/>
            </w:tcBorders>
            <w:shd w:val="clear" w:color="auto" w:fill="C4D79B"/>
            <w:noWrap/>
            <w:vAlign w:val="bottom"/>
            <w:hideMark/>
          </w:tcPr>
          <w:p w14:paraId="220DEE4A" w14:textId="1EA1099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2.1%</w:t>
            </w:r>
          </w:p>
        </w:tc>
        <w:tc>
          <w:tcPr>
            <w:tcW w:w="680" w:type="dxa"/>
            <w:tcBorders>
              <w:top w:val="nil"/>
              <w:left w:val="nil"/>
              <w:bottom w:val="single" w:sz="4" w:space="0" w:color="auto"/>
              <w:right w:val="single" w:sz="4" w:space="0" w:color="auto"/>
            </w:tcBorders>
            <w:shd w:val="clear" w:color="000000" w:fill="F2DCDB"/>
            <w:noWrap/>
            <w:vAlign w:val="bottom"/>
            <w:hideMark/>
          </w:tcPr>
          <w:p w14:paraId="0B7B4648" w14:textId="3C1A1887"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-0.3%</w:t>
            </w:r>
          </w:p>
        </w:tc>
        <w:tc>
          <w:tcPr>
            <w:tcW w:w="680" w:type="dxa"/>
            <w:tcBorders>
              <w:top w:val="nil"/>
              <w:left w:val="nil"/>
              <w:bottom w:val="single" w:sz="4" w:space="0" w:color="auto"/>
              <w:right w:val="single" w:sz="4" w:space="0" w:color="auto"/>
            </w:tcBorders>
            <w:shd w:val="clear" w:color="000000" w:fill="EBF1DE"/>
            <w:noWrap/>
            <w:vAlign w:val="bottom"/>
            <w:hideMark/>
          </w:tcPr>
          <w:p w14:paraId="1343F0E1" w14:textId="3A2F197C"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2.5%</w:t>
            </w:r>
          </w:p>
        </w:tc>
        <w:tc>
          <w:tcPr>
            <w:tcW w:w="680" w:type="dxa"/>
            <w:tcBorders>
              <w:top w:val="nil"/>
              <w:left w:val="nil"/>
              <w:bottom w:val="single" w:sz="4" w:space="0" w:color="auto"/>
              <w:right w:val="single" w:sz="4" w:space="0" w:color="auto"/>
            </w:tcBorders>
            <w:shd w:val="clear" w:color="000000" w:fill="C4D79B"/>
            <w:noWrap/>
            <w:vAlign w:val="bottom"/>
            <w:hideMark/>
          </w:tcPr>
          <w:p w14:paraId="307CAE79" w14:textId="37C59686" w:rsidR="0022081A" w:rsidRPr="00E4705F" w:rsidRDefault="0022081A" w:rsidP="0022081A">
            <w:pPr>
              <w:spacing w:after="0" w:line="240" w:lineRule="auto"/>
              <w:jc w:val="right"/>
              <w:rPr>
                <w:rFonts w:eastAsia="Times New Roman" w:cstheme="minorHAnsi"/>
                <w:sz w:val="16"/>
                <w:szCs w:val="16"/>
                <w:lang w:val="nl-NL" w:eastAsia="nl-NL"/>
              </w:rPr>
            </w:pPr>
            <w:r w:rsidRPr="00E4705F">
              <w:rPr>
                <w:rFonts w:cstheme="minorHAnsi"/>
                <w:sz w:val="16"/>
                <w:szCs w:val="16"/>
              </w:rPr>
              <w:t>5.3%</w:t>
            </w:r>
          </w:p>
        </w:tc>
        <w:tc>
          <w:tcPr>
            <w:tcW w:w="680" w:type="dxa"/>
            <w:tcBorders>
              <w:top w:val="nil"/>
              <w:left w:val="nil"/>
              <w:bottom w:val="single" w:sz="4" w:space="0" w:color="auto"/>
              <w:right w:val="single" w:sz="4" w:space="0" w:color="auto"/>
            </w:tcBorders>
            <w:shd w:val="clear" w:color="000000" w:fill="C4D79B"/>
            <w:noWrap/>
            <w:vAlign w:val="bottom"/>
            <w:hideMark/>
          </w:tcPr>
          <w:p w14:paraId="3A3E1D6B" w14:textId="69A2E625" w:rsidR="0022081A" w:rsidRPr="00E4705F" w:rsidRDefault="0022081A" w:rsidP="0022081A">
            <w:pPr>
              <w:spacing w:after="0" w:line="240" w:lineRule="auto"/>
              <w:jc w:val="right"/>
              <w:rPr>
                <w:rFonts w:eastAsia="Times New Roman" w:cstheme="minorHAnsi"/>
                <w:sz w:val="16"/>
                <w:szCs w:val="16"/>
                <w:lang w:val="nl-NL" w:eastAsia="nl-NL"/>
              </w:rPr>
            </w:pPr>
            <w:r w:rsidRPr="00E4705F">
              <w:rPr>
                <w:rFonts w:cstheme="minorHAnsi"/>
                <w:sz w:val="16"/>
                <w:szCs w:val="16"/>
              </w:rPr>
              <w:t>2.6%</w:t>
            </w:r>
          </w:p>
        </w:tc>
      </w:tr>
      <w:tr w:rsidR="0022081A" w:rsidRPr="005E7FB2" w14:paraId="1317160F" w14:textId="77777777" w:rsidTr="005E7FB2">
        <w:trPr>
          <w:trHeight w:val="262"/>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3D0BFC8" w14:textId="0044201A" w:rsidR="0022081A" w:rsidRPr="0022081A" w:rsidRDefault="0022081A" w:rsidP="0022081A">
            <w:pPr>
              <w:spacing w:after="0" w:line="240" w:lineRule="auto"/>
              <w:rPr>
                <w:rFonts w:eastAsia="Times New Roman" w:cstheme="minorHAnsi"/>
                <w:sz w:val="16"/>
                <w:szCs w:val="16"/>
                <w:lang w:val="nl-NL" w:eastAsia="nl-NL"/>
              </w:rPr>
            </w:pPr>
            <w:r w:rsidRPr="0022081A">
              <w:rPr>
                <w:rFonts w:cstheme="minorHAnsi"/>
                <w:sz w:val="16"/>
                <w:szCs w:val="16"/>
              </w:rPr>
              <w:t>2022</w:t>
            </w:r>
          </w:p>
        </w:tc>
        <w:tc>
          <w:tcPr>
            <w:tcW w:w="680" w:type="dxa"/>
            <w:tcBorders>
              <w:top w:val="nil"/>
              <w:left w:val="nil"/>
              <w:bottom w:val="single" w:sz="4" w:space="0" w:color="auto"/>
              <w:right w:val="single" w:sz="4" w:space="0" w:color="auto"/>
            </w:tcBorders>
            <w:shd w:val="clear" w:color="000000" w:fill="C4D79B"/>
            <w:noWrap/>
            <w:vAlign w:val="bottom"/>
            <w:hideMark/>
          </w:tcPr>
          <w:p w14:paraId="2A5A5D82" w14:textId="455AE4A3"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3.4%</w:t>
            </w:r>
          </w:p>
        </w:tc>
        <w:tc>
          <w:tcPr>
            <w:tcW w:w="680" w:type="dxa"/>
            <w:tcBorders>
              <w:top w:val="nil"/>
              <w:left w:val="nil"/>
              <w:bottom w:val="single" w:sz="4" w:space="0" w:color="auto"/>
              <w:right w:val="single" w:sz="4" w:space="0" w:color="auto"/>
            </w:tcBorders>
            <w:shd w:val="clear" w:color="000000" w:fill="DA9694"/>
            <w:noWrap/>
            <w:vAlign w:val="bottom"/>
            <w:hideMark/>
          </w:tcPr>
          <w:p w14:paraId="67C215D2" w14:textId="28C3D18E"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-4.7%</w:t>
            </w:r>
          </w:p>
        </w:tc>
        <w:tc>
          <w:tcPr>
            <w:tcW w:w="680" w:type="dxa"/>
            <w:tcBorders>
              <w:top w:val="nil"/>
              <w:left w:val="nil"/>
              <w:bottom w:val="single" w:sz="4" w:space="0" w:color="auto"/>
              <w:right w:val="single" w:sz="4" w:space="0" w:color="auto"/>
            </w:tcBorders>
            <w:shd w:val="clear" w:color="000000" w:fill="E6B8B7"/>
            <w:noWrap/>
            <w:vAlign w:val="bottom"/>
            <w:hideMark/>
          </w:tcPr>
          <w:p w14:paraId="1BCC1213" w14:textId="080B0D9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-2.6%</w:t>
            </w:r>
          </w:p>
        </w:tc>
        <w:tc>
          <w:tcPr>
            <w:tcW w:w="680" w:type="dxa"/>
            <w:tcBorders>
              <w:top w:val="nil"/>
              <w:left w:val="nil"/>
              <w:bottom w:val="single" w:sz="4" w:space="0" w:color="auto"/>
              <w:right w:val="single" w:sz="4" w:space="0" w:color="auto"/>
            </w:tcBorders>
            <w:shd w:val="clear" w:color="000000" w:fill="DA9694"/>
            <w:noWrap/>
            <w:vAlign w:val="bottom"/>
            <w:hideMark/>
          </w:tcPr>
          <w:p w14:paraId="7EDE353F" w14:textId="4231322E"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-3.0%</w:t>
            </w:r>
          </w:p>
        </w:tc>
        <w:tc>
          <w:tcPr>
            <w:tcW w:w="680" w:type="dxa"/>
            <w:tcBorders>
              <w:top w:val="nil"/>
              <w:left w:val="nil"/>
              <w:bottom w:val="single" w:sz="4" w:space="0" w:color="auto"/>
              <w:right w:val="single" w:sz="4" w:space="0" w:color="auto"/>
            </w:tcBorders>
            <w:shd w:val="clear" w:color="000000" w:fill="DA9694"/>
            <w:noWrap/>
            <w:vAlign w:val="bottom"/>
            <w:hideMark/>
          </w:tcPr>
          <w:p w14:paraId="2DADA3A1" w14:textId="79316DB3"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-3.1%</w:t>
            </w:r>
          </w:p>
        </w:tc>
        <w:tc>
          <w:tcPr>
            <w:tcW w:w="680" w:type="dxa"/>
            <w:tcBorders>
              <w:top w:val="nil"/>
              <w:left w:val="nil"/>
              <w:bottom w:val="single" w:sz="4" w:space="0" w:color="auto"/>
              <w:right w:val="single" w:sz="4" w:space="0" w:color="auto"/>
            </w:tcBorders>
            <w:shd w:val="clear" w:color="000000" w:fill="DA9694"/>
            <w:noWrap/>
            <w:vAlign w:val="bottom"/>
            <w:hideMark/>
          </w:tcPr>
          <w:p w14:paraId="796B2722" w14:textId="5A54E31C"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-4.3%</w:t>
            </w:r>
          </w:p>
        </w:tc>
        <w:tc>
          <w:tcPr>
            <w:tcW w:w="680" w:type="dxa"/>
            <w:tcBorders>
              <w:top w:val="nil"/>
              <w:left w:val="nil"/>
              <w:bottom w:val="single" w:sz="4" w:space="0" w:color="auto"/>
              <w:right w:val="single" w:sz="4" w:space="0" w:color="auto"/>
            </w:tcBorders>
            <w:shd w:val="clear" w:color="000000" w:fill="DA9694"/>
            <w:noWrap/>
            <w:vAlign w:val="bottom"/>
            <w:hideMark/>
          </w:tcPr>
          <w:p w14:paraId="1EC946C7" w14:textId="6FDEBDC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-3.3%</w:t>
            </w:r>
          </w:p>
        </w:tc>
        <w:tc>
          <w:tcPr>
            <w:tcW w:w="680" w:type="dxa"/>
            <w:tcBorders>
              <w:top w:val="nil"/>
              <w:left w:val="nil"/>
              <w:bottom w:val="single" w:sz="4" w:space="0" w:color="auto"/>
              <w:right w:val="single" w:sz="4" w:space="0" w:color="auto"/>
            </w:tcBorders>
            <w:shd w:val="clear" w:color="000000" w:fill="E6B8B7"/>
            <w:noWrap/>
            <w:vAlign w:val="bottom"/>
            <w:hideMark/>
          </w:tcPr>
          <w:p w14:paraId="2AAD0AD9" w14:textId="7D28D1C6"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-1.2%</w:t>
            </w:r>
          </w:p>
        </w:tc>
        <w:tc>
          <w:tcPr>
            <w:tcW w:w="680" w:type="dxa"/>
            <w:tcBorders>
              <w:top w:val="nil"/>
              <w:left w:val="nil"/>
              <w:bottom w:val="single" w:sz="4" w:space="0" w:color="auto"/>
              <w:right w:val="single" w:sz="4" w:space="0" w:color="auto"/>
            </w:tcBorders>
            <w:shd w:val="clear" w:color="000000" w:fill="D8E4BC"/>
            <w:noWrap/>
            <w:vAlign w:val="bottom"/>
            <w:hideMark/>
          </w:tcPr>
          <w:p w14:paraId="4B85F668" w14:textId="22AD7EF8"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1.0%</w:t>
            </w:r>
          </w:p>
        </w:tc>
        <w:tc>
          <w:tcPr>
            <w:tcW w:w="680" w:type="dxa"/>
            <w:tcBorders>
              <w:top w:val="nil"/>
              <w:left w:val="nil"/>
              <w:bottom w:val="single" w:sz="4" w:space="0" w:color="auto"/>
              <w:right w:val="single" w:sz="4" w:space="0" w:color="auto"/>
            </w:tcBorders>
            <w:shd w:val="clear" w:color="000000" w:fill="EBF1DE"/>
            <w:noWrap/>
            <w:vAlign w:val="bottom"/>
            <w:hideMark/>
          </w:tcPr>
          <w:p w14:paraId="6D4AC9DF" w14:textId="384B672F"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0.7%</w:t>
            </w:r>
          </w:p>
        </w:tc>
        <w:tc>
          <w:tcPr>
            <w:tcW w:w="680" w:type="dxa"/>
            <w:tcBorders>
              <w:top w:val="nil"/>
              <w:left w:val="nil"/>
              <w:bottom w:val="single" w:sz="4" w:space="0" w:color="auto"/>
              <w:right w:val="single" w:sz="4" w:space="0" w:color="auto"/>
            </w:tcBorders>
            <w:shd w:val="clear" w:color="000000" w:fill="C4D79B"/>
            <w:noWrap/>
            <w:vAlign w:val="bottom"/>
            <w:hideMark/>
          </w:tcPr>
          <w:p w14:paraId="692F64E6" w14:textId="18870377"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3.7%</w:t>
            </w:r>
          </w:p>
        </w:tc>
        <w:tc>
          <w:tcPr>
            <w:tcW w:w="680" w:type="dxa"/>
            <w:tcBorders>
              <w:top w:val="nil"/>
              <w:left w:val="nil"/>
              <w:bottom w:val="single" w:sz="4" w:space="0" w:color="auto"/>
              <w:right w:val="single" w:sz="4" w:space="0" w:color="auto"/>
            </w:tcBorders>
            <w:shd w:val="clear" w:color="000000" w:fill="C4D79B"/>
            <w:noWrap/>
            <w:vAlign w:val="bottom"/>
            <w:hideMark/>
          </w:tcPr>
          <w:p w14:paraId="5A3EB32E" w14:textId="29BEB365" w:rsidR="0022081A" w:rsidRPr="00E4705F" w:rsidRDefault="0022081A" w:rsidP="0022081A">
            <w:pPr>
              <w:spacing w:after="0" w:line="240" w:lineRule="auto"/>
              <w:jc w:val="right"/>
              <w:rPr>
                <w:rFonts w:eastAsia="Times New Roman" w:cstheme="minorHAnsi"/>
                <w:sz w:val="16"/>
                <w:szCs w:val="16"/>
                <w:lang w:val="nl-NL" w:eastAsia="nl-NL"/>
              </w:rPr>
            </w:pPr>
            <w:r w:rsidRPr="00E4705F">
              <w:rPr>
                <w:rFonts w:cstheme="minorHAnsi"/>
                <w:sz w:val="16"/>
                <w:szCs w:val="16"/>
              </w:rPr>
              <w:t>8.0%</w:t>
            </w:r>
          </w:p>
        </w:tc>
        <w:tc>
          <w:tcPr>
            <w:tcW w:w="680" w:type="dxa"/>
            <w:tcBorders>
              <w:top w:val="nil"/>
              <w:left w:val="nil"/>
              <w:bottom w:val="single" w:sz="4" w:space="0" w:color="auto"/>
              <w:right w:val="single" w:sz="4" w:space="0" w:color="auto"/>
            </w:tcBorders>
            <w:shd w:val="clear" w:color="000000" w:fill="D8E4BC"/>
            <w:noWrap/>
            <w:vAlign w:val="bottom"/>
            <w:hideMark/>
          </w:tcPr>
          <w:p w14:paraId="326CCD92" w14:textId="349343C2" w:rsidR="0022081A" w:rsidRPr="00E4705F" w:rsidRDefault="0022081A" w:rsidP="0022081A">
            <w:pPr>
              <w:spacing w:after="0" w:line="240" w:lineRule="auto"/>
              <w:jc w:val="right"/>
              <w:rPr>
                <w:rFonts w:eastAsia="Times New Roman" w:cstheme="minorHAnsi"/>
                <w:sz w:val="16"/>
                <w:szCs w:val="16"/>
                <w:lang w:val="nl-NL" w:eastAsia="nl-NL"/>
              </w:rPr>
            </w:pPr>
            <w:r w:rsidRPr="00E4705F">
              <w:rPr>
                <w:rFonts w:cstheme="minorHAnsi"/>
                <w:sz w:val="16"/>
                <w:szCs w:val="16"/>
              </w:rPr>
              <w:t>1.5%</w:t>
            </w:r>
          </w:p>
        </w:tc>
      </w:tr>
      <w:tr w:rsidR="0022081A" w:rsidRPr="005E7FB2" w14:paraId="632BDF7D" w14:textId="77777777" w:rsidTr="005E7FB2">
        <w:trPr>
          <w:trHeight w:val="262"/>
        </w:trPr>
        <w:tc>
          <w:tcPr>
            <w:tcW w:w="1413" w:type="dxa"/>
            <w:tcBorders>
              <w:top w:val="nil"/>
              <w:left w:val="single" w:sz="4" w:space="0" w:color="auto"/>
              <w:bottom w:val="single" w:sz="4" w:space="0" w:color="auto"/>
              <w:right w:val="nil"/>
            </w:tcBorders>
            <w:shd w:val="clear" w:color="auto" w:fill="auto"/>
            <w:noWrap/>
            <w:vAlign w:val="bottom"/>
            <w:hideMark/>
          </w:tcPr>
          <w:p w14:paraId="77B603E1" w14:textId="2EDCD2D3" w:rsidR="0022081A" w:rsidRPr="0022081A" w:rsidRDefault="0022081A" w:rsidP="0022081A">
            <w:pPr>
              <w:spacing w:after="0" w:line="240" w:lineRule="auto"/>
              <w:rPr>
                <w:rFonts w:eastAsia="Times New Roman" w:cstheme="minorHAnsi"/>
                <w:sz w:val="16"/>
                <w:szCs w:val="16"/>
                <w:lang w:val="nl-NL" w:eastAsia="nl-NL"/>
              </w:rPr>
            </w:pPr>
            <w:r w:rsidRPr="0022081A">
              <w:rPr>
                <w:rFonts w:cstheme="minorHAnsi"/>
                <w:sz w:val="16"/>
                <w:szCs w:val="16"/>
              </w:rPr>
              <w:t>2023</w:t>
            </w:r>
          </w:p>
        </w:tc>
        <w:tc>
          <w:tcPr>
            <w:tcW w:w="680" w:type="dxa"/>
            <w:tcBorders>
              <w:top w:val="nil"/>
              <w:left w:val="single" w:sz="4" w:space="0" w:color="auto"/>
              <w:bottom w:val="single" w:sz="4" w:space="0" w:color="auto"/>
              <w:right w:val="single" w:sz="4" w:space="0" w:color="auto"/>
            </w:tcBorders>
            <w:shd w:val="clear" w:color="000000" w:fill="D8E4BC"/>
            <w:noWrap/>
            <w:vAlign w:val="bottom"/>
            <w:hideMark/>
          </w:tcPr>
          <w:p w14:paraId="1CBFC50D" w14:textId="120F89A4"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2.5%</w:t>
            </w:r>
          </w:p>
        </w:tc>
        <w:tc>
          <w:tcPr>
            <w:tcW w:w="680" w:type="dxa"/>
            <w:tcBorders>
              <w:top w:val="nil"/>
              <w:left w:val="nil"/>
              <w:bottom w:val="single" w:sz="4" w:space="0" w:color="auto"/>
              <w:right w:val="single" w:sz="4" w:space="0" w:color="auto"/>
            </w:tcBorders>
            <w:shd w:val="clear" w:color="000000" w:fill="DA9694"/>
            <w:noWrap/>
            <w:vAlign w:val="bottom"/>
            <w:hideMark/>
          </w:tcPr>
          <w:p w14:paraId="03F7565F" w14:textId="5FD12BDB"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-4.1%</w:t>
            </w:r>
          </w:p>
        </w:tc>
        <w:tc>
          <w:tcPr>
            <w:tcW w:w="680" w:type="dxa"/>
            <w:tcBorders>
              <w:top w:val="nil"/>
              <w:left w:val="nil"/>
              <w:bottom w:val="single" w:sz="4" w:space="0" w:color="auto"/>
              <w:right w:val="single" w:sz="4" w:space="0" w:color="auto"/>
            </w:tcBorders>
            <w:shd w:val="clear" w:color="000000" w:fill="E6B8B7"/>
            <w:noWrap/>
            <w:vAlign w:val="bottom"/>
            <w:hideMark/>
          </w:tcPr>
          <w:p w14:paraId="42B93B66" w14:textId="02C951CB"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-1.9%</w:t>
            </w:r>
          </w:p>
        </w:tc>
        <w:tc>
          <w:tcPr>
            <w:tcW w:w="680" w:type="dxa"/>
            <w:tcBorders>
              <w:top w:val="nil"/>
              <w:left w:val="nil"/>
              <w:bottom w:val="single" w:sz="4" w:space="0" w:color="auto"/>
              <w:right w:val="single" w:sz="4" w:space="0" w:color="auto"/>
            </w:tcBorders>
            <w:shd w:val="clear" w:color="000000" w:fill="E6B8B7"/>
            <w:noWrap/>
            <w:vAlign w:val="bottom"/>
            <w:hideMark/>
          </w:tcPr>
          <w:p w14:paraId="57289D6E" w14:textId="221A22A8"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-1.1%</w:t>
            </w:r>
          </w:p>
        </w:tc>
        <w:tc>
          <w:tcPr>
            <w:tcW w:w="680" w:type="dxa"/>
            <w:tcBorders>
              <w:top w:val="nil"/>
              <w:left w:val="nil"/>
              <w:bottom w:val="single" w:sz="4" w:space="0" w:color="auto"/>
              <w:right w:val="single" w:sz="4" w:space="0" w:color="auto"/>
            </w:tcBorders>
            <w:shd w:val="clear" w:color="000000" w:fill="E6B8B7"/>
            <w:noWrap/>
            <w:vAlign w:val="bottom"/>
            <w:hideMark/>
          </w:tcPr>
          <w:p w14:paraId="4C2C7BF2" w14:textId="09DD6475"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-2.0%</w:t>
            </w:r>
          </w:p>
        </w:tc>
        <w:tc>
          <w:tcPr>
            <w:tcW w:w="680" w:type="dxa"/>
            <w:tcBorders>
              <w:top w:val="nil"/>
              <w:left w:val="nil"/>
              <w:bottom w:val="single" w:sz="4" w:space="0" w:color="auto"/>
              <w:right w:val="single" w:sz="4" w:space="0" w:color="auto"/>
            </w:tcBorders>
            <w:shd w:val="clear" w:color="000000" w:fill="DA9694"/>
            <w:noWrap/>
            <w:vAlign w:val="bottom"/>
            <w:hideMark/>
          </w:tcPr>
          <w:p w14:paraId="619BDDD6" w14:textId="3E892E03"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-4.2%</w:t>
            </w:r>
          </w:p>
        </w:tc>
        <w:tc>
          <w:tcPr>
            <w:tcW w:w="680" w:type="dxa"/>
            <w:tcBorders>
              <w:top w:val="nil"/>
              <w:left w:val="nil"/>
              <w:bottom w:val="single" w:sz="4" w:space="0" w:color="auto"/>
              <w:right w:val="single" w:sz="4" w:space="0" w:color="auto"/>
            </w:tcBorders>
            <w:shd w:val="clear" w:color="000000" w:fill="DA9694"/>
            <w:noWrap/>
            <w:vAlign w:val="bottom"/>
            <w:hideMark/>
          </w:tcPr>
          <w:p w14:paraId="339A3C4D" w14:textId="1B76B072"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-4.0%</w:t>
            </w:r>
          </w:p>
        </w:tc>
        <w:tc>
          <w:tcPr>
            <w:tcW w:w="680" w:type="dxa"/>
            <w:tcBorders>
              <w:top w:val="nil"/>
              <w:left w:val="nil"/>
              <w:bottom w:val="single" w:sz="4" w:space="0" w:color="auto"/>
              <w:right w:val="single" w:sz="4" w:space="0" w:color="auto"/>
            </w:tcBorders>
            <w:shd w:val="clear" w:color="000000" w:fill="E6B8B7"/>
            <w:noWrap/>
            <w:vAlign w:val="bottom"/>
            <w:hideMark/>
          </w:tcPr>
          <w:p w14:paraId="3F081C7B" w14:textId="6252032B"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-1.8%</w:t>
            </w:r>
          </w:p>
        </w:tc>
        <w:tc>
          <w:tcPr>
            <w:tcW w:w="680" w:type="dxa"/>
            <w:tcBorders>
              <w:top w:val="nil"/>
              <w:left w:val="nil"/>
              <w:bottom w:val="single" w:sz="4" w:space="0" w:color="auto"/>
              <w:right w:val="single" w:sz="4" w:space="0" w:color="auto"/>
            </w:tcBorders>
            <w:shd w:val="clear" w:color="000000" w:fill="EBF1DE"/>
            <w:noWrap/>
            <w:vAlign w:val="bottom"/>
            <w:hideMark/>
          </w:tcPr>
          <w:p w14:paraId="3539719A" w14:textId="4D47F339"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0.8%</w:t>
            </w:r>
          </w:p>
        </w:tc>
        <w:tc>
          <w:tcPr>
            <w:tcW w:w="680" w:type="dxa"/>
            <w:tcBorders>
              <w:top w:val="nil"/>
              <w:left w:val="nil"/>
              <w:bottom w:val="single" w:sz="4" w:space="0" w:color="auto"/>
              <w:right w:val="single" w:sz="4" w:space="0" w:color="auto"/>
            </w:tcBorders>
            <w:shd w:val="clear" w:color="000000" w:fill="D8E4BC"/>
            <w:noWrap/>
            <w:vAlign w:val="bottom"/>
            <w:hideMark/>
          </w:tcPr>
          <w:p w14:paraId="77C7EF64" w14:textId="3992554A"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1.9%</w:t>
            </w:r>
          </w:p>
        </w:tc>
        <w:tc>
          <w:tcPr>
            <w:tcW w:w="680" w:type="dxa"/>
            <w:tcBorders>
              <w:top w:val="nil"/>
              <w:left w:val="nil"/>
              <w:bottom w:val="single" w:sz="4" w:space="0" w:color="auto"/>
              <w:right w:val="single" w:sz="4" w:space="0" w:color="auto"/>
            </w:tcBorders>
            <w:shd w:val="clear" w:color="000000" w:fill="D8E4BC"/>
            <w:noWrap/>
            <w:vAlign w:val="bottom"/>
            <w:hideMark/>
          </w:tcPr>
          <w:p w14:paraId="4C37D659" w14:textId="2551D836"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2.6%</w:t>
            </w:r>
          </w:p>
        </w:tc>
        <w:tc>
          <w:tcPr>
            <w:tcW w:w="680" w:type="dxa"/>
            <w:tcBorders>
              <w:top w:val="nil"/>
              <w:left w:val="nil"/>
              <w:bottom w:val="single" w:sz="4" w:space="0" w:color="auto"/>
              <w:right w:val="single" w:sz="4" w:space="0" w:color="auto"/>
            </w:tcBorders>
            <w:shd w:val="clear" w:color="000000" w:fill="C4D79B"/>
            <w:noWrap/>
            <w:vAlign w:val="bottom"/>
            <w:hideMark/>
          </w:tcPr>
          <w:p w14:paraId="1526FA76" w14:textId="6E548985" w:rsidR="0022081A" w:rsidRPr="00E4705F" w:rsidRDefault="0022081A" w:rsidP="0022081A">
            <w:pPr>
              <w:spacing w:after="0" w:line="240" w:lineRule="auto"/>
              <w:jc w:val="right"/>
              <w:rPr>
                <w:rFonts w:eastAsia="Times New Roman" w:cstheme="minorHAnsi"/>
                <w:sz w:val="16"/>
                <w:szCs w:val="16"/>
                <w:lang w:val="nl-NL" w:eastAsia="nl-NL"/>
              </w:rPr>
            </w:pPr>
            <w:r w:rsidRPr="00E4705F">
              <w:rPr>
                <w:rFonts w:cstheme="minorHAnsi"/>
                <w:sz w:val="16"/>
                <w:szCs w:val="16"/>
              </w:rPr>
              <w:t>9.1%</w:t>
            </w:r>
          </w:p>
        </w:tc>
        <w:tc>
          <w:tcPr>
            <w:tcW w:w="680" w:type="dxa"/>
            <w:tcBorders>
              <w:top w:val="nil"/>
              <w:left w:val="nil"/>
              <w:bottom w:val="single" w:sz="4" w:space="0" w:color="auto"/>
              <w:right w:val="single" w:sz="4" w:space="0" w:color="auto"/>
            </w:tcBorders>
            <w:shd w:val="clear" w:color="000000" w:fill="EBF1DE"/>
            <w:noWrap/>
            <w:vAlign w:val="bottom"/>
            <w:hideMark/>
          </w:tcPr>
          <w:p w14:paraId="13634A73" w14:textId="1788A2BE" w:rsidR="0022081A" w:rsidRPr="00E4705F" w:rsidRDefault="0022081A" w:rsidP="0022081A">
            <w:pPr>
              <w:spacing w:after="0" w:line="240" w:lineRule="auto"/>
              <w:jc w:val="right"/>
              <w:rPr>
                <w:rFonts w:eastAsia="Times New Roman" w:cstheme="minorHAnsi"/>
                <w:sz w:val="16"/>
                <w:szCs w:val="16"/>
                <w:lang w:val="nl-NL" w:eastAsia="nl-NL"/>
              </w:rPr>
            </w:pPr>
            <w:r w:rsidRPr="00E4705F">
              <w:rPr>
                <w:rFonts w:cstheme="minorHAnsi"/>
                <w:sz w:val="16"/>
                <w:szCs w:val="16"/>
              </w:rPr>
              <w:t>0.8%</w:t>
            </w:r>
          </w:p>
        </w:tc>
      </w:tr>
      <w:tr w:rsidR="00105C56" w:rsidRPr="005E7FB2" w14:paraId="02AC87C2" w14:textId="77777777" w:rsidTr="00E4705F">
        <w:trPr>
          <w:trHeight w:val="262"/>
        </w:trPr>
        <w:tc>
          <w:tcPr>
            <w:tcW w:w="1413" w:type="dxa"/>
            <w:tcBorders>
              <w:top w:val="single" w:sz="4" w:space="0" w:color="auto"/>
              <w:left w:val="single" w:sz="4" w:space="0" w:color="auto"/>
              <w:bottom w:val="single" w:sz="4" w:space="0" w:color="auto"/>
              <w:right w:val="nil"/>
            </w:tcBorders>
            <w:shd w:val="clear" w:color="auto" w:fill="auto"/>
            <w:noWrap/>
            <w:vAlign w:val="bottom"/>
            <w:hideMark/>
          </w:tcPr>
          <w:p w14:paraId="2529A3B7" w14:textId="4E6703B2" w:rsidR="00105C56" w:rsidRPr="0022081A" w:rsidRDefault="00105C56" w:rsidP="0022081A">
            <w:pPr>
              <w:spacing w:after="0" w:line="240" w:lineRule="auto"/>
              <w:rPr>
                <w:rFonts w:eastAsia="Times New Roman" w:cstheme="minorHAnsi"/>
                <w:sz w:val="16"/>
                <w:szCs w:val="16"/>
                <w:lang w:val="nl-NL" w:eastAsia="nl-NL"/>
              </w:rPr>
            </w:pPr>
            <w:r w:rsidRPr="0022081A">
              <w:rPr>
                <w:rFonts w:cstheme="minorHAnsi"/>
                <w:sz w:val="16"/>
                <w:szCs w:val="16"/>
              </w:rPr>
              <w:t>2024</w:t>
            </w:r>
          </w:p>
        </w:tc>
        <w:tc>
          <w:tcPr>
            <w:tcW w:w="680" w:type="dxa"/>
            <w:tcBorders>
              <w:top w:val="nil"/>
              <w:left w:val="single" w:sz="4" w:space="0" w:color="auto"/>
              <w:bottom w:val="single" w:sz="4" w:space="0" w:color="auto"/>
              <w:right w:val="single" w:sz="4" w:space="0" w:color="auto"/>
            </w:tcBorders>
            <w:shd w:val="clear" w:color="000000" w:fill="D8E4BC"/>
            <w:noWrap/>
            <w:vAlign w:val="bottom"/>
            <w:hideMark/>
          </w:tcPr>
          <w:p w14:paraId="497A6D22" w14:textId="31219C65" w:rsidR="00105C56" w:rsidRPr="0022081A" w:rsidRDefault="00105C56" w:rsidP="0022081A">
            <w:pPr>
              <w:spacing w:after="0" w:line="240" w:lineRule="auto"/>
              <w:jc w:val="right"/>
              <w:rPr>
                <w:rFonts w:eastAsia="Times New Roman" w:cstheme="minorHAnsi"/>
                <w:sz w:val="16"/>
                <w:szCs w:val="16"/>
                <w:lang w:val="nl-NL" w:eastAsia="nl-NL"/>
              </w:rPr>
            </w:pPr>
            <w:r w:rsidRPr="0022081A">
              <w:rPr>
                <w:rFonts w:cstheme="minorHAnsi"/>
                <w:sz w:val="16"/>
                <w:szCs w:val="16"/>
              </w:rPr>
              <w:t>1.0%</w:t>
            </w:r>
          </w:p>
        </w:tc>
        <w:tc>
          <w:tcPr>
            <w:tcW w:w="680" w:type="dxa"/>
            <w:tcBorders>
              <w:top w:val="nil"/>
              <w:left w:val="nil"/>
              <w:bottom w:val="single" w:sz="4" w:space="0" w:color="auto"/>
              <w:right w:val="single" w:sz="4" w:space="0" w:color="auto"/>
            </w:tcBorders>
            <w:shd w:val="clear" w:color="000000" w:fill="DA9694"/>
            <w:noWrap/>
            <w:vAlign w:val="bottom"/>
            <w:hideMark/>
          </w:tcPr>
          <w:p w14:paraId="78B9A064" w14:textId="63C77521" w:rsidR="00105C56" w:rsidRPr="0022081A" w:rsidRDefault="00105C56" w:rsidP="0022081A">
            <w:pPr>
              <w:spacing w:after="0" w:line="240" w:lineRule="auto"/>
              <w:jc w:val="right"/>
              <w:rPr>
                <w:rFonts w:eastAsia="Times New Roman" w:cstheme="minorHAnsi"/>
                <w:sz w:val="16"/>
                <w:szCs w:val="16"/>
                <w:lang w:val="nl-NL" w:eastAsia="nl-NL"/>
              </w:rPr>
            </w:pPr>
            <w:r w:rsidRPr="0022081A">
              <w:rPr>
                <w:rFonts w:cstheme="minorHAnsi"/>
                <w:sz w:val="16"/>
                <w:szCs w:val="16"/>
              </w:rPr>
              <w:t>-3.2%</w:t>
            </w:r>
          </w:p>
        </w:tc>
        <w:tc>
          <w:tcPr>
            <w:tcW w:w="680" w:type="dxa"/>
            <w:tcBorders>
              <w:top w:val="nil"/>
              <w:left w:val="nil"/>
              <w:bottom w:val="single" w:sz="4" w:space="0" w:color="auto"/>
              <w:right w:val="single" w:sz="4" w:space="0" w:color="auto"/>
            </w:tcBorders>
            <w:shd w:val="clear" w:color="000000" w:fill="E6B8B7"/>
            <w:noWrap/>
            <w:vAlign w:val="bottom"/>
            <w:hideMark/>
          </w:tcPr>
          <w:p w14:paraId="044B23E1" w14:textId="79062F95" w:rsidR="00105C56" w:rsidRPr="0022081A" w:rsidRDefault="00105C56" w:rsidP="0022081A">
            <w:pPr>
              <w:spacing w:after="0" w:line="240" w:lineRule="auto"/>
              <w:jc w:val="right"/>
              <w:rPr>
                <w:rFonts w:eastAsia="Times New Roman" w:cstheme="minorHAnsi"/>
                <w:sz w:val="16"/>
                <w:szCs w:val="16"/>
                <w:lang w:val="nl-NL" w:eastAsia="nl-NL"/>
              </w:rPr>
            </w:pPr>
            <w:r w:rsidRPr="0022081A">
              <w:rPr>
                <w:rFonts w:cstheme="minorHAnsi"/>
                <w:sz w:val="16"/>
                <w:szCs w:val="16"/>
              </w:rPr>
              <w:t>-1.9%</w:t>
            </w:r>
          </w:p>
        </w:tc>
        <w:tc>
          <w:tcPr>
            <w:tcW w:w="680" w:type="dxa"/>
            <w:tcBorders>
              <w:top w:val="nil"/>
              <w:left w:val="nil"/>
              <w:bottom w:val="single" w:sz="4" w:space="0" w:color="auto"/>
              <w:right w:val="single" w:sz="4" w:space="0" w:color="auto"/>
            </w:tcBorders>
            <w:shd w:val="clear" w:color="000000" w:fill="E6B8B7"/>
            <w:noWrap/>
            <w:vAlign w:val="bottom"/>
            <w:hideMark/>
          </w:tcPr>
          <w:p w14:paraId="51AC127A" w14:textId="5996A06C" w:rsidR="00105C56" w:rsidRPr="0022081A" w:rsidRDefault="00105C56" w:rsidP="0022081A">
            <w:pPr>
              <w:spacing w:after="0" w:line="240" w:lineRule="auto"/>
              <w:jc w:val="right"/>
              <w:rPr>
                <w:rFonts w:eastAsia="Times New Roman" w:cstheme="minorHAnsi"/>
                <w:sz w:val="16"/>
                <w:szCs w:val="16"/>
                <w:lang w:val="nl-NL" w:eastAsia="nl-NL"/>
              </w:rPr>
            </w:pPr>
            <w:r w:rsidRPr="0022081A">
              <w:rPr>
                <w:rFonts w:cstheme="minorHAnsi"/>
                <w:sz w:val="16"/>
                <w:szCs w:val="16"/>
              </w:rPr>
              <w:t>-0.7%</w:t>
            </w:r>
          </w:p>
        </w:tc>
        <w:tc>
          <w:tcPr>
            <w:tcW w:w="680" w:type="dxa"/>
            <w:tcBorders>
              <w:top w:val="nil"/>
              <w:left w:val="nil"/>
              <w:bottom w:val="single" w:sz="4" w:space="0" w:color="auto"/>
              <w:right w:val="single" w:sz="4" w:space="0" w:color="auto"/>
            </w:tcBorders>
            <w:shd w:val="clear" w:color="000000" w:fill="DA9694"/>
            <w:noWrap/>
            <w:vAlign w:val="bottom"/>
            <w:hideMark/>
          </w:tcPr>
          <w:p w14:paraId="514DC4CF" w14:textId="319FF531" w:rsidR="00105C56" w:rsidRPr="0022081A" w:rsidRDefault="00105C56" w:rsidP="0022081A">
            <w:pPr>
              <w:spacing w:after="0" w:line="240" w:lineRule="auto"/>
              <w:jc w:val="right"/>
              <w:rPr>
                <w:rFonts w:eastAsia="Times New Roman" w:cstheme="minorHAnsi"/>
                <w:sz w:val="16"/>
                <w:szCs w:val="16"/>
                <w:lang w:val="nl-NL" w:eastAsia="nl-NL"/>
              </w:rPr>
            </w:pPr>
            <w:r w:rsidRPr="0022081A">
              <w:rPr>
                <w:rFonts w:cstheme="minorHAnsi"/>
                <w:sz w:val="16"/>
                <w:szCs w:val="16"/>
              </w:rPr>
              <w:t>-4.0%</w:t>
            </w:r>
          </w:p>
        </w:tc>
        <w:tc>
          <w:tcPr>
            <w:tcW w:w="680" w:type="dxa"/>
            <w:tcBorders>
              <w:top w:val="nil"/>
              <w:left w:val="nil"/>
              <w:bottom w:val="single" w:sz="4" w:space="0" w:color="auto"/>
              <w:right w:val="single" w:sz="4" w:space="0" w:color="auto"/>
            </w:tcBorders>
            <w:shd w:val="clear" w:color="000000" w:fill="DA9694"/>
            <w:noWrap/>
            <w:vAlign w:val="bottom"/>
            <w:hideMark/>
          </w:tcPr>
          <w:p w14:paraId="2F842805" w14:textId="4AA6E157" w:rsidR="00105C56" w:rsidRPr="0022081A" w:rsidRDefault="00105C56" w:rsidP="0022081A">
            <w:pPr>
              <w:spacing w:after="0" w:line="240" w:lineRule="auto"/>
              <w:jc w:val="right"/>
              <w:rPr>
                <w:rFonts w:eastAsia="Times New Roman" w:cstheme="minorHAnsi"/>
                <w:sz w:val="16"/>
                <w:szCs w:val="16"/>
                <w:lang w:val="nl-NL" w:eastAsia="nl-NL"/>
              </w:rPr>
            </w:pPr>
            <w:r w:rsidRPr="0022081A">
              <w:rPr>
                <w:rFonts w:cstheme="minorHAnsi"/>
                <w:sz w:val="16"/>
                <w:szCs w:val="16"/>
              </w:rPr>
              <w:t>-3.6%</w:t>
            </w:r>
          </w:p>
        </w:tc>
        <w:tc>
          <w:tcPr>
            <w:tcW w:w="680" w:type="dxa"/>
            <w:tcBorders>
              <w:top w:val="nil"/>
              <w:left w:val="nil"/>
              <w:bottom w:val="single" w:sz="4" w:space="0" w:color="auto"/>
              <w:right w:val="single" w:sz="4" w:space="0" w:color="auto"/>
            </w:tcBorders>
            <w:shd w:val="clear" w:color="000000" w:fill="DA9694"/>
            <w:noWrap/>
            <w:vAlign w:val="bottom"/>
            <w:hideMark/>
          </w:tcPr>
          <w:p w14:paraId="7C001417" w14:textId="79753CF0" w:rsidR="00105C56" w:rsidRPr="0022081A" w:rsidRDefault="00105C56" w:rsidP="0022081A">
            <w:pPr>
              <w:spacing w:after="0" w:line="240" w:lineRule="auto"/>
              <w:jc w:val="right"/>
              <w:rPr>
                <w:rFonts w:eastAsia="Times New Roman" w:cstheme="minorHAnsi"/>
                <w:sz w:val="16"/>
                <w:szCs w:val="16"/>
                <w:lang w:val="nl-NL" w:eastAsia="nl-NL"/>
              </w:rPr>
            </w:pPr>
            <w:r w:rsidRPr="0022081A">
              <w:rPr>
                <w:rFonts w:cstheme="minorHAnsi"/>
                <w:sz w:val="16"/>
                <w:szCs w:val="16"/>
              </w:rPr>
              <w:t>-4.1%</w:t>
            </w:r>
          </w:p>
        </w:tc>
        <w:tc>
          <w:tcPr>
            <w:tcW w:w="680" w:type="dxa"/>
            <w:tcBorders>
              <w:top w:val="nil"/>
              <w:left w:val="nil"/>
              <w:bottom w:val="single" w:sz="4" w:space="0" w:color="auto"/>
              <w:right w:val="single" w:sz="4" w:space="0" w:color="auto"/>
            </w:tcBorders>
            <w:shd w:val="clear" w:color="auto" w:fill="F2DCDB"/>
            <w:noWrap/>
            <w:vAlign w:val="bottom"/>
            <w:hideMark/>
          </w:tcPr>
          <w:p w14:paraId="375723A5" w14:textId="574D8BED" w:rsidR="00105C56" w:rsidRPr="00105C56" w:rsidRDefault="00105C56" w:rsidP="00105C56">
            <w:pPr>
              <w:spacing w:after="0" w:line="240" w:lineRule="auto"/>
              <w:jc w:val="right"/>
              <w:rPr>
                <w:rFonts w:eastAsia="Times New Roman" w:cstheme="minorHAnsi"/>
                <w:sz w:val="16"/>
                <w:szCs w:val="16"/>
                <w:lang w:eastAsia="nl-NL"/>
              </w:rPr>
            </w:pPr>
            <w:r w:rsidRPr="00105C56">
              <w:rPr>
                <w:rFonts w:eastAsia="Times New Roman" w:cstheme="minorHAnsi"/>
                <w:sz w:val="16"/>
                <w:szCs w:val="16"/>
                <w:lang w:eastAsia="nl-NL"/>
              </w:rPr>
              <w:t>-0,6%</w:t>
            </w:r>
          </w:p>
        </w:tc>
        <w:tc>
          <w:tcPr>
            <w:tcW w:w="680" w:type="dxa"/>
            <w:tcBorders>
              <w:top w:val="nil"/>
              <w:left w:val="single" w:sz="4" w:space="0" w:color="auto"/>
              <w:bottom w:val="single" w:sz="4" w:space="0" w:color="auto"/>
              <w:right w:val="single" w:sz="4" w:space="0" w:color="auto"/>
            </w:tcBorders>
            <w:shd w:val="clear" w:color="auto" w:fill="C4D79B"/>
            <w:vAlign w:val="bottom"/>
          </w:tcPr>
          <w:p w14:paraId="63A52816" w14:textId="7A64AA39" w:rsidR="00105C56" w:rsidRPr="0022081A" w:rsidRDefault="00E4705F" w:rsidP="00E4705F">
            <w:pPr>
              <w:spacing w:after="0" w:line="240" w:lineRule="auto"/>
              <w:jc w:val="right"/>
              <w:rPr>
                <w:rFonts w:eastAsia="Times New Roman" w:cstheme="minorHAnsi"/>
                <w:sz w:val="16"/>
                <w:szCs w:val="16"/>
                <w:lang w:val="nl-NL" w:eastAsia="nl-NL"/>
              </w:rPr>
            </w:pPr>
            <w:r>
              <w:rPr>
                <w:rFonts w:eastAsia="Times New Roman" w:cstheme="minorHAnsi"/>
                <w:sz w:val="16"/>
                <w:szCs w:val="16"/>
                <w:lang w:val="nl-NL" w:eastAsia="nl-NL"/>
              </w:rPr>
              <w:t>2.9%</w:t>
            </w:r>
          </w:p>
        </w:tc>
        <w:tc>
          <w:tcPr>
            <w:tcW w:w="680" w:type="dxa"/>
            <w:tcBorders>
              <w:top w:val="nil"/>
              <w:left w:val="single" w:sz="4" w:space="0" w:color="auto"/>
              <w:bottom w:val="nil"/>
              <w:right w:val="nil"/>
            </w:tcBorders>
            <w:shd w:val="clear" w:color="auto" w:fill="auto"/>
            <w:noWrap/>
            <w:vAlign w:val="bottom"/>
            <w:hideMark/>
          </w:tcPr>
          <w:p w14:paraId="24FF4F0E" w14:textId="6DBC1601" w:rsidR="00105C56" w:rsidRPr="0022081A" w:rsidRDefault="00105C56" w:rsidP="0022081A">
            <w:pPr>
              <w:spacing w:after="0" w:line="240" w:lineRule="auto"/>
              <w:rPr>
                <w:rFonts w:eastAsia="Times New Roman" w:cstheme="minorHAnsi"/>
                <w:sz w:val="16"/>
                <w:szCs w:val="16"/>
                <w:lang w:val="nl-NL" w:eastAsia="nl-NL"/>
              </w:rPr>
            </w:pPr>
          </w:p>
        </w:tc>
        <w:tc>
          <w:tcPr>
            <w:tcW w:w="680" w:type="dxa"/>
            <w:tcBorders>
              <w:top w:val="nil"/>
              <w:left w:val="nil"/>
              <w:bottom w:val="nil"/>
              <w:right w:val="nil"/>
            </w:tcBorders>
            <w:shd w:val="clear" w:color="auto" w:fill="auto"/>
            <w:noWrap/>
            <w:vAlign w:val="bottom"/>
            <w:hideMark/>
          </w:tcPr>
          <w:p w14:paraId="718884F4" w14:textId="77777777" w:rsidR="00105C56" w:rsidRPr="0022081A" w:rsidRDefault="00105C56" w:rsidP="0022081A">
            <w:pPr>
              <w:spacing w:after="0" w:line="240" w:lineRule="auto"/>
              <w:rPr>
                <w:rFonts w:eastAsia="Times New Roman" w:cstheme="minorHAnsi"/>
                <w:sz w:val="16"/>
                <w:szCs w:val="16"/>
                <w:lang w:val="nl-NL" w:eastAsia="nl-NL"/>
              </w:rPr>
            </w:pPr>
          </w:p>
        </w:tc>
        <w:tc>
          <w:tcPr>
            <w:tcW w:w="680" w:type="dxa"/>
            <w:tcBorders>
              <w:top w:val="nil"/>
              <w:left w:val="nil"/>
              <w:bottom w:val="nil"/>
              <w:right w:val="nil"/>
            </w:tcBorders>
            <w:shd w:val="clear" w:color="auto" w:fill="auto"/>
            <w:noWrap/>
            <w:vAlign w:val="bottom"/>
            <w:hideMark/>
          </w:tcPr>
          <w:p w14:paraId="1D617FAD" w14:textId="77777777" w:rsidR="00105C56" w:rsidRPr="0022081A" w:rsidRDefault="00105C56" w:rsidP="0022081A">
            <w:pPr>
              <w:spacing w:after="0" w:line="240" w:lineRule="auto"/>
              <w:rPr>
                <w:rFonts w:eastAsia="Times New Roman" w:cstheme="minorHAnsi"/>
                <w:sz w:val="16"/>
                <w:szCs w:val="16"/>
                <w:lang w:val="nl-NL" w:eastAsia="nl-NL"/>
              </w:rPr>
            </w:pPr>
          </w:p>
        </w:tc>
        <w:tc>
          <w:tcPr>
            <w:tcW w:w="680" w:type="dxa"/>
            <w:tcBorders>
              <w:top w:val="nil"/>
              <w:left w:val="nil"/>
              <w:bottom w:val="nil"/>
              <w:right w:val="nil"/>
            </w:tcBorders>
            <w:shd w:val="clear" w:color="auto" w:fill="auto"/>
            <w:noWrap/>
            <w:vAlign w:val="bottom"/>
            <w:hideMark/>
          </w:tcPr>
          <w:p w14:paraId="406BCD37" w14:textId="77777777" w:rsidR="00105C56" w:rsidRPr="005E7FB2" w:rsidRDefault="00105C56" w:rsidP="0022081A">
            <w:pPr>
              <w:spacing w:after="0" w:line="240" w:lineRule="auto"/>
              <w:rPr>
                <w:rFonts w:ascii="Times New Roman" w:eastAsia="Times New Roman" w:hAnsi="Times New Roman" w:cs="Times New Roman"/>
                <w:sz w:val="20"/>
                <w:szCs w:val="20"/>
                <w:lang w:val="nl-NL" w:eastAsia="nl-NL"/>
              </w:rPr>
            </w:pPr>
          </w:p>
        </w:tc>
      </w:tr>
    </w:tbl>
    <w:p w14:paraId="0A7B459F" w14:textId="77777777" w:rsidR="0022081A" w:rsidRPr="00E72D31" w:rsidRDefault="0022081A" w:rsidP="000E0D6B">
      <w:pPr>
        <w:pStyle w:val="NoSpacing"/>
        <w:rPr>
          <w:color w:val="7F7F7F" w:themeColor="text1" w:themeTint="80"/>
          <w:sz w:val="6"/>
          <w:szCs w:val="6"/>
        </w:rPr>
      </w:pPr>
    </w:p>
    <w:p w14:paraId="6771805F" w14:textId="5F384E3C" w:rsidR="005E7FB2" w:rsidRPr="000E0D6B" w:rsidRDefault="005E7FB2" w:rsidP="000E0D6B">
      <w:pPr>
        <w:pStyle w:val="NoSpacing"/>
      </w:pPr>
      <w:r w:rsidRPr="00555250">
        <w:rPr>
          <w:color w:val="7F7F7F" w:themeColor="text1" w:themeTint="80"/>
          <w:sz w:val="16"/>
          <w:szCs w:val="16"/>
        </w:rPr>
        <w:t xml:space="preserve">Source: </w:t>
      </w:r>
      <w:r>
        <w:rPr>
          <w:color w:val="7F7F7F" w:themeColor="text1" w:themeTint="80"/>
          <w:sz w:val="16"/>
          <w:szCs w:val="16"/>
        </w:rPr>
        <w:t>Circana</w:t>
      </w:r>
      <w:r w:rsidRPr="00555250">
        <w:rPr>
          <w:color w:val="7F7F7F" w:themeColor="text1" w:themeTint="80"/>
          <w:sz w:val="16"/>
          <w:szCs w:val="16"/>
        </w:rPr>
        <w:t xml:space="preserve">, Integrated Fresh, </w:t>
      </w:r>
      <w:r>
        <w:rPr>
          <w:color w:val="7F7F7F" w:themeColor="text1" w:themeTint="80"/>
          <w:sz w:val="16"/>
          <w:szCs w:val="16"/>
        </w:rPr>
        <w:t>MULO+</w:t>
      </w:r>
      <w:r w:rsidRPr="00555250">
        <w:rPr>
          <w:color w:val="7F7F7F" w:themeColor="text1" w:themeTint="80"/>
          <w:sz w:val="16"/>
          <w:szCs w:val="16"/>
        </w:rPr>
        <w:t xml:space="preserve">, </w:t>
      </w:r>
      <w:r>
        <w:rPr>
          <w:color w:val="7F7F7F" w:themeColor="text1" w:themeTint="80"/>
          <w:sz w:val="16"/>
          <w:szCs w:val="16"/>
        </w:rPr>
        <w:t>quad weeks 2017-2024</w:t>
      </w:r>
      <w:r>
        <w:br w:type="textWrapping" w:clear="all"/>
      </w:r>
    </w:p>
    <w:p w14:paraId="2A45DBD8" w14:textId="573B7B08" w:rsidR="00666D40" w:rsidRPr="00D3797F" w:rsidRDefault="00666D40" w:rsidP="00927EAC">
      <w:pPr>
        <w:pStyle w:val="Heading2"/>
        <w:rPr>
          <w:b/>
          <w:bCs/>
          <w:color w:val="800000"/>
        </w:rPr>
      </w:pPr>
      <w:r w:rsidRPr="00D3797F">
        <w:rPr>
          <w:b/>
          <w:bCs/>
          <w:color w:val="800000"/>
        </w:rPr>
        <w:t>Inflation</w:t>
      </w:r>
      <w:r w:rsidR="00D3797F">
        <w:rPr>
          <w:b/>
          <w:bCs/>
          <w:color w:val="800000"/>
        </w:rPr>
        <w:t xml:space="preserve"> and promotions</w:t>
      </w:r>
    </w:p>
    <w:p w14:paraId="4A3C02BB" w14:textId="22C6915F" w:rsidR="00666D40" w:rsidRDefault="00030ABF" w:rsidP="00472B02">
      <w:pPr>
        <w:pStyle w:val="NoSpacing"/>
      </w:pPr>
      <w:r>
        <w:t>M</w:t>
      </w:r>
      <w:r w:rsidR="000E2A1D">
        <w:t xml:space="preserve">ushroom prices </w:t>
      </w:r>
      <w:r w:rsidR="00AD75ED">
        <w:t>in</w:t>
      </w:r>
      <w:r w:rsidR="00157136">
        <w:t>creased</w:t>
      </w:r>
      <w:r w:rsidR="00024D78">
        <w:t xml:space="preserve"> </w:t>
      </w:r>
      <w:r w:rsidR="00AD75ED">
        <w:t xml:space="preserve">slightly </w:t>
      </w:r>
      <w:r w:rsidR="00024D78">
        <w:t>over the</w:t>
      </w:r>
      <w:r w:rsidR="00AD75ED">
        <w:t xml:space="preserve"> past four weeks</w:t>
      </w:r>
      <w:r w:rsidR="00157136">
        <w:t>, both on a per unit and per pound basis</w:t>
      </w:r>
      <w:r w:rsidR="006A1766">
        <w:t xml:space="preserve">. </w:t>
      </w:r>
      <w:r w:rsidR="00024D78">
        <w:t xml:space="preserve">During the </w:t>
      </w:r>
      <w:r w:rsidR="00AD75ED">
        <w:t>full year,</w:t>
      </w:r>
      <w:r w:rsidR="00024D78">
        <w:t xml:space="preserve"> prices were mostly flat. </w:t>
      </w:r>
      <w:r w:rsidR="000E2A1D">
        <w:t xml:space="preserve"> </w:t>
      </w:r>
    </w:p>
    <w:p w14:paraId="484C35C9" w14:textId="2EB83AFC" w:rsidR="0094219B" w:rsidRPr="00E72D31" w:rsidRDefault="0094219B" w:rsidP="00472B02">
      <w:pPr>
        <w:pStyle w:val="NoSpacing"/>
        <w:rPr>
          <w:sz w:val="10"/>
          <w:szCs w:val="10"/>
        </w:rPr>
      </w:pPr>
    </w:p>
    <w:tbl>
      <w:tblPr>
        <w:tblStyle w:val="ListTable3-Accent3"/>
        <w:tblW w:w="10075" w:type="dxa"/>
        <w:tblLook w:val="04A0" w:firstRow="1" w:lastRow="0" w:firstColumn="1" w:lastColumn="0" w:noHBand="0" w:noVBand="1"/>
      </w:tblPr>
      <w:tblGrid>
        <w:gridCol w:w="2875"/>
        <w:gridCol w:w="304"/>
        <w:gridCol w:w="1146"/>
        <w:gridCol w:w="973"/>
        <w:gridCol w:w="909"/>
        <w:gridCol w:w="1776"/>
        <w:gridCol w:w="817"/>
        <w:gridCol w:w="1275"/>
      </w:tblGrid>
      <w:tr w:rsidR="00AD75ED" w:rsidRPr="00124CB7" w14:paraId="6E9D1AEF" w14:textId="162D7E86" w:rsidTr="00D3797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75" w:type="dxa"/>
            <w:shd w:val="clear" w:color="auto" w:fill="800000"/>
          </w:tcPr>
          <w:p w14:paraId="74759AF7" w14:textId="77777777" w:rsidR="00AD75ED" w:rsidRPr="00124CB7" w:rsidRDefault="00AD75ED" w:rsidP="00AD75ED">
            <w:pPr>
              <w:pStyle w:val="NoSpacing"/>
            </w:pPr>
            <w:r w:rsidRPr="00124CB7">
              <w:t>Fresh mushrooms</w:t>
            </w:r>
          </w:p>
        </w:tc>
        <w:tc>
          <w:tcPr>
            <w:tcW w:w="1450" w:type="dxa"/>
            <w:gridSpan w:val="2"/>
            <w:shd w:val="clear" w:color="auto" w:fill="800000"/>
          </w:tcPr>
          <w:p w14:paraId="5EC6EFF0" w14:textId="7932E83B" w:rsidR="00AD75ED" w:rsidRPr="00124CB7" w:rsidRDefault="00AD75ED" w:rsidP="00AD75ED">
            <w:pPr>
              <w:pStyle w:val="NoSpacing"/>
              <w:jc w:val="right"/>
              <w:cnfStyle w:val="100000000000" w:firstRow="1" w:lastRow="0" w:firstColumn="0" w:lastColumn="0" w:oddVBand="0" w:evenVBand="0" w:oddHBand="0" w:evenHBand="0" w:firstRowFirstColumn="0" w:firstRowLastColumn="0" w:lastRowFirstColumn="0" w:lastRowLastColumn="0"/>
            </w:pPr>
            <w:r>
              <w:t xml:space="preserve">4 w.e. </w:t>
            </w:r>
            <w:r w:rsidR="008B59F7">
              <w:t>9/8</w:t>
            </w:r>
            <w:r w:rsidR="00D15B2D">
              <w:t>/2024</w:t>
            </w:r>
          </w:p>
        </w:tc>
        <w:tc>
          <w:tcPr>
            <w:tcW w:w="973" w:type="dxa"/>
            <w:shd w:val="clear" w:color="auto" w:fill="800000"/>
          </w:tcPr>
          <w:p w14:paraId="10EFADEC" w14:textId="3B28B708" w:rsidR="00AD75ED" w:rsidRPr="00124CB7" w:rsidRDefault="00AD75ED" w:rsidP="00AD75ED">
            <w:pPr>
              <w:pStyle w:val="NoSpacing"/>
              <w:jc w:val="right"/>
              <w:cnfStyle w:val="100000000000" w:firstRow="1" w:lastRow="0" w:firstColumn="0" w:lastColumn="0" w:oddVBand="0" w:evenVBand="0" w:oddHBand="0" w:evenHBand="0" w:firstRowFirstColumn="0" w:firstRowLastColumn="0" w:lastRowFirstColumn="0" w:lastRowLastColumn="0"/>
            </w:pPr>
            <w:r w:rsidRPr="00124CB7">
              <w:t>Vs.</w:t>
            </w:r>
            <w:r>
              <w:br/>
            </w:r>
            <w:r w:rsidRPr="00124CB7">
              <w:t xml:space="preserve"> </w:t>
            </w:r>
            <w:r>
              <w:t>YA</w:t>
            </w:r>
          </w:p>
        </w:tc>
        <w:tc>
          <w:tcPr>
            <w:tcW w:w="909" w:type="dxa"/>
            <w:shd w:val="clear" w:color="auto" w:fill="800000"/>
          </w:tcPr>
          <w:p w14:paraId="55EFE125" w14:textId="24027876" w:rsidR="00AD75ED" w:rsidRPr="00124CB7" w:rsidRDefault="00AD75ED" w:rsidP="00AD75ED">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br/>
              <w:t>2YA</w:t>
            </w:r>
          </w:p>
        </w:tc>
        <w:tc>
          <w:tcPr>
            <w:tcW w:w="1776" w:type="dxa"/>
            <w:shd w:val="clear" w:color="auto" w:fill="800000"/>
          </w:tcPr>
          <w:p w14:paraId="6A5B944C" w14:textId="04B4CAB0" w:rsidR="00AD75ED" w:rsidRPr="00124CB7" w:rsidRDefault="00AD75ED" w:rsidP="00AD75ED">
            <w:pPr>
              <w:pStyle w:val="NoSpacing"/>
              <w:jc w:val="right"/>
              <w:cnfStyle w:val="100000000000" w:firstRow="1" w:lastRow="0" w:firstColumn="0" w:lastColumn="0" w:oddVBand="0" w:evenVBand="0" w:oddHBand="0" w:evenHBand="0" w:firstRowFirstColumn="0" w:firstRowLastColumn="0" w:lastRowFirstColumn="0" w:lastRowLastColumn="0"/>
            </w:pPr>
            <w:r>
              <w:t xml:space="preserve">Latest 52 w.e. </w:t>
            </w:r>
            <w:r w:rsidR="008B59F7">
              <w:t>9/8</w:t>
            </w:r>
            <w:r w:rsidR="00D15B2D">
              <w:t>/2024</w:t>
            </w:r>
          </w:p>
        </w:tc>
        <w:tc>
          <w:tcPr>
            <w:tcW w:w="817" w:type="dxa"/>
            <w:shd w:val="clear" w:color="auto" w:fill="800000"/>
          </w:tcPr>
          <w:p w14:paraId="56551B99" w14:textId="2A902884" w:rsidR="00AD75ED" w:rsidRPr="00124CB7" w:rsidRDefault="00AD75ED" w:rsidP="00AD75ED">
            <w:pPr>
              <w:pStyle w:val="NoSpacing"/>
              <w:jc w:val="right"/>
              <w:cnfStyle w:val="100000000000" w:firstRow="1" w:lastRow="0" w:firstColumn="0" w:lastColumn="0" w:oddVBand="0" w:evenVBand="0" w:oddHBand="0" w:evenHBand="0" w:firstRowFirstColumn="0" w:firstRowLastColumn="0" w:lastRowFirstColumn="0" w:lastRowLastColumn="0"/>
            </w:pPr>
            <w:r w:rsidRPr="00124CB7">
              <w:t>Vs.</w:t>
            </w:r>
            <w:r>
              <w:br/>
            </w:r>
            <w:r w:rsidRPr="00124CB7">
              <w:t xml:space="preserve"> </w:t>
            </w:r>
            <w:r>
              <w:t>YA</w:t>
            </w:r>
          </w:p>
        </w:tc>
        <w:tc>
          <w:tcPr>
            <w:tcW w:w="1275" w:type="dxa"/>
            <w:shd w:val="clear" w:color="auto" w:fill="800000"/>
          </w:tcPr>
          <w:p w14:paraId="1A109D51" w14:textId="7DD14BDB" w:rsidR="00AD75ED" w:rsidRPr="00124CB7" w:rsidRDefault="00AD75ED" w:rsidP="00AD75ED">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br/>
              <w:t>2YA</w:t>
            </w:r>
          </w:p>
        </w:tc>
      </w:tr>
      <w:tr w:rsidR="008B59F7" w14:paraId="2B35BE12" w14:textId="0A6FF303" w:rsidTr="00D379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9" w:type="dxa"/>
            <w:gridSpan w:val="2"/>
          </w:tcPr>
          <w:p w14:paraId="5B4CB702" w14:textId="77777777" w:rsidR="008B59F7" w:rsidRPr="00124CB7" w:rsidRDefault="008B59F7" w:rsidP="008B59F7">
            <w:pPr>
              <w:pStyle w:val="NoSpacing"/>
              <w:rPr>
                <w:b w:val="0"/>
                <w:bCs w:val="0"/>
              </w:rPr>
            </w:pPr>
            <w:r>
              <w:rPr>
                <w:b w:val="0"/>
                <w:bCs w:val="0"/>
              </w:rPr>
              <w:t>Price/unit</w:t>
            </w:r>
          </w:p>
        </w:tc>
        <w:tc>
          <w:tcPr>
            <w:tcW w:w="1146" w:type="dxa"/>
          </w:tcPr>
          <w:p w14:paraId="2915A28B" w14:textId="0F810183" w:rsidR="008B59F7" w:rsidRDefault="008B59F7" w:rsidP="008B59F7">
            <w:pPr>
              <w:pStyle w:val="NoSpacing"/>
              <w:jc w:val="right"/>
              <w:cnfStyle w:val="000000100000" w:firstRow="0" w:lastRow="0" w:firstColumn="0" w:lastColumn="0" w:oddVBand="0" w:evenVBand="0" w:oddHBand="1" w:evenHBand="0" w:firstRowFirstColumn="0" w:firstRowLastColumn="0" w:lastRowFirstColumn="0" w:lastRowLastColumn="0"/>
            </w:pPr>
            <w:r>
              <w:t>$</w:t>
            </w:r>
            <w:r w:rsidR="00A62213">
              <w:t>3.02</w:t>
            </w:r>
          </w:p>
        </w:tc>
        <w:tc>
          <w:tcPr>
            <w:tcW w:w="973" w:type="dxa"/>
          </w:tcPr>
          <w:p w14:paraId="3E0967AB" w14:textId="5FEA876B" w:rsidR="008B59F7" w:rsidRDefault="008B59F7" w:rsidP="008B59F7">
            <w:pPr>
              <w:pStyle w:val="NoSpacing"/>
              <w:jc w:val="right"/>
              <w:cnfStyle w:val="000000100000" w:firstRow="0" w:lastRow="0" w:firstColumn="0" w:lastColumn="0" w:oddVBand="0" w:evenVBand="0" w:oddHBand="1" w:evenHBand="0" w:firstRowFirstColumn="0" w:firstRowLastColumn="0" w:lastRowFirstColumn="0" w:lastRowLastColumn="0"/>
            </w:pPr>
            <w:r w:rsidRPr="007E7D43">
              <w:t>+</w:t>
            </w:r>
            <w:r w:rsidR="00A62213">
              <w:t>1.3</w:t>
            </w:r>
            <w:r w:rsidRPr="007E7D43">
              <w:t>%</w:t>
            </w:r>
          </w:p>
        </w:tc>
        <w:tc>
          <w:tcPr>
            <w:tcW w:w="909" w:type="dxa"/>
          </w:tcPr>
          <w:p w14:paraId="09DAD54E" w14:textId="304D9BFF" w:rsidR="008B59F7" w:rsidRDefault="008B59F7" w:rsidP="008B59F7">
            <w:pPr>
              <w:pStyle w:val="NoSpacing"/>
              <w:jc w:val="right"/>
              <w:cnfStyle w:val="000000100000" w:firstRow="0" w:lastRow="0" w:firstColumn="0" w:lastColumn="0" w:oddVBand="0" w:evenVBand="0" w:oddHBand="1" w:evenHBand="0" w:firstRowFirstColumn="0" w:firstRowLastColumn="0" w:lastRowFirstColumn="0" w:lastRowLastColumn="0"/>
            </w:pPr>
            <w:r w:rsidRPr="007E7D43">
              <w:t>+</w:t>
            </w:r>
            <w:r w:rsidR="00A62213">
              <w:t>1.5</w:t>
            </w:r>
            <w:r w:rsidRPr="007E7D43">
              <w:t>%</w:t>
            </w:r>
          </w:p>
        </w:tc>
        <w:tc>
          <w:tcPr>
            <w:tcW w:w="1776" w:type="dxa"/>
          </w:tcPr>
          <w:p w14:paraId="03CA719E" w14:textId="57685937" w:rsidR="008B59F7" w:rsidRDefault="008B59F7" w:rsidP="008B59F7">
            <w:pPr>
              <w:pStyle w:val="NoSpacing"/>
              <w:jc w:val="right"/>
              <w:cnfStyle w:val="000000100000" w:firstRow="0" w:lastRow="0" w:firstColumn="0" w:lastColumn="0" w:oddVBand="0" w:evenVBand="0" w:oddHBand="1" w:evenHBand="0" w:firstRowFirstColumn="0" w:firstRowLastColumn="0" w:lastRowFirstColumn="0" w:lastRowLastColumn="0"/>
            </w:pPr>
            <w:r>
              <w:t>$</w:t>
            </w:r>
            <w:r w:rsidR="00A62213">
              <w:t>3.03</w:t>
            </w:r>
          </w:p>
        </w:tc>
        <w:tc>
          <w:tcPr>
            <w:tcW w:w="817" w:type="dxa"/>
          </w:tcPr>
          <w:p w14:paraId="08755E5E" w14:textId="2EC87E6B" w:rsidR="008B59F7" w:rsidRDefault="008B59F7" w:rsidP="008B59F7">
            <w:pPr>
              <w:pStyle w:val="NoSpacing"/>
              <w:jc w:val="right"/>
              <w:cnfStyle w:val="000000100000" w:firstRow="0" w:lastRow="0" w:firstColumn="0" w:lastColumn="0" w:oddVBand="0" w:evenVBand="0" w:oddHBand="1" w:evenHBand="0" w:firstRowFirstColumn="0" w:firstRowLastColumn="0" w:lastRowFirstColumn="0" w:lastRowLastColumn="0"/>
            </w:pPr>
            <w:r w:rsidRPr="00636D0A">
              <w:t>+</w:t>
            </w:r>
            <w:r w:rsidR="00A62213">
              <w:t>0.3</w:t>
            </w:r>
            <w:r w:rsidRPr="00636D0A">
              <w:t>%</w:t>
            </w:r>
          </w:p>
        </w:tc>
        <w:tc>
          <w:tcPr>
            <w:tcW w:w="1275" w:type="dxa"/>
          </w:tcPr>
          <w:p w14:paraId="19B1F6D2" w14:textId="1C6C1BC8" w:rsidR="008B59F7" w:rsidRDefault="008B59F7" w:rsidP="008B59F7">
            <w:pPr>
              <w:pStyle w:val="NoSpacing"/>
              <w:jc w:val="right"/>
              <w:cnfStyle w:val="000000100000" w:firstRow="0" w:lastRow="0" w:firstColumn="0" w:lastColumn="0" w:oddVBand="0" w:evenVBand="0" w:oddHBand="1" w:evenHBand="0" w:firstRowFirstColumn="0" w:firstRowLastColumn="0" w:lastRowFirstColumn="0" w:lastRowLastColumn="0"/>
            </w:pPr>
            <w:r w:rsidRPr="00636D0A">
              <w:t>+</w:t>
            </w:r>
            <w:r w:rsidR="00A62213">
              <w:t>4.4</w:t>
            </w:r>
            <w:r w:rsidRPr="00636D0A">
              <w:t>%</w:t>
            </w:r>
          </w:p>
        </w:tc>
      </w:tr>
      <w:tr w:rsidR="008B59F7" w14:paraId="7C18640F" w14:textId="5B569261" w:rsidTr="00D3797F">
        <w:tc>
          <w:tcPr>
            <w:cnfStyle w:val="001000000000" w:firstRow="0" w:lastRow="0" w:firstColumn="1" w:lastColumn="0" w:oddVBand="0" w:evenVBand="0" w:oddHBand="0" w:evenHBand="0" w:firstRowFirstColumn="0" w:firstRowLastColumn="0" w:lastRowFirstColumn="0" w:lastRowLastColumn="0"/>
            <w:tcW w:w="3179" w:type="dxa"/>
            <w:gridSpan w:val="2"/>
          </w:tcPr>
          <w:p w14:paraId="47C97CE0" w14:textId="77777777" w:rsidR="008B59F7" w:rsidRPr="00124CB7" w:rsidRDefault="008B59F7" w:rsidP="008B59F7">
            <w:pPr>
              <w:pStyle w:val="NoSpacing"/>
              <w:rPr>
                <w:b w:val="0"/>
                <w:bCs w:val="0"/>
              </w:rPr>
            </w:pPr>
            <w:r>
              <w:rPr>
                <w:b w:val="0"/>
                <w:bCs w:val="0"/>
              </w:rPr>
              <w:t>Price/volume</w:t>
            </w:r>
          </w:p>
        </w:tc>
        <w:tc>
          <w:tcPr>
            <w:tcW w:w="1146" w:type="dxa"/>
          </w:tcPr>
          <w:p w14:paraId="17C86A08" w14:textId="37801536" w:rsidR="008B59F7" w:rsidRDefault="008B59F7" w:rsidP="008B59F7">
            <w:pPr>
              <w:pStyle w:val="NoSpacing"/>
              <w:jc w:val="right"/>
              <w:cnfStyle w:val="000000000000" w:firstRow="0" w:lastRow="0" w:firstColumn="0" w:lastColumn="0" w:oddVBand="0" w:evenVBand="0" w:oddHBand="0" w:evenHBand="0" w:firstRowFirstColumn="0" w:firstRowLastColumn="0" w:lastRowFirstColumn="0" w:lastRowLastColumn="0"/>
            </w:pPr>
            <w:r>
              <w:t>$</w:t>
            </w:r>
            <w:r w:rsidR="00A62213">
              <w:t>4.56</w:t>
            </w:r>
          </w:p>
        </w:tc>
        <w:tc>
          <w:tcPr>
            <w:tcW w:w="973" w:type="dxa"/>
          </w:tcPr>
          <w:p w14:paraId="7E986169" w14:textId="44C14A07" w:rsidR="008B59F7" w:rsidRDefault="008B59F7" w:rsidP="008B59F7">
            <w:pPr>
              <w:pStyle w:val="NoSpacing"/>
              <w:jc w:val="right"/>
              <w:cnfStyle w:val="000000000000" w:firstRow="0" w:lastRow="0" w:firstColumn="0" w:lastColumn="0" w:oddVBand="0" w:evenVBand="0" w:oddHBand="0" w:evenHBand="0" w:firstRowFirstColumn="0" w:firstRowLastColumn="0" w:lastRowFirstColumn="0" w:lastRowLastColumn="0"/>
            </w:pPr>
            <w:r w:rsidRPr="007E7D43">
              <w:t>+</w:t>
            </w:r>
            <w:r w:rsidR="00A62213">
              <w:t>0.5</w:t>
            </w:r>
            <w:r w:rsidRPr="007E7D43">
              <w:t>%</w:t>
            </w:r>
          </w:p>
        </w:tc>
        <w:tc>
          <w:tcPr>
            <w:tcW w:w="909" w:type="dxa"/>
          </w:tcPr>
          <w:p w14:paraId="36DDF54D" w14:textId="65A48642" w:rsidR="008B59F7" w:rsidRDefault="008B59F7" w:rsidP="008B59F7">
            <w:pPr>
              <w:pStyle w:val="NoSpacing"/>
              <w:jc w:val="right"/>
              <w:cnfStyle w:val="000000000000" w:firstRow="0" w:lastRow="0" w:firstColumn="0" w:lastColumn="0" w:oddVBand="0" w:evenVBand="0" w:oddHBand="0" w:evenHBand="0" w:firstRowFirstColumn="0" w:firstRowLastColumn="0" w:lastRowFirstColumn="0" w:lastRowLastColumn="0"/>
            </w:pPr>
            <w:r w:rsidRPr="007E7D43">
              <w:t>+</w:t>
            </w:r>
            <w:r w:rsidR="00A62213">
              <w:t>0.6</w:t>
            </w:r>
            <w:r w:rsidRPr="007E7D43">
              <w:t>%</w:t>
            </w:r>
          </w:p>
        </w:tc>
        <w:tc>
          <w:tcPr>
            <w:tcW w:w="1776" w:type="dxa"/>
          </w:tcPr>
          <w:p w14:paraId="233A8701" w14:textId="4C092CD7" w:rsidR="008B59F7" w:rsidRDefault="008B59F7" w:rsidP="008B59F7">
            <w:pPr>
              <w:pStyle w:val="NoSpacing"/>
              <w:jc w:val="right"/>
              <w:cnfStyle w:val="000000000000" w:firstRow="0" w:lastRow="0" w:firstColumn="0" w:lastColumn="0" w:oddVBand="0" w:evenVBand="0" w:oddHBand="0" w:evenHBand="0" w:firstRowFirstColumn="0" w:firstRowLastColumn="0" w:lastRowFirstColumn="0" w:lastRowLastColumn="0"/>
            </w:pPr>
            <w:r>
              <w:t>$</w:t>
            </w:r>
            <w:r w:rsidR="00A62213">
              <w:t>4.54</w:t>
            </w:r>
          </w:p>
        </w:tc>
        <w:tc>
          <w:tcPr>
            <w:tcW w:w="817" w:type="dxa"/>
          </w:tcPr>
          <w:p w14:paraId="1759FD32" w14:textId="28053ED9" w:rsidR="008B59F7" w:rsidRDefault="008B59F7" w:rsidP="008B59F7">
            <w:pPr>
              <w:pStyle w:val="NoSpacing"/>
              <w:jc w:val="right"/>
              <w:cnfStyle w:val="000000000000" w:firstRow="0" w:lastRow="0" w:firstColumn="0" w:lastColumn="0" w:oddVBand="0" w:evenVBand="0" w:oddHBand="0" w:evenHBand="0" w:firstRowFirstColumn="0" w:firstRowLastColumn="0" w:lastRowFirstColumn="0" w:lastRowLastColumn="0"/>
            </w:pPr>
            <w:r w:rsidRPr="00636D0A">
              <w:t>+</w:t>
            </w:r>
            <w:r w:rsidR="00A62213">
              <w:t>0.4</w:t>
            </w:r>
            <w:r w:rsidRPr="00636D0A">
              <w:t>%</w:t>
            </w:r>
          </w:p>
        </w:tc>
        <w:tc>
          <w:tcPr>
            <w:tcW w:w="1275" w:type="dxa"/>
          </w:tcPr>
          <w:p w14:paraId="725313BE" w14:textId="3DE991C2" w:rsidR="008B59F7" w:rsidRDefault="008B59F7" w:rsidP="008B59F7">
            <w:pPr>
              <w:pStyle w:val="NoSpacing"/>
              <w:jc w:val="right"/>
              <w:cnfStyle w:val="000000000000" w:firstRow="0" w:lastRow="0" w:firstColumn="0" w:lastColumn="0" w:oddVBand="0" w:evenVBand="0" w:oddHBand="0" w:evenHBand="0" w:firstRowFirstColumn="0" w:firstRowLastColumn="0" w:lastRowFirstColumn="0" w:lastRowLastColumn="0"/>
            </w:pPr>
            <w:r w:rsidRPr="00636D0A">
              <w:t>+</w:t>
            </w:r>
            <w:r w:rsidR="00A62213">
              <w:t>3.9</w:t>
            </w:r>
            <w:r w:rsidRPr="00636D0A">
              <w:t>%</w:t>
            </w:r>
          </w:p>
        </w:tc>
      </w:tr>
    </w:tbl>
    <w:p w14:paraId="5CF68DB9" w14:textId="77777777" w:rsidR="00170260" w:rsidRDefault="00170260" w:rsidP="00170260">
      <w:pPr>
        <w:pStyle w:val="NoSpacing"/>
      </w:pPr>
    </w:p>
    <w:p w14:paraId="611C2D9A" w14:textId="6EBF9E32" w:rsidR="00170260" w:rsidRDefault="00E72D31" w:rsidP="00170260">
      <w:pPr>
        <w:pStyle w:val="NoSpacing"/>
      </w:pPr>
      <w:r>
        <w:t>Fresh</w:t>
      </w:r>
      <w:r w:rsidR="00266BBD">
        <w:t xml:space="preserve"> mushroom promotions averaged 17.4</w:t>
      </w:r>
      <w:r>
        <w:t xml:space="preserve">% of total dollars during the quad week, </w:t>
      </w:r>
      <w:r w:rsidR="0064102A">
        <w:t xml:space="preserve">above </w:t>
      </w:r>
      <w:r>
        <w:t>the annual average</w:t>
      </w:r>
      <w:r w:rsidR="00B672D0">
        <w:t>.</w:t>
      </w:r>
      <w:r w:rsidR="00E508BB">
        <w:t xml:space="preserve"> </w:t>
      </w:r>
    </w:p>
    <w:p w14:paraId="363D2F2B" w14:textId="77777777" w:rsidR="00170260" w:rsidRPr="00E72D31" w:rsidRDefault="00170260" w:rsidP="00170260">
      <w:pPr>
        <w:pStyle w:val="NoSpacing"/>
        <w:rPr>
          <w:sz w:val="10"/>
          <w:szCs w:val="10"/>
        </w:rPr>
      </w:pPr>
    </w:p>
    <w:tbl>
      <w:tblPr>
        <w:tblStyle w:val="ListTable3-Accent3"/>
        <w:tblW w:w="10070" w:type="dxa"/>
        <w:tblLook w:val="04A0" w:firstRow="1" w:lastRow="0" w:firstColumn="1" w:lastColumn="0" w:noHBand="0" w:noVBand="1"/>
      </w:tblPr>
      <w:tblGrid>
        <w:gridCol w:w="3539"/>
        <w:gridCol w:w="397"/>
        <w:gridCol w:w="1342"/>
        <w:gridCol w:w="1369"/>
        <w:gridCol w:w="2054"/>
        <w:gridCol w:w="1369"/>
      </w:tblGrid>
      <w:tr w:rsidR="00972570" w:rsidRPr="00124CB7" w14:paraId="5DFB9CAB" w14:textId="77777777" w:rsidTr="00D3797F">
        <w:trPr>
          <w:cnfStyle w:val="100000000000" w:firstRow="1" w:lastRow="0" w:firstColumn="0" w:lastColumn="0" w:oddVBand="0" w:evenVBand="0" w:oddHBand="0" w:evenHBand="0" w:firstRowFirstColumn="0" w:firstRowLastColumn="0" w:lastRowFirstColumn="0" w:lastRowLastColumn="0"/>
          <w:trHeight w:val="534"/>
        </w:trPr>
        <w:tc>
          <w:tcPr>
            <w:cnfStyle w:val="001000000100" w:firstRow="0" w:lastRow="0" w:firstColumn="1" w:lastColumn="0" w:oddVBand="0" w:evenVBand="0" w:oddHBand="0" w:evenHBand="0" w:firstRowFirstColumn="1" w:firstRowLastColumn="0" w:lastRowFirstColumn="0" w:lastRowLastColumn="0"/>
            <w:tcW w:w="3539" w:type="dxa"/>
            <w:shd w:val="clear" w:color="auto" w:fill="800000"/>
          </w:tcPr>
          <w:p w14:paraId="4168BC1A" w14:textId="77777777" w:rsidR="00972570" w:rsidRPr="00124CB7" w:rsidRDefault="00972570" w:rsidP="009A5A3B">
            <w:pPr>
              <w:pStyle w:val="NoSpacing"/>
            </w:pPr>
            <w:r w:rsidRPr="00124CB7">
              <w:t>Fresh mushrooms</w:t>
            </w:r>
          </w:p>
        </w:tc>
        <w:tc>
          <w:tcPr>
            <w:tcW w:w="1739" w:type="dxa"/>
            <w:gridSpan w:val="2"/>
            <w:shd w:val="clear" w:color="auto" w:fill="800000"/>
          </w:tcPr>
          <w:p w14:paraId="6A0500B8" w14:textId="2432AC55" w:rsidR="00972570" w:rsidRPr="00124CB7" w:rsidRDefault="00972570" w:rsidP="009A5A3B">
            <w:pPr>
              <w:pStyle w:val="NoSpacing"/>
              <w:jc w:val="right"/>
              <w:cnfStyle w:val="100000000000" w:firstRow="1" w:lastRow="0" w:firstColumn="0" w:lastColumn="0" w:oddVBand="0" w:evenVBand="0" w:oddHBand="0" w:evenHBand="0" w:firstRowFirstColumn="0" w:firstRowLastColumn="0" w:lastRowFirstColumn="0" w:lastRowLastColumn="0"/>
            </w:pPr>
            <w:r>
              <w:t xml:space="preserve">4 w.e. </w:t>
            </w:r>
            <w:r w:rsidR="008B59F7">
              <w:t>9/8</w:t>
            </w:r>
            <w:r w:rsidR="00D15B2D">
              <w:t>/2024</w:t>
            </w:r>
          </w:p>
        </w:tc>
        <w:tc>
          <w:tcPr>
            <w:tcW w:w="1369" w:type="dxa"/>
            <w:shd w:val="clear" w:color="auto" w:fill="800000"/>
          </w:tcPr>
          <w:p w14:paraId="5CF9736D" w14:textId="780DB308" w:rsidR="00972570" w:rsidRPr="00124CB7" w:rsidRDefault="00972570" w:rsidP="009A5A3B">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rsidR="00AD75ED">
              <w:t>YA</w:t>
            </w:r>
          </w:p>
        </w:tc>
        <w:tc>
          <w:tcPr>
            <w:tcW w:w="2054" w:type="dxa"/>
            <w:shd w:val="clear" w:color="auto" w:fill="800000"/>
          </w:tcPr>
          <w:p w14:paraId="413A4F70" w14:textId="63FC4260" w:rsidR="00972570" w:rsidRPr="00124CB7" w:rsidRDefault="00694050" w:rsidP="00B03343">
            <w:pPr>
              <w:pStyle w:val="NoSpacing"/>
              <w:jc w:val="right"/>
              <w:cnfStyle w:val="100000000000" w:firstRow="1" w:lastRow="0" w:firstColumn="0" w:lastColumn="0" w:oddVBand="0" w:evenVBand="0" w:oddHBand="0" w:evenHBand="0" w:firstRowFirstColumn="0" w:firstRowLastColumn="0" w:lastRowFirstColumn="0" w:lastRowLastColumn="0"/>
            </w:pPr>
            <w:r>
              <w:t>Latest 52 w.e.</w:t>
            </w:r>
            <w:r w:rsidR="00972570">
              <w:t xml:space="preserve"> </w:t>
            </w:r>
            <w:r w:rsidR="008B59F7">
              <w:t>9/8</w:t>
            </w:r>
            <w:r w:rsidR="00D15B2D">
              <w:t>/2024</w:t>
            </w:r>
          </w:p>
        </w:tc>
        <w:tc>
          <w:tcPr>
            <w:tcW w:w="1369" w:type="dxa"/>
            <w:shd w:val="clear" w:color="auto" w:fill="800000"/>
          </w:tcPr>
          <w:p w14:paraId="75064544" w14:textId="312D7093" w:rsidR="00972570" w:rsidRPr="00124CB7" w:rsidRDefault="00972570" w:rsidP="009A5A3B">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rsidR="00AD75ED">
              <w:t>YA</w:t>
            </w:r>
          </w:p>
        </w:tc>
      </w:tr>
      <w:tr w:rsidR="00D15B2D" w14:paraId="3B76FFA3" w14:textId="78296325" w:rsidTr="00D3797F">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3936" w:type="dxa"/>
            <w:gridSpan w:val="2"/>
          </w:tcPr>
          <w:p w14:paraId="2B5B6C81" w14:textId="6313A9FC" w:rsidR="00D15B2D" w:rsidRDefault="00D15B2D" w:rsidP="00D15B2D">
            <w:pPr>
              <w:pStyle w:val="NoSpacing"/>
              <w:rPr>
                <w:b w:val="0"/>
                <w:bCs w:val="0"/>
              </w:rPr>
            </w:pPr>
            <w:r>
              <w:rPr>
                <w:b w:val="0"/>
                <w:bCs w:val="0"/>
              </w:rPr>
              <w:t>Share of dollars sold on promotion</w:t>
            </w:r>
          </w:p>
        </w:tc>
        <w:tc>
          <w:tcPr>
            <w:tcW w:w="1342" w:type="dxa"/>
          </w:tcPr>
          <w:p w14:paraId="6D5E5F03" w14:textId="1D861A97" w:rsidR="00D15B2D" w:rsidRPr="00D15B2D" w:rsidRDefault="00410F05" w:rsidP="00D15B2D">
            <w:pPr>
              <w:pStyle w:val="NoSpacing"/>
              <w:jc w:val="right"/>
              <w:cnfStyle w:val="000000100000" w:firstRow="0" w:lastRow="0" w:firstColumn="0" w:lastColumn="0" w:oddVBand="0" w:evenVBand="0" w:oddHBand="1" w:evenHBand="0" w:firstRowFirstColumn="0" w:firstRowLastColumn="0" w:lastRowFirstColumn="0" w:lastRowLastColumn="0"/>
            </w:pPr>
            <w:r>
              <w:rPr>
                <w:rFonts w:ascii="Calibri" w:eastAsia="Calibri" w:hAnsi="Calibri"/>
                <w:kern w:val="24"/>
              </w:rPr>
              <w:t>17.4</w:t>
            </w:r>
            <w:r w:rsidR="00D15B2D" w:rsidRPr="00D15B2D">
              <w:rPr>
                <w:rFonts w:ascii="Calibri" w:eastAsia="Calibri" w:hAnsi="Calibri"/>
                <w:kern w:val="24"/>
              </w:rPr>
              <w:t>%</w:t>
            </w:r>
          </w:p>
        </w:tc>
        <w:tc>
          <w:tcPr>
            <w:tcW w:w="1369" w:type="dxa"/>
          </w:tcPr>
          <w:p w14:paraId="586FECBD" w14:textId="797731C1" w:rsidR="00D15B2D" w:rsidRPr="00D15B2D" w:rsidRDefault="00743D95" w:rsidP="00D15B2D">
            <w:pPr>
              <w:pStyle w:val="NoSpacing"/>
              <w:jc w:val="right"/>
              <w:cnfStyle w:val="000000100000" w:firstRow="0" w:lastRow="0" w:firstColumn="0" w:lastColumn="0" w:oddVBand="0" w:evenVBand="0" w:oddHBand="1" w:evenHBand="0" w:firstRowFirstColumn="0" w:firstRowLastColumn="0" w:lastRowFirstColumn="0" w:lastRowLastColumn="0"/>
            </w:pPr>
            <w:r>
              <w:rPr>
                <w:rFonts w:ascii="Calibri" w:eastAsia="Calibri" w:hAnsi="Calibri"/>
                <w:kern w:val="24"/>
              </w:rPr>
              <w:t>+</w:t>
            </w:r>
            <w:r w:rsidR="00410F05">
              <w:rPr>
                <w:rFonts w:ascii="Calibri" w:eastAsia="Calibri" w:hAnsi="Calibri"/>
                <w:kern w:val="24"/>
              </w:rPr>
              <w:t>9.7</w:t>
            </w:r>
            <w:r w:rsidR="00D15B2D" w:rsidRPr="00D15B2D">
              <w:rPr>
                <w:rFonts w:ascii="Calibri" w:eastAsia="Calibri" w:hAnsi="Calibri"/>
                <w:kern w:val="24"/>
              </w:rPr>
              <w:t>%</w:t>
            </w:r>
          </w:p>
        </w:tc>
        <w:tc>
          <w:tcPr>
            <w:tcW w:w="2054" w:type="dxa"/>
          </w:tcPr>
          <w:p w14:paraId="66CD7DD9" w14:textId="5E82CCF9" w:rsidR="00D15B2D" w:rsidRPr="00D15B2D" w:rsidRDefault="00410F05" w:rsidP="00D15B2D">
            <w:pPr>
              <w:pStyle w:val="NoSpacing"/>
              <w:jc w:val="right"/>
              <w:cnfStyle w:val="000000100000" w:firstRow="0" w:lastRow="0" w:firstColumn="0" w:lastColumn="0" w:oddVBand="0" w:evenVBand="0" w:oddHBand="1" w:evenHBand="0" w:firstRowFirstColumn="0" w:firstRowLastColumn="0" w:lastRowFirstColumn="0" w:lastRowLastColumn="0"/>
            </w:pPr>
            <w:r>
              <w:rPr>
                <w:rFonts w:ascii="Calibri" w:eastAsia="Calibri" w:hAnsi="Calibri"/>
                <w:kern w:val="24"/>
              </w:rPr>
              <w:t>17.8</w:t>
            </w:r>
            <w:r w:rsidR="00D15B2D" w:rsidRPr="00D15B2D">
              <w:rPr>
                <w:rFonts w:ascii="Calibri" w:eastAsia="Calibri" w:hAnsi="Calibri"/>
                <w:kern w:val="24"/>
              </w:rPr>
              <w:t>%</w:t>
            </w:r>
          </w:p>
        </w:tc>
        <w:tc>
          <w:tcPr>
            <w:tcW w:w="1369" w:type="dxa"/>
          </w:tcPr>
          <w:p w14:paraId="7461CDF6" w14:textId="7666D545" w:rsidR="00D15B2D" w:rsidRPr="00D15B2D" w:rsidRDefault="00FA0530" w:rsidP="00D15B2D">
            <w:pPr>
              <w:pStyle w:val="NoSpacing"/>
              <w:jc w:val="right"/>
              <w:cnfStyle w:val="000000100000" w:firstRow="0" w:lastRow="0" w:firstColumn="0" w:lastColumn="0" w:oddVBand="0" w:evenVBand="0" w:oddHBand="1" w:evenHBand="0" w:firstRowFirstColumn="0" w:firstRowLastColumn="0" w:lastRowFirstColumn="0" w:lastRowLastColumn="0"/>
            </w:pPr>
            <w:r>
              <w:rPr>
                <w:rFonts w:ascii="Calibri" w:eastAsia="Calibri" w:hAnsi="Calibri"/>
                <w:kern w:val="24"/>
              </w:rPr>
              <w:t>+</w:t>
            </w:r>
            <w:r w:rsidR="00410F05">
              <w:rPr>
                <w:rFonts w:ascii="Calibri" w:eastAsia="Calibri" w:hAnsi="Calibri"/>
                <w:kern w:val="24"/>
              </w:rPr>
              <w:t>11.1</w:t>
            </w:r>
            <w:r w:rsidR="00D15B2D" w:rsidRPr="00D15B2D">
              <w:rPr>
                <w:rFonts w:ascii="Calibri" w:eastAsia="Calibri" w:hAnsi="Calibri"/>
                <w:kern w:val="24"/>
              </w:rPr>
              <w:t>%</w:t>
            </w:r>
          </w:p>
        </w:tc>
      </w:tr>
    </w:tbl>
    <w:p w14:paraId="23606064" w14:textId="7B1DB7E2" w:rsidR="00555250" w:rsidRPr="00555250" w:rsidRDefault="00555250" w:rsidP="00555250">
      <w:pPr>
        <w:pStyle w:val="NoSpacing"/>
        <w:spacing w:before="120"/>
        <w:rPr>
          <w:color w:val="7F7F7F" w:themeColor="text1" w:themeTint="80"/>
          <w:sz w:val="16"/>
          <w:szCs w:val="16"/>
        </w:rPr>
      </w:pPr>
      <w:r w:rsidRPr="00555250">
        <w:rPr>
          <w:color w:val="7F7F7F" w:themeColor="text1" w:themeTint="80"/>
          <w:sz w:val="16"/>
          <w:szCs w:val="16"/>
        </w:rPr>
        <w:t xml:space="preserve">Source: </w:t>
      </w:r>
      <w:r w:rsidR="004C5B27">
        <w:rPr>
          <w:color w:val="7F7F7F" w:themeColor="text1" w:themeTint="80"/>
          <w:sz w:val="16"/>
          <w:szCs w:val="16"/>
        </w:rPr>
        <w:t xml:space="preserve">Circana, </w:t>
      </w:r>
      <w:r w:rsidRPr="00555250">
        <w:rPr>
          <w:color w:val="7F7F7F" w:themeColor="text1" w:themeTint="80"/>
          <w:sz w:val="16"/>
          <w:szCs w:val="16"/>
        </w:rPr>
        <w:t xml:space="preserve">Integrated Fresh, </w:t>
      </w:r>
      <w:r w:rsidR="00FA0530">
        <w:rPr>
          <w:color w:val="7F7F7F" w:themeColor="text1" w:themeTint="80"/>
          <w:sz w:val="16"/>
          <w:szCs w:val="16"/>
        </w:rPr>
        <w:t>MULO+</w:t>
      </w:r>
      <w:r w:rsidRPr="00555250">
        <w:rPr>
          <w:color w:val="7F7F7F" w:themeColor="text1" w:themeTint="80"/>
          <w:sz w:val="16"/>
          <w:szCs w:val="16"/>
        </w:rPr>
        <w:t xml:space="preserve">, </w:t>
      </w:r>
      <w:r w:rsidR="00A657C4">
        <w:rPr>
          <w:color w:val="7F7F7F" w:themeColor="text1" w:themeTint="80"/>
          <w:sz w:val="16"/>
          <w:szCs w:val="16"/>
        </w:rPr>
        <w:t xml:space="preserve">YTD and </w:t>
      </w:r>
      <w:r w:rsidR="007D30DA">
        <w:rPr>
          <w:color w:val="7F7F7F" w:themeColor="text1" w:themeTint="80"/>
          <w:sz w:val="16"/>
          <w:szCs w:val="16"/>
        </w:rPr>
        <w:t>4</w:t>
      </w:r>
      <w:r w:rsidRPr="00555250">
        <w:rPr>
          <w:color w:val="7F7F7F" w:themeColor="text1" w:themeTint="80"/>
          <w:sz w:val="16"/>
          <w:szCs w:val="16"/>
        </w:rPr>
        <w:t xml:space="preserve"> weeks ending </w:t>
      </w:r>
      <w:r w:rsidR="008B59F7">
        <w:rPr>
          <w:color w:val="7F7F7F" w:themeColor="text1" w:themeTint="80"/>
          <w:sz w:val="16"/>
          <w:szCs w:val="16"/>
        </w:rPr>
        <w:t>9/8</w:t>
      </w:r>
      <w:r w:rsidR="00D15B2D">
        <w:rPr>
          <w:color w:val="7F7F7F" w:themeColor="text1" w:themeTint="80"/>
          <w:sz w:val="16"/>
          <w:szCs w:val="16"/>
        </w:rPr>
        <w:t>/2024</w:t>
      </w:r>
    </w:p>
    <w:p w14:paraId="0804BC52" w14:textId="568E8254" w:rsidR="0092088E" w:rsidRDefault="0092088E" w:rsidP="00472B02">
      <w:pPr>
        <w:pStyle w:val="NoSpacing"/>
      </w:pPr>
    </w:p>
    <w:p w14:paraId="59E70896" w14:textId="52CB107E" w:rsidR="004C2808" w:rsidRPr="00D3797F" w:rsidRDefault="004C2808" w:rsidP="004462C1">
      <w:pPr>
        <w:pStyle w:val="Heading2"/>
        <w:rPr>
          <w:b/>
          <w:bCs/>
          <w:color w:val="800000"/>
        </w:rPr>
      </w:pPr>
      <w:r w:rsidRPr="00D3797F">
        <w:rPr>
          <w:b/>
          <w:bCs/>
          <w:color w:val="800000"/>
        </w:rPr>
        <w:t>Additional observations:</w:t>
      </w:r>
    </w:p>
    <w:p w14:paraId="22421914" w14:textId="047AC554" w:rsidR="00C9550B" w:rsidRDefault="00C9550B" w:rsidP="009A5A3B">
      <w:pPr>
        <w:pStyle w:val="NoSpacing"/>
        <w:numPr>
          <w:ilvl w:val="0"/>
          <w:numId w:val="2"/>
        </w:numPr>
        <w:rPr>
          <w:color w:val="000000" w:themeColor="text1"/>
        </w:rPr>
      </w:pPr>
      <w:r w:rsidRPr="00B11421">
        <w:rPr>
          <w:color w:val="000000" w:themeColor="text1"/>
          <w:u w:val="single"/>
        </w:rPr>
        <w:t>Package size</w:t>
      </w:r>
      <w:r w:rsidRPr="00B11421">
        <w:rPr>
          <w:color w:val="000000" w:themeColor="text1"/>
        </w:rPr>
        <w:t xml:space="preserve">: </w:t>
      </w:r>
      <w:r w:rsidR="00B672D0" w:rsidRPr="00B11421">
        <w:rPr>
          <w:color w:val="000000" w:themeColor="text1"/>
        </w:rPr>
        <w:t>8</w:t>
      </w:r>
      <w:r w:rsidRPr="00B11421">
        <w:rPr>
          <w:color w:val="000000" w:themeColor="text1"/>
        </w:rPr>
        <w:t xml:space="preserve">-ounce packages </w:t>
      </w:r>
      <w:r w:rsidR="00B42A49" w:rsidRPr="00B11421">
        <w:rPr>
          <w:color w:val="000000" w:themeColor="text1"/>
        </w:rPr>
        <w:t xml:space="preserve">generated </w:t>
      </w:r>
      <w:r w:rsidR="00FA0530">
        <w:rPr>
          <w:color w:val="000000" w:themeColor="text1"/>
        </w:rPr>
        <w:t>$</w:t>
      </w:r>
      <w:r w:rsidR="00AB2DDA">
        <w:rPr>
          <w:color w:val="000000" w:themeColor="text1"/>
        </w:rPr>
        <w:t>739.5</w:t>
      </w:r>
      <w:r w:rsidR="00F565B7">
        <w:rPr>
          <w:color w:val="000000" w:themeColor="text1"/>
        </w:rPr>
        <w:t xml:space="preserve"> million</w:t>
      </w:r>
      <w:r w:rsidR="00B672D0" w:rsidRPr="00B11421">
        <w:rPr>
          <w:color w:val="000000" w:themeColor="text1"/>
        </w:rPr>
        <w:t xml:space="preserve"> in the </w:t>
      </w:r>
      <w:r w:rsidR="00F565B7">
        <w:rPr>
          <w:color w:val="000000" w:themeColor="text1"/>
        </w:rPr>
        <w:t>past year</w:t>
      </w:r>
      <w:r w:rsidR="00195B70">
        <w:rPr>
          <w:color w:val="000000" w:themeColor="text1"/>
        </w:rPr>
        <w:t>, a</w:t>
      </w:r>
      <w:r w:rsidR="00FA0530">
        <w:rPr>
          <w:color w:val="000000" w:themeColor="text1"/>
        </w:rPr>
        <w:t xml:space="preserve"> decrease of </w:t>
      </w:r>
      <w:r w:rsidR="00AB2DDA">
        <w:rPr>
          <w:color w:val="000000" w:themeColor="text1"/>
        </w:rPr>
        <w:t>1.6</w:t>
      </w:r>
      <w:r w:rsidR="00F06A94">
        <w:rPr>
          <w:color w:val="000000" w:themeColor="text1"/>
        </w:rPr>
        <w:t>% versus year-ago levels.</w:t>
      </w:r>
      <w:r w:rsidR="00834A70">
        <w:rPr>
          <w:color w:val="000000" w:themeColor="text1"/>
        </w:rPr>
        <w:t xml:space="preserve"> </w:t>
      </w:r>
      <w:r w:rsidR="00D3797F">
        <w:rPr>
          <w:color w:val="000000" w:themeColor="text1"/>
        </w:rPr>
        <w:t xml:space="preserve">Meanwhile, 24-ounce packages surpassed 16-ounce packages in dollar and volume sales. Additionally, </w:t>
      </w:r>
      <w:r w:rsidR="00F565B7">
        <w:rPr>
          <w:color w:val="000000" w:themeColor="text1"/>
        </w:rPr>
        <w:t xml:space="preserve">24-ounce packages </w:t>
      </w:r>
      <w:r w:rsidR="00D3797F">
        <w:rPr>
          <w:color w:val="000000" w:themeColor="text1"/>
        </w:rPr>
        <w:t xml:space="preserve">grew </w:t>
      </w:r>
      <w:r w:rsidR="00F565B7">
        <w:rPr>
          <w:color w:val="000000" w:themeColor="text1"/>
        </w:rPr>
        <w:t>dollar, uni</w:t>
      </w:r>
      <w:r w:rsidR="00D3797F">
        <w:rPr>
          <w:color w:val="000000" w:themeColor="text1"/>
        </w:rPr>
        <w:t>t</w:t>
      </w:r>
      <w:r w:rsidR="00F565B7">
        <w:rPr>
          <w:color w:val="000000" w:themeColor="text1"/>
        </w:rPr>
        <w:t xml:space="preserve"> and pound</w:t>
      </w:r>
      <w:r w:rsidR="00D3797F">
        <w:rPr>
          <w:color w:val="000000" w:themeColor="text1"/>
        </w:rPr>
        <w:t xml:space="preserve"> sales versus last year</w:t>
      </w:r>
      <w:r w:rsidR="00F565B7">
        <w:rPr>
          <w:color w:val="000000" w:themeColor="text1"/>
        </w:rPr>
        <w:t xml:space="preserve">. </w:t>
      </w:r>
    </w:p>
    <w:p w14:paraId="39BF4FC8" w14:textId="1B67F875" w:rsidR="00E72D31" w:rsidRDefault="004462C1" w:rsidP="009718A1">
      <w:pPr>
        <w:pStyle w:val="NoSpacing"/>
        <w:numPr>
          <w:ilvl w:val="0"/>
          <w:numId w:val="2"/>
        </w:numPr>
        <w:rPr>
          <w:color w:val="000000" w:themeColor="text1"/>
        </w:rPr>
      </w:pPr>
      <w:r w:rsidRPr="00E72D31">
        <w:rPr>
          <w:color w:val="000000" w:themeColor="text1"/>
          <w:u w:val="single"/>
        </w:rPr>
        <w:t>Organic vs</w:t>
      </w:r>
      <w:r w:rsidR="005B6968" w:rsidRPr="00E72D31">
        <w:rPr>
          <w:color w:val="000000" w:themeColor="text1"/>
          <w:u w:val="single"/>
        </w:rPr>
        <w:t>.</w:t>
      </w:r>
      <w:r w:rsidRPr="00E72D31">
        <w:rPr>
          <w:color w:val="000000" w:themeColor="text1"/>
          <w:u w:val="single"/>
        </w:rPr>
        <w:t xml:space="preserve"> conventional</w:t>
      </w:r>
      <w:r w:rsidRPr="00E72D31">
        <w:rPr>
          <w:color w:val="000000" w:themeColor="text1"/>
        </w:rPr>
        <w:t xml:space="preserve">: Organic </w:t>
      </w:r>
      <w:r w:rsidR="005B6968" w:rsidRPr="00E72D31">
        <w:rPr>
          <w:color w:val="000000" w:themeColor="text1"/>
        </w:rPr>
        <w:t xml:space="preserve">mushrooms </w:t>
      </w:r>
      <w:r w:rsidRPr="00E72D31">
        <w:rPr>
          <w:color w:val="000000" w:themeColor="text1"/>
        </w:rPr>
        <w:t>made up</w:t>
      </w:r>
      <w:r w:rsidR="007946B0" w:rsidRPr="00E72D31">
        <w:rPr>
          <w:color w:val="000000" w:themeColor="text1"/>
        </w:rPr>
        <w:t xml:space="preserve"> </w:t>
      </w:r>
      <w:r w:rsidR="000C7E82" w:rsidRPr="00E72D31">
        <w:rPr>
          <w:color w:val="000000" w:themeColor="text1"/>
        </w:rPr>
        <w:t xml:space="preserve">a little more than </w:t>
      </w:r>
      <w:r w:rsidR="0081583F">
        <w:rPr>
          <w:color w:val="000000" w:themeColor="text1"/>
        </w:rPr>
        <w:t>20.3</w:t>
      </w:r>
      <w:r w:rsidRPr="00E72D31">
        <w:rPr>
          <w:color w:val="000000" w:themeColor="text1"/>
        </w:rPr>
        <w:t xml:space="preserve">% of </w:t>
      </w:r>
      <w:r w:rsidR="00BE7EF2" w:rsidRPr="00E72D31">
        <w:rPr>
          <w:color w:val="000000" w:themeColor="text1"/>
        </w:rPr>
        <w:t>pounds</w:t>
      </w:r>
      <w:r w:rsidR="00FC3E0A">
        <w:rPr>
          <w:color w:val="000000" w:themeColor="text1"/>
        </w:rPr>
        <w:t xml:space="preserve">, which is far more than </w:t>
      </w:r>
      <w:r w:rsidR="00FC3E0A" w:rsidRPr="00FC3E0A">
        <w:t xml:space="preserve">the </w:t>
      </w:r>
      <w:r w:rsidR="0081583F">
        <w:t>7.8</w:t>
      </w:r>
      <w:r w:rsidR="00E72D31" w:rsidRPr="00FC3E0A">
        <w:t xml:space="preserve">% </w:t>
      </w:r>
      <w:r w:rsidR="00E72D31" w:rsidRPr="00E72D31">
        <w:rPr>
          <w:color w:val="000000" w:themeColor="text1"/>
        </w:rPr>
        <w:t>for total produce</w:t>
      </w:r>
      <w:r w:rsidR="00F565B7" w:rsidRPr="00E72D31">
        <w:rPr>
          <w:color w:val="000000" w:themeColor="text1"/>
        </w:rPr>
        <w:t>. Dollar and volume sales were up f</w:t>
      </w:r>
      <w:r w:rsidR="00FA0530" w:rsidRPr="00E72D31">
        <w:rPr>
          <w:color w:val="000000" w:themeColor="text1"/>
        </w:rPr>
        <w:t xml:space="preserve">or organic mushrooms, with a </w:t>
      </w:r>
      <w:r w:rsidR="0081583F">
        <w:rPr>
          <w:color w:val="000000" w:themeColor="text1"/>
        </w:rPr>
        <w:t>6.2</w:t>
      </w:r>
      <w:r w:rsidR="00F565B7" w:rsidRPr="00E72D31">
        <w:rPr>
          <w:color w:val="000000" w:themeColor="text1"/>
        </w:rPr>
        <w:t xml:space="preserve">% year-on-year increase for organic mushroom pounds. </w:t>
      </w:r>
    </w:p>
    <w:p w14:paraId="5CC8E748" w14:textId="68478A79" w:rsidR="00300A5F" w:rsidRPr="00E72D31" w:rsidRDefault="00B11421" w:rsidP="009718A1">
      <w:pPr>
        <w:pStyle w:val="NoSpacing"/>
        <w:numPr>
          <w:ilvl w:val="0"/>
          <w:numId w:val="2"/>
        </w:numPr>
        <w:rPr>
          <w:color w:val="000000" w:themeColor="text1"/>
        </w:rPr>
      </w:pPr>
      <w:r w:rsidRPr="00E72D31">
        <w:rPr>
          <w:color w:val="000000" w:themeColor="text1"/>
          <w:u w:val="single"/>
        </w:rPr>
        <w:t>Whole vs. sliced/diced</w:t>
      </w:r>
      <w:r w:rsidRPr="00E72D31">
        <w:rPr>
          <w:color w:val="000000" w:themeColor="text1"/>
        </w:rPr>
        <w:t xml:space="preserve">: </w:t>
      </w:r>
      <w:r w:rsidR="00D3797F">
        <w:rPr>
          <w:color w:val="000000" w:themeColor="text1"/>
        </w:rPr>
        <w:t>The performance of whole versus sliced was very similar during this quad-week.</w:t>
      </w:r>
      <w:r w:rsidR="00F565B7" w:rsidRPr="00E72D31">
        <w:rPr>
          <w:color w:val="000000" w:themeColor="text1"/>
        </w:rPr>
        <w:t xml:space="preserve"> </w:t>
      </w:r>
      <w:r w:rsidR="00195B70" w:rsidRPr="00E72D31">
        <w:rPr>
          <w:color w:val="000000" w:themeColor="text1"/>
        </w:rPr>
        <w:t xml:space="preserve">  </w:t>
      </w:r>
      <w:r w:rsidRPr="00E72D31">
        <w:rPr>
          <w:color w:val="000000" w:themeColor="text1"/>
        </w:rPr>
        <w:t xml:space="preserve"> </w:t>
      </w:r>
      <w:r w:rsidR="0009067E" w:rsidRPr="00E72D31">
        <w:rPr>
          <w:color w:val="000000" w:themeColor="text1"/>
        </w:rPr>
        <w:t xml:space="preserve"> </w:t>
      </w:r>
    </w:p>
    <w:p w14:paraId="780AB35F" w14:textId="77777777" w:rsidR="000E0D6B" w:rsidRPr="00E72D31" w:rsidRDefault="000E0D6B" w:rsidP="00C9550B">
      <w:pPr>
        <w:pStyle w:val="NoSpacing"/>
        <w:rPr>
          <w:color w:val="000000" w:themeColor="text1"/>
          <w:sz w:val="10"/>
          <w:szCs w:val="10"/>
        </w:rPr>
      </w:pPr>
    </w:p>
    <w:p w14:paraId="612B03EE" w14:textId="104F9C05" w:rsidR="000C7E82" w:rsidRPr="00B34EF7" w:rsidRDefault="00782D09" w:rsidP="00C9550B">
      <w:pPr>
        <w:pStyle w:val="NoSpacing"/>
      </w:pPr>
      <w:r w:rsidRPr="00EB30C7">
        <w:rPr>
          <w:color w:val="7F7F7F" w:themeColor="text1" w:themeTint="80"/>
          <w:sz w:val="16"/>
          <w:szCs w:val="16"/>
        </w:rPr>
        <w:t xml:space="preserve">Source: </w:t>
      </w:r>
      <w:r w:rsidR="004C5B27">
        <w:rPr>
          <w:color w:val="7F7F7F" w:themeColor="text1" w:themeTint="80"/>
          <w:sz w:val="16"/>
          <w:szCs w:val="16"/>
        </w:rPr>
        <w:t>Circana</w:t>
      </w:r>
      <w:r w:rsidRPr="00EB30C7">
        <w:rPr>
          <w:color w:val="7F7F7F" w:themeColor="text1" w:themeTint="80"/>
          <w:sz w:val="16"/>
          <w:szCs w:val="16"/>
        </w:rPr>
        <w:t xml:space="preserve">, Integrated Fresh, </w:t>
      </w:r>
      <w:r w:rsidR="00FA0530">
        <w:rPr>
          <w:color w:val="7F7F7F" w:themeColor="text1" w:themeTint="80"/>
          <w:sz w:val="16"/>
          <w:szCs w:val="16"/>
        </w:rPr>
        <w:t>MULO+</w:t>
      </w:r>
      <w:r w:rsidRPr="00EB30C7">
        <w:rPr>
          <w:color w:val="7F7F7F" w:themeColor="text1" w:themeTint="80"/>
          <w:sz w:val="16"/>
          <w:szCs w:val="16"/>
        </w:rPr>
        <w:t xml:space="preserve">, </w:t>
      </w:r>
      <w:r w:rsidR="004B7951" w:rsidRPr="00EB30C7">
        <w:rPr>
          <w:color w:val="7F7F7F" w:themeColor="text1" w:themeTint="80"/>
          <w:sz w:val="16"/>
          <w:szCs w:val="16"/>
        </w:rPr>
        <w:t>4</w:t>
      </w:r>
      <w:r w:rsidR="0009067E">
        <w:rPr>
          <w:color w:val="7F7F7F" w:themeColor="text1" w:themeTint="80"/>
          <w:sz w:val="16"/>
          <w:szCs w:val="16"/>
        </w:rPr>
        <w:t xml:space="preserve"> or 52</w:t>
      </w:r>
      <w:r w:rsidRPr="00EB30C7">
        <w:rPr>
          <w:color w:val="7F7F7F" w:themeColor="text1" w:themeTint="80"/>
          <w:sz w:val="16"/>
          <w:szCs w:val="16"/>
        </w:rPr>
        <w:t xml:space="preserve"> weeks ending </w:t>
      </w:r>
      <w:r w:rsidR="008B59F7">
        <w:rPr>
          <w:color w:val="7F7F7F" w:themeColor="text1" w:themeTint="80"/>
          <w:sz w:val="16"/>
          <w:szCs w:val="16"/>
        </w:rPr>
        <w:t>9/8</w:t>
      </w:r>
      <w:r w:rsidR="001A2890">
        <w:rPr>
          <w:color w:val="7F7F7F" w:themeColor="text1" w:themeTint="80"/>
          <w:sz w:val="16"/>
          <w:szCs w:val="16"/>
        </w:rPr>
        <w:t>/2024</w:t>
      </w:r>
      <w:r w:rsidR="00B34EF7">
        <w:t xml:space="preserve"> </w:t>
      </w:r>
    </w:p>
    <w:sectPr w:rsidR="000C7E82" w:rsidRPr="00B34EF7" w:rsidSect="003B4E77">
      <w:pgSz w:w="12240" w:h="15840"/>
      <w:pgMar w:top="720" w:right="1080" w:bottom="90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B0CAA4" w14:textId="77777777" w:rsidR="00880E1A" w:rsidRDefault="00880E1A" w:rsidP="004E49DD">
      <w:pPr>
        <w:spacing w:after="0" w:line="240" w:lineRule="auto"/>
      </w:pPr>
      <w:r>
        <w:separator/>
      </w:r>
    </w:p>
  </w:endnote>
  <w:endnote w:type="continuationSeparator" w:id="0">
    <w:p w14:paraId="5445D7F3" w14:textId="77777777" w:rsidR="00880E1A" w:rsidRDefault="00880E1A" w:rsidP="004E4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B789A" w14:textId="77777777" w:rsidR="00880E1A" w:rsidRDefault="00880E1A" w:rsidP="004E49DD">
      <w:pPr>
        <w:spacing w:after="0" w:line="240" w:lineRule="auto"/>
      </w:pPr>
      <w:r>
        <w:separator/>
      </w:r>
    </w:p>
  </w:footnote>
  <w:footnote w:type="continuationSeparator" w:id="0">
    <w:p w14:paraId="0C0BE572" w14:textId="77777777" w:rsidR="00880E1A" w:rsidRDefault="00880E1A" w:rsidP="004E49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E7DB0"/>
    <w:multiLevelType w:val="hybridMultilevel"/>
    <w:tmpl w:val="4F1C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00259"/>
    <w:multiLevelType w:val="hybridMultilevel"/>
    <w:tmpl w:val="908CB5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0D1A02"/>
    <w:multiLevelType w:val="hybridMultilevel"/>
    <w:tmpl w:val="C4AA5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777733"/>
    <w:multiLevelType w:val="hybridMultilevel"/>
    <w:tmpl w:val="C798BCC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0B7EE9"/>
    <w:multiLevelType w:val="hybridMultilevel"/>
    <w:tmpl w:val="2954D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BE75F2"/>
    <w:multiLevelType w:val="hybridMultilevel"/>
    <w:tmpl w:val="3E080B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A87C96"/>
    <w:multiLevelType w:val="hybridMultilevel"/>
    <w:tmpl w:val="BDBA23DE"/>
    <w:lvl w:ilvl="0" w:tplc="648CDD64">
      <w:start w:val="1"/>
      <w:numFmt w:val="bullet"/>
      <w:lvlText w:val=""/>
      <w:lvlJc w:val="left"/>
      <w:pPr>
        <w:tabs>
          <w:tab w:val="num" w:pos="720"/>
        </w:tabs>
        <w:ind w:left="720" w:hanging="360"/>
      </w:pPr>
      <w:rPr>
        <w:rFonts w:ascii="Wingdings" w:hAnsi="Wingdings" w:hint="default"/>
      </w:rPr>
    </w:lvl>
    <w:lvl w:ilvl="1" w:tplc="E13AF354" w:tentative="1">
      <w:start w:val="1"/>
      <w:numFmt w:val="bullet"/>
      <w:lvlText w:val=""/>
      <w:lvlJc w:val="left"/>
      <w:pPr>
        <w:tabs>
          <w:tab w:val="num" w:pos="1440"/>
        </w:tabs>
        <w:ind w:left="1440" w:hanging="360"/>
      </w:pPr>
      <w:rPr>
        <w:rFonts w:ascii="Wingdings" w:hAnsi="Wingdings" w:hint="default"/>
      </w:rPr>
    </w:lvl>
    <w:lvl w:ilvl="2" w:tplc="5F6C3E82" w:tentative="1">
      <w:start w:val="1"/>
      <w:numFmt w:val="bullet"/>
      <w:lvlText w:val=""/>
      <w:lvlJc w:val="left"/>
      <w:pPr>
        <w:tabs>
          <w:tab w:val="num" w:pos="2160"/>
        </w:tabs>
        <w:ind w:left="2160" w:hanging="360"/>
      </w:pPr>
      <w:rPr>
        <w:rFonts w:ascii="Wingdings" w:hAnsi="Wingdings" w:hint="default"/>
      </w:rPr>
    </w:lvl>
    <w:lvl w:ilvl="3" w:tplc="77EC3CA6" w:tentative="1">
      <w:start w:val="1"/>
      <w:numFmt w:val="bullet"/>
      <w:lvlText w:val=""/>
      <w:lvlJc w:val="left"/>
      <w:pPr>
        <w:tabs>
          <w:tab w:val="num" w:pos="2880"/>
        </w:tabs>
        <w:ind w:left="2880" w:hanging="360"/>
      </w:pPr>
      <w:rPr>
        <w:rFonts w:ascii="Wingdings" w:hAnsi="Wingdings" w:hint="default"/>
      </w:rPr>
    </w:lvl>
    <w:lvl w:ilvl="4" w:tplc="F4AE55C4" w:tentative="1">
      <w:start w:val="1"/>
      <w:numFmt w:val="bullet"/>
      <w:lvlText w:val=""/>
      <w:lvlJc w:val="left"/>
      <w:pPr>
        <w:tabs>
          <w:tab w:val="num" w:pos="3600"/>
        </w:tabs>
        <w:ind w:left="3600" w:hanging="360"/>
      </w:pPr>
      <w:rPr>
        <w:rFonts w:ascii="Wingdings" w:hAnsi="Wingdings" w:hint="default"/>
      </w:rPr>
    </w:lvl>
    <w:lvl w:ilvl="5" w:tplc="9F5AA64E" w:tentative="1">
      <w:start w:val="1"/>
      <w:numFmt w:val="bullet"/>
      <w:lvlText w:val=""/>
      <w:lvlJc w:val="left"/>
      <w:pPr>
        <w:tabs>
          <w:tab w:val="num" w:pos="4320"/>
        </w:tabs>
        <w:ind w:left="4320" w:hanging="360"/>
      </w:pPr>
      <w:rPr>
        <w:rFonts w:ascii="Wingdings" w:hAnsi="Wingdings" w:hint="default"/>
      </w:rPr>
    </w:lvl>
    <w:lvl w:ilvl="6" w:tplc="8C10A300" w:tentative="1">
      <w:start w:val="1"/>
      <w:numFmt w:val="bullet"/>
      <w:lvlText w:val=""/>
      <w:lvlJc w:val="left"/>
      <w:pPr>
        <w:tabs>
          <w:tab w:val="num" w:pos="5040"/>
        </w:tabs>
        <w:ind w:left="5040" w:hanging="360"/>
      </w:pPr>
      <w:rPr>
        <w:rFonts w:ascii="Wingdings" w:hAnsi="Wingdings" w:hint="default"/>
      </w:rPr>
    </w:lvl>
    <w:lvl w:ilvl="7" w:tplc="EA264E74" w:tentative="1">
      <w:start w:val="1"/>
      <w:numFmt w:val="bullet"/>
      <w:lvlText w:val=""/>
      <w:lvlJc w:val="left"/>
      <w:pPr>
        <w:tabs>
          <w:tab w:val="num" w:pos="5760"/>
        </w:tabs>
        <w:ind w:left="5760" w:hanging="360"/>
      </w:pPr>
      <w:rPr>
        <w:rFonts w:ascii="Wingdings" w:hAnsi="Wingdings" w:hint="default"/>
      </w:rPr>
    </w:lvl>
    <w:lvl w:ilvl="8" w:tplc="19F8842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106E38"/>
    <w:multiLevelType w:val="hybridMultilevel"/>
    <w:tmpl w:val="682851D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0C5748"/>
    <w:multiLevelType w:val="hybridMultilevel"/>
    <w:tmpl w:val="6DF848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FC3B04"/>
    <w:multiLevelType w:val="hybridMultilevel"/>
    <w:tmpl w:val="7F3CC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03B0A5F"/>
    <w:multiLevelType w:val="hybridMultilevel"/>
    <w:tmpl w:val="07A24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D260834"/>
    <w:multiLevelType w:val="hybridMultilevel"/>
    <w:tmpl w:val="E3142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856333"/>
    <w:multiLevelType w:val="hybridMultilevel"/>
    <w:tmpl w:val="DBDAD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632060"/>
    <w:multiLevelType w:val="hybridMultilevel"/>
    <w:tmpl w:val="727C6D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A543B87"/>
    <w:multiLevelType w:val="hybridMultilevel"/>
    <w:tmpl w:val="F7BE0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B97271D"/>
    <w:multiLevelType w:val="hybridMultilevel"/>
    <w:tmpl w:val="6812E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092F24"/>
    <w:multiLevelType w:val="hybridMultilevel"/>
    <w:tmpl w:val="B5BC8C10"/>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E222FAB"/>
    <w:multiLevelType w:val="hybridMultilevel"/>
    <w:tmpl w:val="D3A4B5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34309E8"/>
    <w:multiLevelType w:val="hybridMultilevel"/>
    <w:tmpl w:val="0F663C8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F185B61"/>
    <w:multiLevelType w:val="hybridMultilevel"/>
    <w:tmpl w:val="E54C3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0E31FD0"/>
    <w:multiLevelType w:val="hybridMultilevel"/>
    <w:tmpl w:val="49DCE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139032F"/>
    <w:multiLevelType w:val="hybridMultilevel"/>
    <w:tmpl w:val="2C6C92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2C266F7"/>
    <w:multiLevelType w:val="hybridMultilevel"/>
    <w:tmpl w:val="AB3EF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51B0A5F"/>
    <w:multiLevelType w:val="hybridMultilevel"/>
    <w:tmpl w:val="20560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6214409"/>
    <w:multiLevelType w:val="hybridMultilevel"/>
    <w:tmpl w:val="3BF6A04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6952958"/>
    <w:multiLevelType w:val="hybridMultilevel"/>
    <w:tmpl w:val="A35C8C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EBC79E5"/>
    <w:multiLevelType w:val="hybridMultilevel"/>
    <w:tmpl w:val="36A25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7137452"/>
    <w:multiLevelType w:val="hybridMultilevel"/>
    <w:tmpl w:val="9800D6F0"/>
    <w:lvl w:ilvl="0" w:tplc="6F08E3BE">
      <w:start w:val="1"/>
      <w:numFmt w:val="bullet"/>
      <w:lvlText w:val=""/>
      <w:lvlJc w:val="left"/>
      <w:pPr>
        <w:tabs>
          <w:tab w:val="num" w:pos="720"/>
        </w:tabs>
        <w:ind w:left="720" w:hanging="360"/>
      </w:pPr>
      <w:rPr>
        <w:rFonts w:ascii="Wingdings" w:hAnsi="Wingdings" w:hint="default"/>
      </w:rPr>
    </w:lvl>
    <w:lvl w:ilvl="1" w:tplc="B6C4224E" w:tentative="1">
      <w:start w:val="1"/>
      <w:numFmt w:val="bullet"/>
      <w:lvlText w:val=""/>
      <w:lvlJc w:val="left"/>
      <w:pPr>
        <w:tabs>
          <w:tab w:val="num" w:pos="1440"/>
        </w:tabs>
        <w:ind w:left="1440" w:hanging="360"/>
      </w:pPr>
      <w:rPr>
        <w:rFonts w:ascii="Wingdings" w:hAnsi="Wingdings" w:hint="default"/>
      </w:rPr>
    </w:lvl>
    <w:lvl w:ilvl="2" w:tplc="4D087FC6" w:tentative="1">
      <w:start w:val="1"/>
      <w:numFmt w:val="bullet"/>
      <w:lvlText w:val=""/>
      <w:lvlJc w:val="left"/>
      <w:pPr>
        <w:tabs>
          <w:tab w:val="num" w:pos="2160"/>
        </w:tabs>
        <w:ind w:left="2160" w:hanging="360"/>
      </w:pPr>
      <w:rPr>
        <w:rFonts w:ascii="Wingdings" w:hAnsi="Wingdings" w:hint="default"/>
      </w:rPr>
    </w:lvl>
    <w:lvl w:ilvl="3" w:tplc="65FAB55C" w:tentative="1">
      <w:start w:val="1"/>
      <w:numFmt w:val="bullet"/>
      <w:lvlText w:val=""/>
      <w:lvlJc w:val="left"/>
      <w:pPr>
        <w:tabs>
          <w:tab w:val="num" w:pos="2880"/>
        </w:tabs>
        <w:ind w:left="2880" w:hanging="360"/>
      </w:pPr>
      <w:rPr>
        <w:rFonts w:ascii="Wingdings" w:hAnsi="Wingdings" w:hint="default"/>
      </w:rPr>
    </w:lvl>
    <w:lvl w:ilvl="4" w:tplc="185CF4B0" w:tentative="1">
      <w:start w:val="1"/>
      <w:numFmt w:val="bullet"/>
      <w:lvlText w:val=""/>
      <w:lvlJc w:val="left"/>
      <w:pPr>
        <w:tabs>
          <w:tab w:val="num" w:pos="3600"/>
        </w:tabs>
        <w:ind w:left="3600" w:hanging="360"/>
      </w:pPr>
      <w:rPr>
        <w:rFonts w:ascii="Wingdings" w:hAnsi="Wingdings" w:hint="default"/>
      </w:rPr>
    </w:lvl>
    <w:lvl w:ilvl="5" w:tplc="867CDEDA" w:tentative="1">
      <w:start w:val="1"/>
      <w:numFmt w:val="bullet"/>
      <w:lvlText w:val=""/>
      <w:lvlJc w:val="left"/>
      <w:pPr>
        <w:tabs>
          <w:tab w:val="num" w:pos="4320"/>
        </w:tabs>
        <w:ind w:left="4320" w:hanging="360"/>
      </w:pPr>
      <w:rPr>
        <w:rFonts w:ascii="Wingdings" w:hAnsi="Wingdings" w:hint="default"/>
      </w:rPr>
    </w:lvl>
    <w:lvl w:ilvl="6" w:tplc="EDC41216" w:tentative="1">
      <w:start w:val="1"/>
      <w:numFmt w:val="bullet"/>
      <w:lvlText w:val=""/>
      <w:lvlJc w:val="left"/>
      <w:pPr>
        <w:tabs>
          <w:tab w:val="num" w:pos="5040"/>
        </w:tabs>
        <w:ind w:left="5040" w:hanging="360"/>
      </w:pPr>
      <w:rPr>
        <w:rFonts w:ascii="Wingdings" w:hAnsi="Wingdings" w:hint="default"/>
      </w:rPr>
    </w:lvl>
    <w:lvl w:ilvl="7" w:tplc="4C782DCE" w:tentative="1">
      <w:start w:val="1"/>
      <w:numFmt w:val="bullet"/>
      <w:lvlText w:val=""/>
      <w:lvlJc w:val="left"/>
      <w:pPr>
        <w:tabs>
          <w:tab w:val="num" w:pos="5760"/>
        </w:tabs>
        <w:ind w:left="5760" w:hanging="360"/>
      </w:pPr>
      <w:rPr>
        <w:rFonts w:ascii="Wingdings" w:hAnsi="Wingdings" w:hint="default"/>
      </w:rPr>
    </w:lvl>
    <w:lvl w:ilvl="8" w:tplc="8112F4A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DD128A"/>
    <w:multiLevelType w:val="hybridMultilevel"/>
    <w:tmpl w:val="E1844B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FBD39AD"/>
    <w:multiLevelType w:val="hybridMultilevel"/>
    <w:tmpl w:val="3A285B6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39222412">
    <w:abstractNumId w:val="15"/>
  </w:num>
  <w:num w:numId="2" w16cid:durableId="1539663145">
    <w:abstractNumId w:val="18"/>
  </w:num>
  <w:num w:numId="3" w16cid:durableId="1019426000">
    <w:abstractNumId w:val="21"/>
  </w:num>
  <w:num w:numId="4" w16cid:durableId="2065565688">
    <w:abstractNumId w:val="9"/>
  </w:num>
  <w:num w:numId="5" w16cid:durableId="1142116832">
    <w:abstractNumId w:val="26"/>
  </w:num>
  <w:num w:numId="6" w16cid:durableId="1981033243">
    <w:abstractNumId w:val="19"/>
  </w:num>
  <w:num w:numId="7" w16cid:durableId="1988632217">
    <w:abstractNumId w:val="11"/>
  </w:num>
  <w:num w:numId="8" w16cid:durableId="457189716">
    <w:abstractNumId w:val="8"/>
  </w:num>
  <w:num w:numId="9" w16cid:durableId="1088042082">
    <w:abstractNumId w:val="5"/>
  </w:num>
  <w:num w:numId="10" w16cid:durableId="1509178242">
    <w:abstractNumId w:val="23"/>
  </w:num>
  <w:num w:numId="11" w16cid:durableId="835345363">
    <w:abstractNumId w:val="7"/>
  </w:num>
  <w:num w:numId="12" w16cid:durableId="1613708314">
    <w:abstractNumId w:val="22"/>
  </w:num>
  <w:num w:numId="13" w16cid:durableId="22021130">
    <w:abstractNumId w:val="10"/>
  </w:num>
  <w:num w:numId="14" w16cid:durableId="1728986829">
    <w:abstractNumId w:val="13"/>
  </w:num>
  <w:num w:numId="15" w16cid:durableId="1687977527">
    <w:abstractNumId w:val="29"/>
  </w:num>
  <w:num w:numId="16" w16cid:durableId="329062806">
    <w:abstractNumId w:val="0"/>
  </w:num>
  <w:num w:numId="17" w16cid:durableId="983967375">
    <w:abstractNumId w:val="16"/>
  </w:num>
  <w:num w:numId="18" w16cid:durableId="2116290029">
    <w:abstractNumId w:val="28"/>
  </w:num>
  <w:num w:numId="19" w16cid:durableId="1827239544">
    <w:abstractNumId w:val="14"/>
  </w:num>
  <w:num w:numId="20" w16cid:durableId="1327322850">
    <w:abstractNumId w:val="24"/>
  </w:num>
  <w:num w:numId="21" w16cid:durableId="660546251">
    <w:abstractNumId w:val="12"/>
  </w:num>
  <w:num w:numId="22" w16cid:durableId="1193807057">
    <w:abstractNumId w:val="1"/>
  </w:num>
  <w:num w:numId="23" w16cid:durableId="1543831966">
    <w:abstractNumId w:val="4"/>
  </w:num>
  <w:num w:numId="24" w16cid:durableId="917178147">
    <w:abstractNumId w:val="20"/>
  </w:num>
  <w:num w:numId="25" w16cid:durableId="671639746">
    <w:abstractNumId w:val="25"/>
  </w:num>
  <w:num w:numId="26" w16cid:durableId="304353632">
    <w:abstractNumId w:val="3"/>
  </w:num>
  <w:num w:numId="27" w16cid:durableId="2082752790">
    <w:abstractNumId w:val="6"/>
  </w:num>
  <w:num w:numId="28" w16cid:durableId="1043211440">
    <w:abstractNumId w:val="27"/>
  </w:num>
  <w:num w:numId="29" w16cid:durableId="615062478">
    <w:abstractNumId w:val="2"/>
  </w:num>
  <w:num w:numId="30" w16cid:durableId="15306062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EF7"/>
    <w:rsid w:val="00002FF4"/>
    <w:rsid w:val="000073AF"/>
    <w:rsid w:val="00014870"/>
    <w:rsid w:val="00015E7B"/>
    <w:rsid w:val="00024D78"/>
    <w:rsid w:val="00026928"/>
    <w:rsid w:val="00030ABF"/>
    <w:rsid w:val="00035D16"/>
    <w:rsid w:val="0003642F"/>
    <w:rsid w:val="00040942"/>
    <w:rsid w:val="0004266D"/>
    <w:rsid w:val="00044279"/>
    <w:rsid w:val="00047054"/>
    <w:rsid w:val="00052654"/>
    <w:rsid w:val="0005390A"/>
    <w:rsid w:val="00057984"/>
    <w:rsid w:val="00070F7C"/>
    <w:rsid w:val="00072B0E"/>
    <w:rsid w:val="0007328F"/>
    <w:rsid w:val="00074705"/>
    <w:rsid w:val="0007660D"/>
    <w:rsid w:val="000809C3"/>
    <w:rsid w:val="00085508"/>
    <w:rsid w:val="00085F10"/>
    <w:rsid w:val="00087F7E"/>
    <w:rsid w:val="00090109"/>
    <w:rsid w:val="0009067E"/>
    <w:rsid w:val="00092E55"/>
    <w:rsid w:val="000963FA"/>
    <w:rsid w:val="000A4146"/>
    <w:rsid w:val="000C03B1"/>
    <w:rsid w:val="000C1DF9"/>
    <w:rsid w:val="000C29FA"/>
    <w:rsid w:val="000C3CC4"/>
    <w:rsid w:val="000C7E82"/>
    <w:rsid w:val="000D5A69"/>
    <w:rsid w:val="000D7A79"/>
    <w:rsid w:val="000E0D6B"/>
    <w:rsid w:val="000E2A1D"/>
    <w:rsid w:val="000E537C"/>
    <w:rsid w:val="000E61FF"/>
    <w:rsid w:val="000F31B1"/>
    <w:rsid w:val="001026FB"/>
    <w:rsid w:val="001055A7"/>
    <w:rsid w:val="00105C56"/>
    <w:rsid w:val="001119BD"/>
    <w:rsid w:val="00113A33"/>
    <w:rsid w:val="0011683C"/>
    <w:rsid w:val="00117FE8"/>
    <w:rsid w:val="00124C8B"/>
    <w:rsid w:val="00124CB7"/>
    <w:rsid w:val="00133971"/>
    <w:rsid w:val="00137C12"/>
    <w:rsid w:val="00142A42"/>
    <w:rsid w:val="00145E27"/>
    <w:rsid w:val="00157136"/>
    <w:rsid w:val="00164656"/>
    <w:rsid w:val="00170260"/>
    <w:rsid w:val="00181944"/>
    <w:rsid w:val="00184281"/>
    <w:rsid w:val="00195B70"/>
    <w:rsid w:val="001A2890"/>
    <w:rsid w:val="001A33F9"/>
    <w:rsid w:val="001A4D44"/>
    <w:rsid w:val="001A601E"/>
    <w:rsid w:val="001B1351"/>
    <w:rsid w:val="001B18A2"/>
    <w:rsid w:val="001B762B"/>
    <w:rsid w:val="001C4DB2"/>
    <w:rsid w:val="001C7D0B"/>
    <w:rsid w:val="001D16CA"/>
    <w:rsid w:val="001D2675"/>
    <w:rsid w:val="001D4C76"/>
    <w:rsid w:val="001E7C8B"/>
    <w:rsid w:val="002007AF"/>
    <w:rsid w:val="00200AD1"/>
    <w:rsid w:val="00201075"/>
    <w:rsid w:val="00205BAF"/>
    <w:rsid w:val="0022081A"/>
    <w:rsid w:val="00221F2D"/>
    <w:rsid w:val="00222054"/>
    <w:rsid w:val="002225C6"/>
    <w:rsid w:val="00224A21"/>
    <w:rsid w:val="002253FE"/>
    <w:rsid w:val="0022580E"/>
    <w:rsid w:val="00226D0D"/>
    <w:rsid w:val="00226EF3"/>
    <w:rsid w:val="00232F2D"/>
    <w:rsid w:val="00240137"/>
    <w:rsid w:val="002437CE"/>
    <w:rsid w:val="00245EFD"/>
    <w:rsid w:val="00250C2D"/>
    <w:rsid w:val="00251BBC"/>
    <w:rsid w:val="00253F46"/>
    <w:rsid w:val="00264BA7"/>
    <w:rsid w:val="00264EDA"/>
    <w:rsid w:val="00266BBD"/>
    <w:rsid w:val="002712E8"/>
    <w:rsid w:val="00273580"/>
    <w:rsid w:val="00276C09"/>
    <w:rsid w:val="00277D7C"/>
    <w:rsid w:val="00281498"/>
    <w:rsid w:val="0028314E"/>
    <w:rsid w:val="00283776"/>
    <w:rsid w:val="00283DB2"/>
    <w:rsid w:val="00284A86"/>
    <w:rsid w:val="0029118F"/>
    <w:rsid w:val="00291F75"/>
    <w:rsid w:val="00292678"/>
    <w:rsid w:val="002B3879"/>
    <w:rsid w:val="002B7DCE"/>
    <w:rsid w:val="002B7E48"/>
    <w:rsid w:val="002E2CD2"/>
    <w:rsid w:val="002F23A1"/>
    <w:rsid w:val="002F442E"/>
    <w:rsid w:val="00300A5F"/>
    <w:rsid w:val="003045B7"/>
    <w:rsid w:val="003070A2"/>
    <w:rsid w:val="0031233D"/>
    <w:rsid w:val="00312734"/>
    <w:rsid w:val="00314DA1"/>
    <w:rsid w:val="00322039"/>
    <w:rsid w:val="003222DB"/>
    <w:rsid w:val="003223C7"/>
    <w:rsid w:val="00323F77"/>
    <w:rsid w:val="003263AC"/>
    <w:rsid w:val="003305B1"/>
    <w:rsid w:val="00337F18"/>
    <w:rsid w:val="00347118"/>
    <w:rsid w:val="00347E3A"/>
    <w:rsid w:val="003516FA"/>
    <w:rsid w:val="00351F79"/>
    <w:rsid w:val="003534A1"/>
    <w:rsid w:val="003621B3"/>
    <w:rsid w:val="00362BB1"/>
    <w:rsid w:val="00363853"/>
    <w:rsid w:val="003648C5"/>
    <w:rsid w:val="00372196"/>
    <w:rsid w:val="00375863"/>
    <w:rsid w:val="00395541"/>
    <w:rsid w:val="00396448"/>
    <w:rsid w:val="003A3323"/>
    <w:rsid w:val="003A5AFE"/>
    <w:rsid w:val="003A6A4B"/>
    <w:rsid w:val="003B4DEB"/>
    <w:rsid w:val="003B4E77"/>
    <w:rsid w:val="003C014B"/>
    <w:rsid w:val="003C1DD2"/>
    <w:rsid w:val="003C4CCE"/>
    <w:rsid w:val="003C72DD"/>
    <w:rsid w:val="003C7AA5"/>
    <w:rsid w:val="003D184D"/>
    <w:rsid w:val="003D3BDA"/>
    <w:rsid w:val="003D3C99"/>
    <w:rsid w:val="003D5B00"/>
    <w:rsid w:val="003D6A0F"/>
    <w:rsid w:val="003E466E"/>
    <w:rsid w:val="003E61D0"/>
    <w:rsid w:val="003E75D3"/>
    <w:rsid w:val="003F4A65"/>
    <w:rsid w:val="003F7344"/>
    <w:rsid w:val="003F77CF"/>
    <w:rsid w:val="003F7D52"/>
    <w:rsid w:val="00403666"/>
    <w:rsid w:val="00406762"/>
    <w:rsid w:val="00410F05"/>
    <w:rsid w:val="00411710"/>
    <w:rsid w:val="004147E0"/>
    <w:rsid w:val="00417945"/>
    <w:rsid w:val="00421D7D"/>
    <w:rsid w:val="00423CCF"/>
    <w:rsid w:val="00424BD4"/>
    <w:rsid w:val="00425C26"/>
    <w:rsid w:val="00432D1F"/>
    <w:rsid w:val="00445779"/>
    <w:rsid w:val="004462C1"/>
    <w:rsid w:val="00451263"/>
    <w:rsid w:val="00455F77"/>
    <w:rsid w:val="0045625B"/>
    <w:rsid w:val="0045784D"/>
    <w:rsid w:val="00461D8C"/>
    <w:rsid w:val="00467FB5"/>
    <w:rsid w:val="00471DC7"/>
    <w:rsid w:val="00472B02"/>
    <w:rsid w:val="0047570E"/>
    <w:rsid w:val="00476A3C"/>
    <w:rsid w:val="00476C12"/>
    <w:rsid w:val="004811FD"/>
    <w:rsid w:val="00483711"/>
    <w:rsid w:val="00485429"/>
    <w:rsid w:val="0048662A"/>
    <w:rsid w:val="00487F75"/>
    <w:rsid w:val="00493AD2"/>
    <w:rsid w:val="00496964"/>
    <w:rsid w:val="004A3A95"/>
    <w:rsid w:val="004A50D2"/>
    <w:rsid w:val="004B6371"/>
    <w:rsid w:val="004B7951"/>
    <w:rsid w:val="004C088A"/>
    <w:rsid w:val="004C1DB1"/>
    <w:rsid w:val="004C2808"/>
    <w:rsid w:val="004C5B27"/>
    <w:rsid w:val="004C625A"/>
    <w:rsid w:val="004E1EE4"/>
    <w:rsid w:val="004E49DD"/>
    <w:rsid w:val="004E4F69"/>
    <w:rsid w:val="004E6889"/>
    <w:rsid w:val="004F04E2"/>
    <w:rsid w:val="004F4C4D"/>
    <w:rsid w:val="004F7487"/>
    <w:rsid w:val="00504377"/>
    <w:rsid w:val="00504861"/>
    <w:rsid w:val="005049A9"/>
    <w:rsid w:val="00511CD0"/>
    <w:rsid w:val="005233A4"/>
    <w:rsid w:val="00525F06"/>
    <w:rsid w:val="00526E95"/>
    <w:rsid w:val="00527BE9"/>
    <w:rsid w:val="00535D22"/>
    <w:rsid w:val="0054182D"/>
    <w:rsid w:val="00541AFF"/>
    <w:rsid w:val="00542C57"/>
    <w:rsid w:val="00543607"/>
    <w:rsid w:val="0055095F"/>
    <w:rsid w:val="00552C5D"/>
    <w:rsid w:val="005547EE"/>
    <w:rsid w:val="00555250"/>
    <w:rsid w:val="005571F3"/>
    <w:rsid w:val="00562346"/>
    <w:rsid w:val="0056284A"/>
    <w:rsid w:val="00591D5D"/>
    <w:rsid w:val="0059588E"/>
    <w:rsid w:val="005A3316"/>
    <w:rsid w:val="005A54F2"/>
    <w:rsid w:val="005B1FEE"/>
    <w:rsid w:val="005B6968"/>
    <w:rsid w:val="005C6AEE"/>
    <w:rsid w:val="005C75C7"/>
    <w:rsid w:val="005E1A66"/>
    <w:rsid w:val="005E212C"/>
    <w:rsid w:val="005E5127"/>
    <w:rsid w:val="005E5FEF"/>
    <w:rsid w:val="005E7FB2"/>
    <w:rsid w:val="005F1173"/>
    <w:rsid w:val="006035CB"/>
    <w:rsid w:val="00606FA3"/>
    <w:rsid w:val="00611140"/>
    <w:rsid w:val="00615709"/>
    <w:rsid w:val="00617504"/>
    <w:rsid w:val="00617712"/>
    <w:rsid w:val="0062044B"/>
    <w:rsid w:val="00620ED9"/>
    <w:rsid w:val="00621E2A"/>
    <w:rsid w:val="00630F34"/>
    <w:rsid w:val="00632993"/>
    <w:rsid w:val="0064102A"/>
    <w:rsid w:val="00645A58"/>
    <w:rsid w:val="00653B33"/>
    <w:rsid w:val="006617FB"/>
    <w:rsid w:val="006636C7"/>
    <w:rsid w:val="00663846"/>
    <w:rsid w:val="00666D40"/>
    <w:rsid w:val="006673B8"/>
    <w:rsid w:val="0066746E"/>
    <w:rsid w:val="00677889"/>
    <w:rsid w:val="00684918"/>
    <w:rsid w:val="00694050"/>
    <w:rsid w:val="00697E4D"/>
    <w:rsid w:val="006A1766"/>
    <w:rsid w:val="006A7A6E"/>
    <w:rsid w:val="006C31E3"/>
    <w:rsid w:val="006C6780"/>
    <w:rsid w:val="006D5DC2"/>
    <w:rsid w:val="006E50F3"/>
    <w:rsid w:val="006F1F55"/>
    <w:rsid w:val="006F64AE"/>
    <w:rsid w:val="006F765A"/>
    <w:rsid w:val="00705769"/>
    <w:rsid w:val="00706FA9"/>
    <w:rsid w:val="007070AC"/>
    <w:rsid w:val="0071051A"/>
    <w:rsid w:val="007106F4"/>
    <w:rsid w:val="00727F74"/>
    <w:rsid w:val="00730897"/>
    <w:rsid w:val="00731933"/>
    <w:rsid w:val="00731BCD"/>
    <w:rsid w:val="00734289"/>
    <w:rsid w:val="00743D95"/>
    <w:rsid w:val="007501A6"/>
    <w:rsid w:val="00752CD4"/>
    <w:rsid w:val="00757C0B"/>
    <w:rsid w:val="007670E1"/>
    <w:rsid w:val="007764C7"/>
    <w:rsid w:val="00782D09"/>
    <w:rsid w:val="00785D0D"/>
    <w:rsid w:val="00787068"/>
    <w:rsid w:val="00787BBD"/>
    <w:rsid w:val="007946B0"/>
    <w:rsid w:val="00795483"/>
    <w:rsid w:val="007A01C9"/>
    <w:rsid w:val="007A0B40"/>
    <w:rsid w:val="007A67D7"/>
    <w:rsid w:val="007B4A25"/>
    <w:rsid w:val="007C1D26"/>
    <w:rsid w:val="007C6DB2"/>
    <w:rsid w:val="007D30DA"/>
    <w:rsid w:val="007D3393"/>
    <w:rsid w:val="007D33D8"/>
    <w:rsid w:val="007D3D1C"/>
    <w:rsid w:val="007F098A"/>
    <w:rsid w:val="007F1F55"/>
    <w:rsid w:val="007F2EF8"/>
    <w:rsid w:val="007F35D3"/>
    <w:rsid w:val="007F7149"/>
    <w:rsid w:val="007F7823"/>
    <w:rsid w:val="00802E32"/>
    <w:rsid w:val="00807BB4"/>
    <w:rsid w:val="00810052"/>
    <w:rsid w:val="00810777"/>
    <w:rsid w:val="0081583F"/>
    <w:rsid w:val="00826014"/>
    <w:rsid w:val="0083255B"/>
    <w:rsid w:val="00832F0A"/>
    <w:rsid w:val="00834A70"/>
    <w:rsid w:val="00837283"/>
    <w:rsid w:val="00851AC9"/>
    <w:rsid w:val="00851FDB"/>
    <w:rsid w:val="0086198D"/>
    <w:rsid w:val="008627B8"/>
    <w:rsid w:val="00863641"/>
    <w:rsid w:val="0086536E"/>
    <w:rsid w:val="00866A7D"/>
    <w:rsid w:val="008717C6"/>
    <w:rsid w:val="00873884"/>
    <w:rsid w:val="00880E1A"/>
    <w:rsid w:val="008815E3"/>
    <w:rsid w:val="008857EE"/>
    <w:rsid w:val="008A084A"/>
    <w:rsid w:val="008A1DBB"/>
    <w:rsid w:val="008A56E2"/>
    <w:rsid w:val="008B128D"/>
    <w:rsid w:val="008B46B0"/>
    <w:rsid w:val="008B59F7"/>
    <w:rsid w:val="008B633D"/>
    <w:rsid w:val="008B6971"/>
    <w:rsid w:val="008B7FFD"/>
    <w:rsid w:val="008C7975"/>
    <w:rsid w:val="008D2A88"/>
    <w:rsid w:val="008D3EBE"/>
    <w:rsid w:val="008E48B1"/>
    <w:rsid w:val="008F2AA0"/>
    <w:rsid w:val="008F5801"/>
    <w:rsid w:val="009040DB"/>
    <w:rsid w:val="0090410F"/>
    <w:rsid w:val="00904C5C"/>
    <w:rsid w:val="00910CD7"/>
    <w:rsid w:val="00911960"/>
    <w:rsid w:val="009169B9"/>
    <w:rsid w:val="00916DE2"/>
    <w:rsid w:val="0092088E"/>
    <w:rsid w:val="00920FBD"/>
    <w:rsid w:val="009232D4"/>
    <w:rsid w:val="00926E8A"/>
    <w:rsid w:val="00927EAC"/>
    <w:rsid w:val="00933A14"/>
    <w:rsid w:val="009362D0"/>
    <w:rsid w:val="0094103D"/>
    <w:rsid w:val="00941C01"/>
    <w:rsid w:val="0094219B"/>
    <w:rsid w:val="00943FF6"/>
    <w:rsid w:val="009442FF"/>
    <w:rsid w:val="00953897"/>
    <w:rsid w:val="00956FE2"/>
    <w:rsid w:val="00957F25"/>
    <w:rsid w:val="009718A1"/>
    <w:rsid w:val="00972570"/>
    <w:rsid w:val="00975AF5"/>
    <w:rsid w:val="00976BF7"/>
    <w:rsid w:val="00977F7F"/>
    <w:rsid w:val="00986D1F"/>
    <w:rsid w:val="00990EE6"/>
    <w:rsid w:val="009A5A3B"/>
    <w:rsid w:val="009B0330"/>
    <w:rsid w:val="009B3A61"/>
    <w:rsid w:val="009B71AE"/>
    <w:rsid w:val="009B7AC3"/>
    <w:rsid w:val="009D40C5"/>
    <w:rsid w:val="009D5574"/>
    <w:rsid w:val="009D6711"/>
    <w:rsid w:val="009E4486"/>
    <w:rsid w:val="009F21E8"/>
    <w:rsid w:val="009F6363"/>
    <w:rsid w:val="00A00697"/>
    <w:rsid w:val="00A050F9"/>
    <w:rsid w:val="00A13601"/>
    <w:rsid w:val="00A142BB"/>
    <w:rsid w:val="00A14586"/>
    <w:rsid w:val="00A14882"/>
    <w:rsid w:val="00A14C2B"/>
    <w:rsid w:val="00A25C11"/>
    <w:rsid w:val="00A30FD1"/>
    <w:rsid w:val="00A337DE"/>
    <w:rsid w:val="00A35305"/>
    <w:rsid w:val="00A36245"/>
    <w:rsid w:val="00A368A7"/>
    <w:rsid w:val="00A41711"/>
    <w:rsid w:val="00A43A45"/>
    <w:rsid w:val="00A447B6"/>
    <w:rsid w:val="00A45D51"/>
    <w:rsid w:val="00A50806"/>
    <w:rsid w:val="00A5084B"/>
    <w:rsid w:val="00A51F5B"/>
    <w:rsid w:val="00A52411"/>
    <w:rsid w:val="00A52B14"/>
    <w:rsid w:val="00A52EB4"/>
    <w:rsid w:val="00A53BAA"/>
    <w:rsid w:val="00A542DA"/>
    <w:rsid w:val="00A62213"/>
    <w:rsid w:val="00A657C4"/>
    <w:rsid w:val="00A668C3"/>
    <w:rsid w:val="00A70428"/>
    <w:rsid w:val="00A72B72"/>
    <w:rsid w:val="00A76558"/>
    <w:rsid w:val="00A80980"/>
    <w:rsid w:val="00A846E4"/>
    <w:rsid w:val="00A86F80"/>
    <w:rsid w:val="00A94A88"/>
    <w:rsid w:val="00A95B14"/>
    <w:rsid w:val="00A96E20"/>
    <w:rsid w:val="00AA721E"/>
    <w:rsid w:val="00AB019A"/>
    <w:rsid w:val="00AB06EA"/>
    <w:rsid w:val="00AB2DDA"/>
    <w:rsid w:val="00AC2BFD"/>
    <w:rsid w:val="00AC2C09"/>
    <w:rsid w:val="00AC5D3F"/>
    <w:rsid w:val="00AC6C8B"/>
    <w:rsid w:val="00AD00F7"/>
    <w:rsid w:val="00AD30B8"/>
    <w:rsid w:val="00AD7044"/>
    <w:rsid w:val="00AD75ED"/>
    <w:rsid w:val="00AE0F54"/>
    <w:rsid w:val="00AE32A2"/>
    <w:rsid w:val="00AE7908"/>
    <w:rsid w:val="00AF14BD"/>
    <w:rsid w:val="00AF55E3"/>
    <w:rsid w:val="00AF5F52"/>
    <w:rsid w:val="00B01FA0"/>
    <w:rsid w:val="00B03343"/>
    <w:rsid w:val="00B0627A"/>
    <w:rsid w:val="00B11421"/>
    <w:rsid w:val="00B135D9"/>
    <w:rsid w:val="00B13706"/>
    <w:rsid w:val="00B1715B"/>
    <w:rsid w:val="00B24BBD"/>
    <w:rsid w:val="00B25DFD"/>
    <w:rsid w:val="00B26CF3"/>
    <w:rsid w:val="00B33A73"/>
    <w:rsid w:val="00B34EF7"/>
    <w:rsid w:val="00B362B8"/>
    <w:rsid w:val="00B367FA"/>
    <w:rsid w:val="00B369A8"/>
    <w:rsid w:val="00B40974"/>
    <w:rsid w:val="00B40C43"/>
    <w:rsid w:val="00B42A49"/>
    <w:rsid w:val="00B42A84"/>
    <w:rsid w:val="00B542D1"/>
    <w:rsid w:val="00B562D5"/>
    <w:rsid w:val="00B615DD"/>
    <w:rsid w:val="00B66E92"/>
    <w:rsid w:val="00B672D0"/>
    <w:rsid w:val="00B67414"/>
    <w:rsid w:val="00B67EE8"/>
    <w:rsid w:val="00B8232B"/>
    <w:rsid w:val="00B913BB"/>
    <w:rsid w:val="00B9392A"/>
    <w:rsid w:val="00B94AB0"/>
    <w:rsid w:val="00B96FC1"/>
    <w:rsid w:val="00B979CF"/>
    <w:rsid w:val="00BA5F60"/>
    <w:rsid w:val="00BB03F4"/>
    <w:rsid w:val="00BB197D"/>
    <w:rsid w:val="00BC1A46"/>
    <w:rsid w:val="00BC34B2"/>
    <w:rsid w:val="00BC63FC"/>
    <w:rsid w:val="00BD6EDF"/>
    <w:rsid w:val="00BD7CF0"/>
    <w:rsid w:val="00BE7EF2"/>
    <w:rsid w:val="00BF16CF"/>
    <w:rsid w:val="00BF2F6B"/>
    <w:rsid w:val="00BF3DAE"/>
    <w:rsid w:val="00BF5D9C"/>
    <w:rsid w:val="00BF62D3"/>
    <w:rsid w:val="00BF713B"/>
    <w:rsid w:val="00C00809"/>
    <w:rsid w:val="00C00CFD"/>
    <w:rsid w:val="00C0288B"/>
    <w:rsid w:val="00C06C77"/>
    <w:rsid w:val="00C12877"/>
    <w:rsid w:val="00C12E18"/>
    <w:rsid w:val="00C25B31"/>
    <w:rsid w:val="00C26518"/>
    <w:rsid w:val="00C329D7"/>
    <w:rsid w:val="00C3750A"/>
    <w:rsid w:val="00C3770B"/>
    <w:rsid w:val="00C422D1"/>
    <w:rsid w:val="00C469D3"/>
    <w:rsid w:val="00C571DD"/>
    <w:rsid w:val="00C61921"/>
    <w:rsid w:val="00C65479"/>
    <w:rsid w:val="00C71FDD"/>
    <w:rsid w:val="00C72284"/>
    <w:rsid w:val="00C81CBF"/>
    <w:rsid w:val="00C8545B"/>
    <w:rsid w:val="00C86BBC"/>
    <w:rsid w:val="00C92074"/>
    <w:rsid w:val="00C954F2"/>
    <w:rsid w:val="00C9550B"/>
    <w:rsid w:val="00CB0BBD"/>
    <w:rsid w:val="00CB4067"/>
    <w:rsid w:val="00CB592A"/>
    <w:rsid w:val="00CB6109"/>
    <w:rsid w:val="00CC4137"/>
    <w:rsid w:val="00CE27CF"/>
    <w:rsid w:val="00CE4BEB"/>
    <w:rsid w:val="00CE621C"/>
    <w:rsid w:val="00D010B5"/>
    <w:rsid w:val="00D03B05"/>
    <w:rsid w:val="00D06A72"/>
    <w:rsid w:val="00D116C0"/>
    <w:rsid w:val="00D1241B"/>
    <w:rsid w:val="00D131C5"/>
    <w:rsid w:val="00D14991"/>
    <w:rsid w:val="00D15B2D"/>
    <w:rsid w:val="00D2073F"/>
    <w:rsid w:val="00D22E21"/>
    <w:rsid w:val="00D261F8"/>
    <w:rsid w:val="00D26DE8"/>
    <w:rsid w:val="00D305A5"/>
    <w:rsid w:val="00D31C81"/>
    <w:rsid w:val="00D3797F"/>
    <w:rsid w:val="00D44344"/>
    <w:rsid w:val="00D4752E"/>
    <w:rsid w:val="00D55AB1"/>
    <w:rsid w:val="00D66EF8"/>
    <w:rsid w:val="00D76F32"/>
    <w:rsid w:val="00D81FBA"/>
    <w:rsid w:val="00D8225F"/>
    <w:rsid w:val="00D8798E"/>
    <w:rsid w:val="00D9097A"/>
    <w:rsid w:val="00D96AEE"/>
    <w:rsid w:val="00D97BC7"/>
    <w:rsid w:val="00DA553C"/>
    <w:rsid w:val="00DB35E6"/>
    <w:rsid w:val="00DB764D"/>
    <w:rsid w:val="00DD1737"/>
    <w:rsid w:val="00DD58ED"/>
    <w:rsid w:val="00DD59DA"/>
    <w:rsid w:val="00DE4C4C"/>
    <w:rsid w:val="00DE66CE"/>
    <w:rsid w:val="00DE7CE5"/>
    <w:rsid w:val="00DF1F77"/>
    <w:rsid w:val="00E20285"/>
    <w:rsid w:val="00E20E22"/>
    <w:rsid w:val="00E22317"/>
    <w:rsid w:val="00E229C8"/>
    <w:rsid w:val="00E23359"/>
    <w:rsid w:val="00E25C6B"/>
    <w:rsid w:val="00E26986"/>
    <w:rsid w:val="00E26AD1"/>
    <w:rsid w:val="00E34CF4"/>
    <w:rsid w:val="00E3597B"/>
    <w:rsid w:val="00E37DF5"/>
    <w:rsid w:val="00E4438B"/>
    <w:rsid w:val="00E46DB2"/>
    <w:rsid w:val="00E4705F"/>
    <w:rsid w:val="00E477C3"/>
    <w:rsid w:val="00E508BB"/>
    <w:rsid w:val="00E54683"/>
    <w:rsid w:val="00E57C49"/>
    <w:rsid w:val="00E629E0"/>
    <w:rsid w:val="00E65269"/>
    <w:rsid w:val="00E65A4C"/>
    <w:rsid w:val="00E66BFD"/>
    <w:rsid w:val="00E72D31"/>
    <w:rsid w:val="00E758A0"/>
    <w:rsid w:val="00E81634"/>
    <w:rsid w:val="00E83CBD"/>
    <w:rsid w:val="00E85C62"/>
    <w:rsid w:val="00EA0CB5"/>
    <w:rsid w:val="00EB090C"/>
    <w:rsid w:val="00EB30C7"/>
    <w:rsid w:val="00EB5C11"/>
    <w:rsid w:val="00ED0859"/>
    <w:rsid w:val="00ED2B2E"/>
    <w:rsid w:val="00EE6AB6"/>
    <w:rsid w:val="00EF1E09"/>
    <w:rsid w:val="00EF1F27"/>
    <w:rsid w:val="00EF20EE"/>
    <w:rsid w:val="00EF25E4"/>
    <w:rsid w:val="00F02776"/>
    <w:rsid w:val="00F04FAB"/>
    <w:rsid w:val="00F06A94"/>
    <w:rsid w:val="00F0742E"/>
    <w:rsid w:val="00F12F2D"/>
    <w:rsid w:val="00F16E5F"/>
    <w:rsid w:val="00F20BAF"/>
    <w:rsid w:val="00F2310D"/>
    <w:rsid w:val="00F24118"/>
    <w:rsid w:val="00F24969"/>
    <w:rsid w:val="00F26DD2"/>
    <w:rsid w:val="00F273C5"/>
    <w:rsid w:val="00F31822"/>
    <w:rsid w:val="00F341A6"/>
    <w:rsid w:val="00F40BC0"/>
    <w:rsid w:val="00F4460A"/>
    <w:rsid w:val="00F47EA1"/>
    <w:rsid w:val="00F55228"/>
    <w:rsid w:val="00F5571F"/>
    <w:rsid w:val="00F565B7"/>
    <w:rsid w:val="00F57DFC"/>
    <w:rsid w:val="00F65EBE"/>
    <w:rsid w:val="00F71485"/>
    <w:rsid w:val="00F800A5"/>
    <w:rsid w:val="00F86B08"/>
    <w:rsid w:val="00F93404"/>
    <w:rsid w:val="00F96C98"/>
    <w:rsid w:val="00FA0530"/>
    <w:rsid w:val="00FA1CDF"/>
    <w:rsid w:val="00FA3219"/>
    <w:rsid w:val="00FA7124"/>
    <w:rsid w:val="00FB15C0"/>
    <w:rsid w:val="00FB7E9E"/>
    <w:rsid w:val="00FC01AA"/>
    <w:rsid w:val="00FC1B34"/>
    <w:rsid w:val="00FC2E5F"/>
    <w:rsid w:val="00FC364A"/>
    <w:rsid w:val="00FC3E0A"/>
    <w:rsid w:val="00FC53C7"/>
    <w:rsid w:val="00FC56B0"/>
    <w:rsid w:val="00FE57C6"/>
    <w:rsid w:val="00FE6030"/>
    <w:rsid w:val="00FF2D4A"/>
    <w:rsid w:val="00FF42F9"/>
    <w:rsid w:val="00FF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26CF"/>
  <w15:chartTrackingRefBased/>
  <w15:docId w15:val="{88E0E6D9-E49F-4D55-878F-F966AA63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ED9"/>
    <w:pPr>
      <w:keepNext/>
      <w:keepLines/>
      <w:spacing w:before="240" w:after="0"/>
      <w:outlineLvl w:val="0"/>
    </w:pPr>
    <w:rPr>
      <w:rFonts w:asciiTheme="majorHAnsi" w:eastAsiaTheme="majorEastAsia" w:hAnsiTheme="majorHAnsi" w:cstheme="majorBidi"/>
      <w:color w:val="BB7336" w:themeColor="accent1" w:themeShade="BF"/>
      <w:sz w:val="32"/>
      <w:szCs w:val="32"/>
    </w:rPr>
  </w:style>
  <w:style w:type="paragraph" w:styleId="Heading2">
    <w:name w:val="heading 2"/>
    <w:basedOn w:val="Normal"/>
    <w:next w:val="Normal"/>
    <w:link w:val="Heading2Char"/>
    <w:uiPriority w:val="9"/>
    <w:unhideWhenUsed/>
    <w:qFormat/>
    <w:rsid w:val="00927EAC"/>
    <w:pPr>
      <w:keepNext/>
      <w:keepLines/>
      <w:spacing w:before="40" w:after="0"/>
      <w:outlineLvl w:val="1"/>
    </w:pPr>
    <w:rPr>
      <w:rFonts w:asciiTheme="majorHAnsi" w:eastAsiaTheme="majorEastAsia" w:hAnsiTheme="majorHAnsi" w:cstheme="majorBidi"/>
      <w:color w:val="BB733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34EF7"/>
    <w:pPr>
      <w:spacing w:after="0" w:line="240" w:lineRule="auto"/>
    </w:pPr>
  </w:style>
  <w:style w:type="paragraph" w:styleId="Title">
    <w:name w:val="Title"/>
    <w:basedOn w:val="Normal"/>
    <w:next w:val="Normal"/>
    <w:link w:val="TitleChar"/>
    <w:uiPriority w:val="10"/>
    <w:qFormat/>
    <w:rsid w:val="00B34E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EF7"/>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920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4">
    <w:name w:val="List Table 3 Accent 4"/>
    <w:basedOn w:val="TableNormal"/>
    <w:uiPriority w:val="48"/>
    <w:rsid w:val="00124CB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2">
    <w:name w:val="List Table 3 Accent 2"/>
    <w:basedOn w:val="TableNormal"/>
    <w:uiPriority w:val="48"/>
    <w:rsid w:val="00124CB7"/>
    <w:pPr>
      <w:spacing w:after="0" w:line="240" w:lineRule="auto"/>
    </w:pPr>
    <w:tblPr>
      <w:tblStyleRowBandSize w:val="1"/>
      <w:tblStyleColBandSize w:val="1"/>
      <w:tblBorders>
        <w:top w:val="single" w:sz="4" w:space="0" w:color="E85D04" w:themeColor="accent2"/>
        <w:left w:val="single" w:sz="4" w:space="0" w:color="E85D04" w:themeColor="accent2"/>
        <w:bottom w:val="single" w:sz="4" w:space="0" w:color="E85D04" w:themeColor="accent2"/>
        <w:right w:val="single" w:sz="4" w:space="0" w:color="E85D04" w:themeColor="accent2"/>
      </w:tblBorders>
    </w:tblPr>
    <w:tblStylePr w:type="firstRow">
      <w:rPr>
        <w:b/>
        <w:bCs/>
        <w:color w:val="FFFFFF" w:themeColor="background1"/>
      </w:rPr>
      <w:tblPr/>
      <w:tcPr>
        <w:shd w:val="clear" w:color="auto" w:fill="E85D04" w:themeFill="accent2"/>
      </w:tcPr>
    </w:tblStylePr>
    <w:tblStylePr w:type="lastRow">
      <w:rPr>
        <w:b/>
        <w:bCs/>
      </w:rPr>
      <w:tblPr/>
      <w:tcPr>
        <w:tcBorders>
          <w:top w:val="double" w:sz="4" w:space="0" w:color="E85D0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5D04" w:themeColor="accent2"/>
          <w:right w:val="single" w:sz="4" w:space="0" w:color="E85D04" w:themeColor="accent2"/>
        </w:tcBorders>
      </w:tcPr>
    </w:tblStylePr>
    <w:tblStylePr w:type="band1Horz">
      <w:tblPr/>
      <w:tcPr>
        <w:tcBorders>
          <w:top w:val="single" w:sz="4" w:space="0" w:color="E85D04" w:themeColor="accent2"/>
          <w:bottom w:val="single" w:sz="4" w:space="0" w:color="E85D0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5D04" w:themeColor="accent2"/>
          <w:left w:val="nil"/>
        </w:tcBorders>
      </w:tcPr>
    </w:tblStylePr>
    <w:tblStylePr w:type="swCell">
      <w:tblPr/>
      <w:tcPr>
        <w:tcBorders>
          <w:top w:val="double" w:sz="4" w:space="0" w:color="E85D04" w:themeColor="accent2"/>
          <w:right w:val="nil"/>
        </w:tcBorders>
      </w:tcPr>
    </w:tblStylePr>
  </w:style>
  <w:style w:type="character" w:customStyle="1" w:styleId="Heading2Char">
    <w:name w:val="Heading 2 Char"/>
    <w:basedOn w:val="DefaultParagraphFont"/>
    <w:link w:val="Heading2"/>
    <w:uiPriority w:val="9"/>
    <w:rsid w:val="00927EAC"/>
    <w:rPr>
      <w:rFonts w:asciiTheme="majorHAnsi" w:eastAsiaTheme="majorEastAsia" w:hAnsiTheme="majorHAnsi" w:cstheme="majorBidi"/>
      <w:color w:val="BB7336" w:themeColor="accent1" w:themeShade="BF"/>
      <w:sz w:val="26"/>
      <w:szCs w:val="26"/>
    </w:rPr>
  </w:style>
  <w:style w:type="table" w:styleId="LightShading-Accent5">
    <w:name w:val="Light Shading Accent 5"/>
    <w:basedOn w:val="TableNormal"/>
    <w:uiPriority w:val="60"/>
    <w:rsid w:val="00D9097A"/>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NoSpacingChar">
    <w:name w:val="No Spacing Char"/>
    <w:basedOn w:val="DefaultParagraphFont"/>
    <w:link w:val="NoSpacing"/>
    <w:uiPriority w:val="1"/>
    <w:rsid w:val="00D9097A"/>
  </w:style>
  <w:style w:type="table" w:styleId="GridTable4-Accent2">
    <w:name w:val="Grid Table 4 Accent 2"/>
    <w:basedOn w:val="TableNormal"/>
    <w:uiPriority w:val="49"/>
    <w:rsid w:val="00EE6AB6"/>
    <w:pPr>
      <w:spacing w:after="0" w:line="240" w:lineRule="auto"/>
    </w:pPr>
    <w:tblPr>
      <w:tblStyleRowBandSize w:val="1"/>
      <w:tblStyleColBandSize w:val="1"/>
      <w:tblBorders>
        <w:top w:val="single" w:sz="4" w:space="0" w:color="FC9A5D" w:themeColor="accent2" w:themeTint="99"/>
        <w:left w:val="single" w:sz="4" w:space="0" w:color="FC9A5D" w:themeColor="accent2" w:themeTint="99"/>
        <w:bottom w:val="single" w:sz="4" w:space="0" w:color="FC9A5D" w:themeColor="accent2" w:themeTint="99"/>
        <w:right w:val="single" w:sz="4" w:space="0" w:color="FC9A5D" w:themeColor="accent2" w:themeTint="99"/>
        <w:insideH w:val="single" w:sz="4" w:space="0" w:color="FC9A5D" w:themeColor="accent2" w:themeTint="99"/>
        <w:insideV w:val="single" w:sz="4" w:space="0" w:color="FC9A5D" w:themeColor="accent2" w:themeTint="99"/>
      </w:tblBorders>
    </w:tblPr>
    <w:tblStylePr w:type="firstRow">
      <w:rPr>
        <w:b/>
        <w:bCs/>
        <w:color w:val="FFFFFF" w:themeColor="background1"/>
      </w:rPr>
      <w:tblPr/>
      <w:tcPr>
        <w:tcBorders>
          <w:top w:val="single" w:sz="4" w:space="0" w:color="E85D04" w:themeColor="accent2"/>
          <w:left w:val="single" w:sz="4" w:space="0" w:color="E85D04" w:themeColor="accent2"/>
          <w:bottom w:val="single" w:sz="4" w:space="0" w:color="E85D04" w:themeColor="accent2"/>
          <w:right w:val="single" w:sz="4" w:space="0" w:color="E85D04" w:themeColor="accent2"/>
          <w:insideH w:val="nil"/>
          <w:insideV w:val="nil"/>
        </w:tcBorders>
        <w:shd w:val="clear" w:color="auto" w:fill="E85D04" w:themeFill="accent2"/>
      </w:tcPr>
    </w:tblStylePr>
    <w:tblStylePr w:type="lastRow">
      <w:rPr>
        <w:b/>
        <w:bCs/>
      </w:rPr>
      <w:tblPr/>
      <w:tcPr>
        <w:tcBorders>
          <w:top w:val="double" w:sz="4" w:space="0" w:color="E85D04" w:themeColor="accent2"/>
        </w:tcBorders>
      </w:tcPr>
    </w:tblStylePr>
    <w:tblStylePr w:type="firstCol">
      <w:rPr>
        <w:b/>
        <w:bCs/>
      </w:rPr>
    </w:tblStylePr>
    <w:tblStylePr w:type="lastCol">
      <w:rPr>
        <w:b/>
        <w:bCs/>
      </w:rPr>
    </w:tblStylePr>
    <w:tblStylePr w:type="band1Vert">
      <w:tblPr/>
      <w:tcPr>
        <w:shd w:val="clear" w:color="auto" w:fill="FEDDC8" w:themeFill="accent2" w:themeFillTint="33"/>
      </w:tcPr>
    </w:tblStylePr>
    <w:tblStylePr w:type="band1Horz">
      <w:tblPr/>
      <w:tcPr>
        <w:shd w:val="clear" w:color="auto" w:fill="FEDDC8" w:themeFill="accent2" w:themeFillTint="33"/>
      </w:tcPr>
    </w:tblStylePr>
  </w:style>
  <w:style w:type="paragraph" w:styleId="Header">
    <w:name w:val="header"/>
    <w:basedOn w:val="Normal"/>
    <w:link w:val="HeaderChar"/>
    <w:uiPriority w:val="99"/>
    <w:unhideWhenUsed/>
    <w:rsid w:val="004E49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4E49DD"/>
  </w:style>
  <w:style w:type="paragraph" w:styleId="Footer">
    <w:name w:val="footer"/>
    <w:basedOn w:val="Normal"/>
    <w:link w:val="FooterChar"/>
    <w:uiPriority w:val="99"/>
    <w:unhideWhenUsed/>
    <w:rsid w:val="004E49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E49DD"/>
  </w:style>
  <w:style w:type="table" w:styleId="ListTable6Colorful-Accent2">
    <w:name w:val="List Table 6 Colorful Accent 2"/>
    <w:basedOn w:val="TableNormal"/>
    <w:uiPriority w:val="51"/>
    <w:rsid w:val="00184281"/>
    <w:pPr>
      <w:spacing w:after="0" w:line="240" w:lineRule="auto"/>
    </w:pPr>
    <w:rPr>
      <w:color w:val="AD4503" w:themeColor="accent2" w:themeShade="BF"/>
    </w:rPr>
    <w:tblPr>
      <w:tblStyleRowBandSize w:val="1"/>
      <w:tblStyleColBandSize w:val="1"/>
      <w:tblBorders>
        <w:top w:val="single" w:sz="4" w:space="0" w:color="E85D04" w:themeColor="accent2"/>
        <w:bottom w:val="single" w:sz="4" w:space="0" w:color="E85D04" w:themeColor="accent2"/>
      </w:tblBorders>
    </w:tblPr>
    <w:tblStylePr w:type="firstRow">
      <w:rPr>
        <w:b/>
        <w:bCs/>
      </w:rPr>
      <w:tblPr/>
      <w:tcPr>
        <w:tcBorders>
          <w:bottom w:val="single" w:sz="4" w:space="0" w:color="E85D04" w:themeColor="accent2"/>
        </w:tcBorders>
      </w:tcPr>
    </w:tblStylePr>
    <w:tblStylePr w:type="lastRow">
      <w:rPr>
        <w:b/>
        <w:bCs/>
      </w:rPr>
      <w:tblPr/>
      <w:tcPr>
        <w:tcBorders>
          <w:top w:val="double" w:sz="4" w:space="0" w:color="E85D04" w:themeColor="accent2"/>
        </w:tcBorders>
      </w:tcPr>
    </w:tblStylePr>
    <w:tblStylePr w:type="firstCol">
      <w:rPr>
        <w:b/>
        <w:bCs/>
      </w:rPr>
    </w:tblStylePr>
    <w:tblStylePr w:type="lastCol">
      <w:rPr>
        <w:b/>
        <w:bCs/>
      </w:rPr>
    </w:tblStylePr>
    <w:tblStylePr w:type="band1Vert">
      <w:tblPr/>
      <w:tcPr>
        <w:shd w:val="clear" w:color="auto" w:fill="FEDDC8" w:themeFill="accent2" w:themeFillTint="33"/>
      </w:tcPr>
    </w:tblStylePr>
    <w:tblStylePr w:type="band1Horz">
      <w:tblPr/>
      <w:tcPr>
        <w:shd w:val="clear" w:color="auto" w:fill="FEDDC8" w:themeFill="accent2" w:themeFillTint="33"/>
      </w:tcPr>
    </w:tblStylePr>
  </w:style>
  <w:style w:type="paragraph" w:styleId="ListParagraph">
    <w:name w:val="List Paragraph"/>
    <w:aliases w:val="FooterText,Bullet List,cS List Paragraph,numbered,Paragraphe de liste1,Bulletr List Paragraph,列  出  段  落,列  出  段  落  1,List Paragraph2,List Paragraph21,List Paragraph11,Parágrafo da Lista1,Párrafo de lista1,リ  ス  ト  段  落  1,Listeafsnit1"/>
    <w:basedOn w:val="Normal"/>
    <w:link w:val="ListParagraphChar"/>
    <w:uiPriority w:val="34"/>
    <w:qFormat/>
    <w:rsid w:val="007764C7"/>
    <w:pPr>
      <w:ind w:left="720"/>
      <w:contextualSpacing/>
    </w:pPr>
  </w:style>
  <w:style w:type="character" w:customStyle="1" w:styleId="Heading1Char">
    <w:name w:val="Heading 1 Char"/>
    <w:basedOn w:val="DefaultParagraphFont"/>
    <w:link w:val="Heading1"/>
    <w:uiPriority w:val="9"/>
    <w:rsid w:val="00620ED9"/>
    <w:rPr>
      <w:rFonts w:asciiTheme="majorHAnsi" w:eastAsiaTheme="majorEastAsia" w:hAnsiTheme="majorHAnsi" w:cstheme="majorBidi"/>
      <w:color w:val="BB7336" w:themeColor="accent1" w:themeShade="BF"/>
      <w:sz w:val="32"/>
      <w:szCs w:val="32"/>
    </w:rPr>
  </w:style>
  <w:style w:type="table" w:styleId="ListTable1Light-Accent4">
    <w:name w:val="List Table 1 Light Accent 4"/>
    <w:basedOn w:val="TableNormal"/>
    <w:uiPriority w:val="46"/>
    <w:rsid w:val="005B1FEE"/>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NormalWeb">
    <w:name w:val="Normal (Web)"/>
    <w:basedOn w:val="Normal"/>
    <w:uiPriority w:val="99"/>
    <w:semiHidden/>
    <w:unhideWhenUsed/>
    <w:rsid w:val="00222054"/>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ListParagraphChar">
    <w:name w:val="List Paragraph Char"/>
    <w:aliases w:val="FooterText Char,Bullet List Char,cS List Paragraph Char,numbered Char,Paragraphe de liste1 Char,Bulletr List Paragraph Char,列  出  段  落 Char,列  出  段  落  1 Char,List Paragraph2 Char,List Paragraph21 Char,List Paragraph11 Char"/>
    <w:basedOn w:val="DefaultParagraphFont"/>
    <w:link w:val="ListParagraph"/>
    <w:uiPriority w:val="34"/>
    <w:locked/>
    <w:rsid w:val="00226D0D"/>
  </w:style>
  <w:style w:type="table" w:styleId="ListTable1Light-Accent1">
    <w:name w:val="List Table 1 Light Accent 1"/>
    <w:basedOn w:val="TableNormal"/>
    <w:uiPriority w:val="46"/>
    <w:rsid w:val="00226D0D"/>
    <w:pPr>
      <w:spacing w:after="0" w:line="240" w:lineRule="auto"/>
    </w:pPr>
    <w:tblPr>
      <w:tblStyleRowBandSize w:val="1"/>
      <w:tblStyleColBandSize w:val="1"/>
    </w:tblPr>
    <w:tblStylePr w:type="firstRow">
      <w:rPr>
        <w:b/>
        <w:bCs/>
      </w:rPr>
      <w:tblPr/>
      <w:tcPr>
        <w:tcBorders>
          <w:bottom w:val="single" w:sz="4" w:space="0" w:color="E5C4A7" w:themeColor="accent1" w:themeTint="99"/>
        </w:tcBorders>
      </w:tcPr>
    </w:tblStylePr>
    <w:tblStylePr w:type="lastRow">
      <w:rPr>
        <w:b/>
        <w:bCs/>
      </w:rPr>
      <w:tblPr/>
      <w:tcPr>
        <w:tcBorders>
          <w:top w:val="single" w:sz="4" w:space="0" w:color="E5C4A7" w:themeColor="accent1" w:themeTint="99"/>
        </w:tcBorders>
      </w:tcPr>
    </w:tblStylePr>
    <w:tblStylePr w:type="firstCol">
      <w:rPr>
        <w:b/>
        <w:bCs/>
      </w:rPr>
    </w:tblStylePr>
    <w:tblStylePr w:type="lastCol">
      <w:rPr>
        <w:b/>
        <w:bCs/>
      </w:rPr>
    </w:tblStylePr>
    <w:tblStylePr w:type="band1Vert">
      <w:tblPr/>
      <w:tcPr>
        <w:shd w:val="clear" w:color="auto" w:fill="F6EBE1" w:themeFill="accent1" w:themeFillTint="33"/>
      </w:tcPr>
    </w:tblStylePr>
    <w:tblStylePr w:type="band1Horz">
      <w:tblPr/>
      <w:tcPr>
        <w:shd w:val="clear" w:color="auto" w:fill="F6EBE1" w:themeFill="accent1" w:themeFillTint="33"/>
      </w:tcPr>
    </w:tblStylePr>
  </w:style>
  <w:style w:type="paragraph" w:styleId="CommentText">
    <w:name w:val="annotation text"/>
    <w:basedOn w:val="Normal"/>
    <w:link w:val="CommentTextChar"/>
    <w:uiPriority w:val="99"/>
    <w:semiHidden/>
    <w:unhideWhenUsed/>
    <w:rsid w:val="0064102A"/>
    <w:pPr>
      <w:spacing w:line="240" w:lineRule="auto"/>
    </w:pPr>
    <w:rPr>
      <w:sz w:val="20"/>
      <w:szCs w:val="20"/>
    </w:rPr>
  </w:style>
  <w:style w:type="character" w:customStyle="1" w:styleId="CommentTextChar">
    <w:name w:val="Comment Text Char"/>
    <w:basedOn w:val="DefaultParagraphFont"/>
    <w:link w:val="CommentText"/>
    <w:uiPriority w:val="99"/>
    <w:semiHidden/>
    <w:rsid w:val="0064102A"/>
    <w:rPr>
      <w:sz w:val="20"/>
      <w:szCs w:val="20"/>
    </w:rPr>
  </w:style>
  <w:style w:type="paragraph" w:styleId="CommentSubject">
    <w:name w:val="annotation subject"/>
    <w:basedOn w:val="CommentText"/>
    <w:next w:val="CommentText"/>
    <w:link w:val="CommentSubjectChar"/>
    <w:uiPriority w:val="99"/>
    <w:semiHidden/>
    <w:unhideWhenUsed/>
    <w:rsid w:val="0064102A"/>
    <w:pPr>
      <w:spacing w:after="200"/>
    </w:pPr>
    <w:rPr>
      <w:b/>
      <w:bCs/>
    </w:rPr>
  </w:style>
  <w:style w:type="character" w:customStyle="1" w:styleId="CommentSubjectChar">
    <w:name w:val="Comment Subject Char"/>
    <w:basedOn w:val="CommentTextChar"/>
    <w:link w:val="CommentSubject"/>
    <w:uiPriority w:val="99"/>
    <w:semiHidden/>
    <w:rsid w:val="0064102A"/>
    <w:rPr>
      <w:b/>
      <w:bCs/>
      <w:sz w:val="20"/>
      <w:szCs w:val="20"/>
    </w:rPr>
  </w:style>
  <w:style w:type="table" w:styleId="ListTable3-Accent3">
    <w:name w:val="List Table 3 Accent 3"/>
    <w:basedOn w:val="TableNormal"/>
    <w:uiPriority w:val="48"/>
    <w:rsid w:val="00D3797F"/>
    <w:pPr>
      <w:spacing w:after="0" w:line="240" w:lineRule="auto"/>
    </w:pPr>
    <w:tblPr>
      <w:tblStyleRowBandSize w:val="1"/>
      <w:tblStyleColBandSize w:val="1"/>
      <w:tblBorders>
        <w:top w:val="single" w:sz="4" w:space="0" w:color="DC2F02" w:themeColor="accent3"/>
        <w:left w:val="single" w:sz="4" w:space="0" w:color="DC2F02" w:themeColor="accent3"/>
        <w:bottom w:val="single" w:sz="4" w:space="0" w:color="DC2F02" w:themeColor="accent3"/>
        <w:right w:val="single" w:sz="4" w:space="0" w:color="DC2F02" w:themeColor="accent3"/>
      </w:tblBorders>
    </w:tblPr>
    <w:tblStylePr w:type="firstRow">
      <w:rPr>
        <w:b/>
        <w:bCs/>
        <w:color w:val="FFFFFF" w:themeColor="background1"/>
      </w:rPr>
      <w:tblPr/>
      <w:tcPr>
        <w:shd w:val="clear" w:color="auto" w:fill="DC2F02" w:themeFill="accent3"/>
      </w:tcPr>
    </w:tblStylePr>
    <w:tblStylePr w:type="lastRow">
      <w:rPr>
        <w:b/>
        <w:bCs/>
      </w:rPr>
      <w:tblPr/>
      <w:tcPr>
        <w:tcBorders>
          <w:top w:val="double" w:sz="4" w:space="0" w:color="DC2F0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C2F02" w:themeColor="accent3"/>
          <w:right w:val="single" w:sz="4" w:space="0" w:color="DC2F02" w:themeColor="accent3"/>
        </w:tcBorders>
      </w:tcPr>
    </w:tblStylePr>
    <w:tblStylePr w:type="band1Horz">
      <w:tblPr/>
      <w:tcPr>
        <w:tcBorders>
          <w:top w:val="single" w:sz="4" w:space="0" w:color="DC2F02" w:themeColor="accent3"/>
          <w:bottom w:val="single" w:sz="4" w:space="0" w:color="DC2F0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C2F02" w:themeColor="accent3"/>
          <w:left w:val="nil"/>
        </w:tcBorders>
      </w:tcPr>
    </w:tblStylePr>
    <w:tblStylePr w:type="swCell">
      <w:tblPr/>
      <w:tcPr>
        <w:tcBorders>
          <w:top w:val="double" w:sz="4" w:space="0" w:color="DC2F02"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47200">
      <w:bodyDiv w:val="1"/>
      <w:marLeft w:val="0"/>
      <w:marRight w:val="0"/>
      <w:marTop w:val="0"/>
      <w:marBottom w:val="0"/>
      <w:divBdr>
        <w:top w:val="none" w:sz="0" w:space="0" w:color="auto"/>
        <w:left w:val="none" w:sz="0" w:space="0" w:color="auto"/>
        <w:bottom w:val="none" w:sz="0" w:space="0" w:color="auto"/>
        <w:right w:val="none" w:sz="0" w:space="0" w:color="auto"/>
      </w:divBdr>
    </w:div>
    <w:div w:id="41682013">
      <w:bodyDiv w:val="1"/>
      <w:marLeft w:val="0"/>
      <w:marRight w:val="0"/>
      <w:marTop w:val="0"/>
      <w:marBottom w:val="0"/>
      <w:divBdr>
        <w:top w:val="none" w:sz="0" w:space="0" w:color="auto"/>
        <w:left w:val="none" w:sz="0" w:space="0" w:color="auto"/>
        <w:bottom w:val="none" w:sz="0" w:space="0" w:color="auto"/>
        <w:right w:val="none" w:sz="0" w:space="0" w:color="auto"/>
      </w:divBdr>
    </w:div>
    <w:div w:id="69622847">
      <w:bodyDiv w:val="1"/>
      <w:marLeft w:val="0"/>
      <w:marRight w:val="0"/>
      <w:marTop w:val="0"/>
      <w:marBottom w:val="0"/>
      <w:divBdr>
        <w:top w:val="none" w:sz="0" w:space="0" w:color="auto"/>
        <w:left w:val="none" w:sz="0" w:space="0" w:color="auto"/>
        <w:bottom w:val="none" w:sz="0" w:space="0" w:color="auto"/>
        <w:right w:val="none" w:sz="0" w:space="0" w:color="auto"/>
      </w:divBdr>
    </w:div>
    <w:div w:id="300817836">
      <w:bodyDiv w:val="1"/>
      <w:marLeft w:val="0"/>
      <w:marRight w:val="0"/>
      <w:marTop w:val="0"/>
      <w:marBottom w:val="0"/>
      <w:divBdr>
        <w:top w:val="none" w:sz="0" w:space="0" w:color="auto"/>
        <w:left w:val="none" w:sz="0" w:space="0" w:color="auto"/>
        <w:bottom w:val="none" w:sz="0" w:space="0" w:color="auto"/>
        <w:right w:val="none" w:sz="0" w:space="0" w:color="auto"/>
      </w:divBdr>
    </w:div>
    <w:div w:id="403064241">
      <w:bodyDiv w:val="1"/>
      <w:marLeft w:val="0"/>
      <w:marRight w:val="0"/>
      <w:marTop w:val="0"/>
      <w:marBottom w:val="0"/>
      <w:divBdr>
        <w:top w:val="none" w:sz="0" w:space="0" w:color="auto"/>
        <w:left w:val="none" w:sz="0" w:space="0" w:color="auto"/>
        <w:bottom w:val="none" w:sz="0" w:space="0" w:color="auto"/>
        <w:right w:val="none" w:sz="0" w:space="0" w:color="auto"/>
      </w:divBdr>
    </w:div>
    <w:div w:id="480077743">
      <w:bodyDiv w:val="1"/>
      <w:marLeft w:val="0"/>
      <w:marRight w:val="0"/>
      <w:marTop w:val="0"/>
      <w:marBottom w:val="0"/>
      <w:divBdr>
        <w:top w:val="none" w:sz="0" w:space="0" w:color="auto"/>
        <w:left w:val="none" w:sz="0" w:space="0" w:color="auto"/>
        <w:bottom w:val="none" w:sz="0" w:space="0" w:color="auto"/>
        <w:right w:val="none" w:sz="0" w:space="0" w:color="auto"/>
      </w:divBdr>
    </w:div>
    <w:div w:id="950360584">
      <w:bodyDiv w:val="1"/>
      <w:marLeft w:val="0"/>
      <w:marRight w:val="0"/>
      <w:marTop w:val="0"/>
      <w:marBottom w:val="0"/>
      <w:divBdr>
        <w:top w:val="none" w:sz="0" w:space="0" w:color="auto"/>
        <w:left w:val="none" w:sz="0" w:space="0" w:color="auto"/>
        <w:bottom w:val="none" w:sz="0" w:space="0" w:color="auto"/>
        <w:right w:val="none" w:sz="0" w:space="0" w:color="auto"/>
      </w:divBdr>
    </w:div>
    <w:div w:id="952128820">
      <w:bodyDiv w:val="1"/>
      <w:marLeft w:val="0"/>
      <w:marRight w:val="0"/>
      <w:marTop w:val="0"/>
      <w:marBottom w:val="0"/>
      <w:divBdr>
        <w:top w:val="none" w:sz="0" w:space="0" w:color="auto"/>
        <w:left w:val="none" w:sz="0" w:space="0" w:color="auto"/>
        <w:bottom w:val="none" w:sz="0" w:space="0" w:color="auto"/>
        <w:right w:val="none" w:sz="0" w:space="0" w:color="auto"/>
      </w:divBdr>
      <w:divsChild>
        <w:div w:id="787818077">
          <w:marLeft w:val="547"/>
          <w:marRight w:val="0"/>
          <w:marTop w:val="0"/>
          <w:marBottom w:val="0"/>
          <w:divBdr>
            <w:top w:val="none" w:sz="0" w:space="0" w:color="auto"/>
            <w:left w:val="none" w:sz="0" w:space="0" w:color="auto"/>
            <w:bottom w:val="none" w:sz="0" w:space="0" w:color="auto"/>
            <w:right w:val="none" w:sz="0" w:space="0" w:color="auto"/>
          </w:divBdr>
        </w:div>
        <w:div w:id="1804886908">
          <w:marLeft w:val="547"/>
          <w:marRight w:val="0"/>
          <w:marTop w:val="0"/>
          <w:marBottom w:val="0"/>
          <w:divBdr>
            <w:top w:val="none" w:sz="0" w:space="0" w:color="auto"/>
            <w:left w:val="none" w:sz="0" w:space="0" w:color="auto"/>
            <w:bottom w:val="none" w:sz="0" w:space="0" w:color="auto"/>
            <w:right w:val="none" w:sz="0" w:space="0" w:color="auto"/>
          </w:divBdr>
        </w:div>
      </w:divsChild>
    </w:div>
    <w:div w:id="1010793519">
      <w:bodyDiv w:val="1"/>
      <w:marLeft w:val="0"/>
      <w:marRight w:val="0"/>
      <w:marTop w:val="0"/>
      <w:marBottom w:val="0"/>
      <w:divBdr>
        <w:top w:val="none" w:sz="0" w:space="0" w:color="auto"/>
        <w:left w:val="none" w:sz="0" w:space="0" w:color="auto"/>
        <w:bottom w:val="none" w:sz="0" w:space="0" w:color="auto"/>
        <w:right w:val="none" w:sz="0" w:space="0" w:color="auto"/>
      </w:divBdr>
    </w:div>
    <w:div w:id="1057389510">
      <w:bodyDiv w:val="1"/>
      <w:marLeft w:val="0"/>
      <w:marRight w:val="0"/>
      <w:marTop w:val="0"/>
      <w:marBottom w:val="0"/>
      <w:divBdr>
        <w:top w:val="none" w:sz="0" w:space="0" w:color="auto"/>
        <w:left w:val="none" w:sz="0" w:space="0" w:color="auto"/>
        <w:bottom w:val="none" w:sz="0" w:space="0" w:color="auto"/>
        <w:right w:val="none" w:sz="0" w:space="0" w:color="auto"/>
      </w:divBdr>
    </w:div>
    <w:div w:id="1223562806">
      <w:bodyDiv w:val="1"/>
      <w:marLeft w:val="0"/>
      <w:marRight w:val="0"/>
      <w:marTop w:val="0"/>
      <w:marBottom w:val="0"/>
      <w:divBdr>
        <w:top w:val="none" w:sz="0" w:space="0" w:color="auto"/>
        <w:left w:val="none" w:sz="0" w:space="0" w:color="auto"/>
        <w:bottom w:val="none" w:sz="0" w:space="0" w:color="auto"/>
        <w:right w:val="none" w:sz="0" w:space="0" w:color="auto"/>
      </w:divBdr>
    </w:div>
    <w:div w:id="1239100765">
      <w:bodyDiv w:val="1"/>
      <w:marLeft w:val="0"/>
      <w:marRight w:val="0"/>
      <w:marTop w:val="0"/>
      <w:marBottom w:val="0"/>
      <w:divBdr>
        <w:top w:val="none" w:sz="0" w:space="0" w:color="auto"/>
        <w:left w:val="none" w:sz="0" w:space="0" w:color="auto"/>
        <w:bottom w:val="none" w:sz="0" w:space="0" w:color="auto"/>
        <w:right w:val="none" w:sz="0" w:space="0" w:color="auto"/>
      </w:divBdr>
    </w:div>
    <w:div w:id="1367415632">
      <w:bodyDiv w:val="1"/>
      <w:marLeft w:val="0"/>
      <w:marRight w:val="0"/>
      <w:marTop w:val="0"/>
      <w:marBottom w:val="0"/>
      <w:divBdr>
        <w:top w:val="none" w:sz="0" w:space="0" w:color="auto"/>
        <w:left w:val="none" w:sz="0" w:space="0" w:color="auto"/>
        <w:bottom w:val="none" w:sz="0" w:space="0" w:color="auto"/>
        <w:right w:val="none" w:sz="0" w:space="0" w:color="auto"/>
      </w:divBdr>
    </w:div>
    <w:div w:id="1644501453">
      <w:bodyDiv w:val="1"/>
      <w:marLeft w:val="0"/>
      <w:marRight w:val="0"/>
      <w:marTop w:val="0"/>
      <w:marBottom w:val="0"/>
      <w:divBdr>
        <w:top w:val="none" w:sz="0" w:space="0" w:color="auto"/>
        <w:left w:val="none" w:sz="0" w:space="0" w:color="auto"/>
        <w:bottom w:val="none" w:sz="0" w:space="0" w:color="auto"/>
        <w:right w:val="none" w:sz="0" w:space="0" w:color="auto"/>
      </w:divBdr>
    </w:div>
    <w:div w:id="1814636949">
      <w:bodyDiv w:val="1"/>
      <w:marLeft w:val="0"/>
      <w:marRight w:val="0"/>
      <w:marTop w:val="0"/>
      <w:marBottom w:val="0"/>
      <w:divBdr>
        <w:top w:val="none" w:sz="0" w:space="0" w:color="auto"/>
        <w:left w:val="none" w:sz="0" w:space="0" w:color="auto"/>
        <w:bottom w:val="none" w:sz="0" w:space="0" w:color="auto"/>
        <w:right w:val="none" w:sz="0" w:space="0" w:color="auto"/>
      </w:divBdr>
    </w:div>
    <w:div w:id="1821997458">
      <w:bodyDiv w:val="1"/>
      <w:marLeft w:val="0"/>
      <w:marRight w:val="0"/>
      <w:marTop w:val="0"/>
      <w:marBottom w:val="0"/>
      <w:divBdr>
        <w:top w:val="none" w:sz="0" w:space="0" w:color="auto"/>
        <w:left w:val="none" w:sz="0" w:space="0" w:color="auto"/>
        <w:bottom w:val="none" w:sz="0" w:space="0" w:color="auto"/>
        <w:right w:val="none" w:sz="0" w:space="0" w:color="auto"/>
      </w:divBdr>
    </w:div>
    <w:div w:id="1912882056">
      <w:bodyDiv w:val="1"/>
      <w:marLeft w:val="0"/>
      <w:marRight w:val="0"/>
      <w:marTop w:val="0"/>
      <w:marBottom w:val="0"/>
      <w:divBdr>
        <w:top w:val="none" w:sz="0" w:space="0" w:color="auto"/>
        <w:left w:val="none" w:sz="0" w:space="0" w:color="auto"/>
        <w:bottom w:val="none" w:sz="0" w:space="0" w:color="auto"/>
        <w:right w:val="none" w:sz="0" w:space="0" w:color="auto"/>
      </w:divBdr>
    </w:div>
    <w:div w:id="1985161089">
      <w:bodyDiv w:val="1"/>
      <w:marLeft w:val="0"/>
      <w:marRight w:val="0"/>
      <w:marTop w:val="0"/>
      <w:marBottom w:val="0"/>
      <w:divBdr>
        <w:top w:val="none" w:sz="0" w:space="0" w:color="auto"/>
        <w:left w:val="none" w:sz="0" w:space="0" w:color="auto"/>
        <w:bottom w:val="none" w:sz="0" w:space="0" w:color="auto"/>
        <w:right w:val="none" w:sz="0" w:space="0" w:color="auto"/>
      </w:divBdr>
    </w:div>
    <w:div w:id="2032560273">
      <w:bodyDiv w:val="1"/>
      <w:marLeft w:val="0"/>
      <w:marRight w:val="0"/>
      <w:marTop w:val="0"/>
      <w:marBottom w:val="0"/>
      <w:divBdr>
        <w:top w:val="none" w:sz="0" w:space="0" w:color="auto"/>
        <w:left w:val="none" w:sz="0" w:space="0" w:color="auto"/>
        <w:bottom w:val="none" w:sz="0" w:space="0" w:color="auto"/>
        <w:right w:val="none" w:sz="0" w:space="0" w:color="auto"/>
      </w:divBdr>
      <w:divsChild>
        <w:div w:id="1559247362">
          <w:marLeft w:val="274"/>
          <w:marRight w:val="0"/>
          <w:marTop w:val="0"/>
          <w:marBottom w:val="0"/>
          <w:divBdr>
            <w:top w:val="none" w:sz="0" w:space="0" w:color="auto"/>
            <w:left w:val="none" w:sz="0" w:space="0" w:color="auto"/>
            <w:bottom w:val="none" w:sz="0" w:space="0" w:color="auto"/>
            <w:right w:val="none" w:sz="0" w:space="0" w:color="auto"/>
          </w:divBdr>
        </w:div>
        <w:div w:id="154229608">
          <w:marLeft w:val="274"/>
          <w:marRight w:val="0"/>
          <w:marTop w:val="0"/>
          <w:marBottom w:val="0"/>
          <w:divBdr>
            <w:top w:val="none" w:sz="0" w:space="0" w:color="auto"/>
            <w:left w:val="none" w:sz="0" w:space="0" w:color="auto"/>
            <w:bottom w:val="none" w:sz="0" w:space="0" w:color="auto"/>
            <w:right w:val="none" w:sz="0" w:space="0" w:color="auto"/>
          </w:divBdr>
        </w:div>
        <w:div w:id="100733719">
          <w:marLeft w:val="274"/>
          <w:marRight w:val="0"/>
          <w:marTop w:val="0"/>
          <w:marBottom w:val="0"/>
          <w:divBdr>
            <w:top w:val="none" w:sz="0" w:space="0" w:color="auto"/>
            <w:left w:val="none" w:sz="0" w:space="0" w:color="auto"/>
            <w:bottom w:val="none" w:sz="0" w:space="0" w:color="auto"/>
            <w:right w:val="none" w:sz="0" w:space="0" w:color="auto"/>
          </w:divBdr>
        </w:div>
      </w:divsChild>
    </w:div>
    <w:div w:id="2057971952">
      <w:bodyDiv w:val="1"/>
      <w:marLeft w:val="0"/>
      <w:marRight w:val="0"/>
      <w:marTop w:val="0"/>
      <w:marBottom w:val="0"/>
      <w:divBdr>
        <w:top w:val="none" w:sz="0" w:space="0" w:color="auto"/>
        <w:left w:val="none" w:sz="0" w:space="0" w:color="auto"/>
        <w:bottom w:val="none" w:sz="0" w:space="0" w:color="auto"/>
        <w:right w:val="none" w:sz="0" w:space="0" w:color="auto"/>
      </w:divBdr>
    </w:div>
    <w:div w:id="208961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B36C40"/>
      </a:dk2>
      <a:lt2>
        <a:srgbClr val="FFF498"/>
      </a:lt2>
      <a:accent1>
        <a:srgbClr val="D59E6E"/>
      </a:accent1>
      <a:accent2>
        <a:srgbClr val="E85D04"/>
      </a:accent2>
      <a:accent3>
        <a:srgbClr val="DC2F02"/>
      </a:accent3>
      <a:accent4>
        <a:srgbClr val="FFC000"/>
      </a:accent4>
      <a:accent5>
        <a:srgbClr val="5B9BD5"/>
      </a:accent5>
      <a:accent6>
        <a:srgbClr val="70AD47"/>
      </a:accent6>
      <a:hlink>
        <a:srgbClr val="B36C40"/>
      </a:hlink>
      <a:folHlink>
        <a:srgbClr val="833C0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CC6D87633A914982032CB9EEE36AB5" ma:contentTypeVersion="7" ma:contentTypeDescription="Create a new document." ma:contentTypeScope="" ma:versionID="95650b1e668ecf14a7b37f6fab8a6ef2">
  <xsd:schema xmlns:xsd="http://www.w3.org/2001/XMLSchema" xmlns:xs="http://www.w3.org/2001/XMLSchema" xmlns:p="http://schemas.microsoft.com/office/2006/metadata/properties" xmlns:ns3="8dc0963e-725f-4df9-9ee5-3409d10e749b" xmlns:ns4="06c98763-7e7f-47de-a217-4e462391dcfe" targetNamespace="http://schemas.microsoft.com/office/2006/metadata/properties" ma:root="true" ma:fieldsID="fa4d687149612bc3b1b818fcaf75cf7f" ns3:_="" ns4:_="">
    <xsd:import namespace="8dc0963e-725f-4df9-9ee5-3409d10e749b"/>
    <xsd:import namespace="06c98763-7e7f-47de-a217-4e462391dc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0963e-725f-4df9-9ee5-3409d10e7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c98763-7e7f-47de-a217-4e462391dc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1464D6-CB41-44CB-870E-B5306D6655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84B90F-70E5-47E2-B86D-1B566B26406D}">
  <ds:schemaRefs>
    <ds:schemaRef ds:uri="http://schemas.microsoft.com/sharepoint/v3/contenttype/forms"/>
  </ds:schemaRefs>
</ds:datastoreItem>
</file>

<file path=customXml/itemProps3.xml><?xml version="1.0" encoding="utf-8"?>
<ds:datastoreItem xmlns:ds="http://schemas.openxmlformats.org/officeDocument/2006/customXml" ds:itemID="{B5CFD535-1FFA-40C2-AD3A-BB227B2D0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0963e-725f-4df9-9ee5-3409d10e749b"/>
    <ds:schemaRef ds:uri="06c98763-7e7f-47de-a217-4e462391d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4290</TotalTime>
  <Pages>2</Pages>
  <Words>976</Words>
  <Characters>5569</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Roerink</dc:creator>
  <cp:keywords/>
  <dc:description/>
  <cp:lastModifiedBy>Anne-Marie Roerink</cp:lastModifiedBy>
  <cp:revision>23</cp:revision>
  <dcterms:created xsi:type="dcterms:W3CDTF">2024-07-28T14:09:00Z</dcterms:created>
  <dcterms:modified xsi:type="dcterms:W3CDTF">2024-09-23T13:13:00Z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0x01010047CC6D87633A914982032CB9EEE36AB5</vt:lpwstr>
  </property>
</Properties>
</file>