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5FEC927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B67EE8">
        <w:rPr>
          <w:sz w:val="44"/>
          <w:szCs w:val="44"/>
        </w:rPr>
        <w:t>5</w:t>
      </w:r>
      <w:r w:rsidR="00705769">
        <w:rPr>
          <w:sz w:val="44"/>
          <w:szCs w:val="44"/>
        </w:rPr>
        <w:t>.</w:t>
      </w:r>
      <w:r w:rsidR="00B67EE8">
        <w:rPr>
          <w:sz w:val="44"/>
          <w:szCs w:val="44"/>
        </w:rPr>
        <w:t>19</w:t>
      </w:r>
      <w:r w:rsidR="004147E0">
        <w:rPr>
          <w:sz w:val="44"/>
          <w:szCs w:val="44"/>
        </w:rPr>
        <w:t>.2024</w:t>
      </w:r>
    </w:p>
    <w:p w14:paraId="74281325" w14:textId="3038FAF9" w:rsidR="00757C0B" w:rsidRPr="00757C0B" w:rsidRDefault="00D06A72" w:rsidP="00757C0B">
      <w:pPr>
        <w:pStyle w:val="Heading1"/>
        <w:rPr>
          <w:b/>
          <w:bCs/>
          <w:color w:val="ED7D31" w:themeColor="accent2"/>
          <w:sz w:val="26"/>
          <w:szCs w:val="26"/>
        </w:rPr>
      </w:pPr>
      <w:r>
        <w:rPr>
          <w:b/>
          <w:bCs/>
          <w:color w:val="ED7D31" w:themeColor="accent2"/>
          <w:sz w:val="26"/>
          <w:szCs w:val="26"/>
        </w:rPr>
        <w:t>April</w:t>
      </w:r>
      <w:r w:rsidR="00B67EE8">
        <w:rPr>
          <w:b/>
          <w:bCs/>
          <w:color w:val="ED7D31" w:themeColor="accent2"/>
          <w:sz w:val="26"/>
          <w:szCs w:val="26"/>
        </w:rPr>
        <w:t>-May</w:t>
      </w:r>
      <w:r w:rsidR="00757C0B" w:rsidRPr="00757C0B">
        <w:rPr>
          <w:b/>
          <w:bCs/>
          <w:color w:val="ED7D31" w:themeColor="accent2"/>
          <w:sz w:val="26"/>
          <w:szCs w:val="26"/>
        </w:rPr>
        <w:t xml:space="preserve"> in Review</w:t>
      </w:r>
    </w:p>
    <w:p w14:paraId="7074FB1F" w14:textId="5F54466B" w:rsidR="00B67EE8" w:rsidRPr="00B67EE8" w:rsidRDefault="00B67EE8" w:rsidP="00B67EE8">
      <w:pPr>
        <w:pStyle w:val="NoSpacing"/>
        <w:numPr>
          <w:ilvl w:val="0"/>
          <w:numId w:val="26"/>
        </w:numPr>
        <w:rPr>
          <w:rFonts w:cstheme="minorHAnsi"/>
        </w:rPr>
      </w:pPr>
      <w:r w:rsidRPr="00B67EE8">
        <w:rPr>
          <w:rFonts w:cstheme="minorHAnsi"/>
        </w:rPr>
        <w:t xml:space="preserve">Food-away-from-home inflation has outpaced at-home </w:t>
      </w:r>
      <w:r w:rsidR="00653B33">
        <w:rPr>
          <w:rFonts w:cstheme="minorHAnsi"/>
        </w:rPr>
        <w:t xml:space="preserve">price increases </w:t>
      </w:r>
      <w:r w:rsidRPr="00B67EE8">
        <w:rPr>
          <w:rFonts w:cstheme="minorHAnsi"/>
        </w:rPr>
        <w:t>in the past few months. According to Circana’s Darren Seifer, restaurant traffic for the first quarter</w:t>
      </w:r>
      <w:r>
        <w:rPr>
          <w:rFonts w:cstheme="minorHAnsi"/>
        </w:rPr>
        <w:t xml:space="preserve"> of 2024</w:t>
      </w:r>
      <w:r w:rsidRPr="00B67EE8">
        <w:rPr>
          <w:rFonts w:cstheme="minorHAnsi"/>
        </w:rPr>
        <w:t xml:space="preserve"> fell 2%. </w:t>
      </w:r>
      <w:r w:rsidR="003516FA">
        <w:rPr>
          <w:rFonts w:cstheme="minorHAnsi"/>
        </w:rPr>
        <w:t xml:space="preserve">A total of 64% of Americans consume mushrooms at least once a year, whereas household penetration at retail is 48.5% — meaning at least some consumers only eat mushrooms when purchasing food from restaurants. </w:t>
      </w:r>
    </w:p>
    <w:p w14:paraId="52D2CE52" w14:textId="22741FE6" w:rsidR="00B67EE8" w:rsidRPr="00B67EE8" w:rsidRDefault="00B67EE8" w:rsidP="00B67EE8">
      <w:pPr>
        <w:pStyle w:val="NoSpacing"/>
        <w:numPr>
          <w:ilvl w:val="0"/>
          <w:numId w:val="26"/>
        </w:numPr>
        <w:rPr>
          <w:rFonts w:cstheme="minorHAnsi"/>
        </w:rPr>
      </w:pPr>
      <w:r w:rsidRPr="00B67EE8">
        <w:rPr>
          <w:rFonts w:cstheme="minorHAnsi"/>
        </w:rPr>
        <w:t xml:space="preserve">Among </w:t>
      </w:r>
      <w:r w:rsidR="003516FA">
        <w:rPr>
          <w:rFonts w:cstheme="minorHAnsi"/>
        </w:rPr>
        <w:t xml:space="preserve">households </w:t>
      </w:r>
      <w:r w:rsidRPr="00B67EE8">
        <w:rPr>
          <w:rFonts w:cstheme="minorHAnsi"/>
        </w:rPr>
        <w:t xml:space="preserve">with greater financial pressure, home-cooked meals are seen as a solution to help balance spending. </w:t>
      </w:r>
      <w:r w:rsidR="003516FA">
        <w:rPr>
          <w:rFonts w:cstheme="minorHAnsi"/>
        </w:rPr>
        <w:t xml:space="preserve">An April 210 Analytics consumer </w:t>
      </w:r>
      <w:r w:rsidRPr="00B67EE8">
        <w:rPr>
          <w:rFonts w:cstheme="minorHAnsi"/>
        </w:rPr>
        <w:t>study found that these households are more focused on price and sales promotions when shopping for groceries and tend to de-emphasize nutrition and time-saving solutions. They are more likely to purchase private-brand items</w:t>
      </w:r>
      <w:r w:rsidR="00AD75ED">
        <w:rPr>
          <w:rFonts w:cstheme="minorHAnsi"/>
        </w:rPr>
        <w:t>, focus on reducing food waste</w:t>
      </w:r>
      <w:r w:rsidRPr="00B67EE8">
        <w:rPr>
          <w:rFonts w:cstheme="minorHAnsi"/>
        </w:rPr>
        <w:t xml:space="preserve"> and show a much greater willingness to change what they are purchasing, while keeping a close eye on sales promotions across multiple stores.  Households with improved finances are more likely to buy from restaurants more often. </w:t>
      </w:r>
    </w:p>
    <w:p w14:paraId="77825D88" w14:textId="1C7D4503" w:rsidR="00363853" w:rsidRPr="00AD75ED" w:rsidRDefault="00B67EE8" w:rsidP="00C97154">
      <w:pPr>
        <w:pStyle w:val="NoSpacing"/>
        <w:numPr>
          <w:ilvl w:val="0"/>
          <w:numId w:val="26"/>
        </w:numPr>
        <w:rPr>
          <w:rFonts w:cstheme="minorHAnsi"/>
        </w:rPr>
      </w:pPr>
      <w:r w:rsidRPr="00AD75ED">
        <w:rPr>
          <w:rFonts w:cstheme="minorHAnsi"/>
        </w:rPr>
        <w:t>The next quad week will include the sales performance for the</w:t>
      </w:r>
      <w:r w:rsidRPr="00B67EE8">
        <w:rPr>
          <w:rFonts w:cstheme="minorHAnsi"/>
        </w:rPr>
        <w:t xml:space="preserve"> unofficial start of grilling season, Memorial Day. </w:t>
      </w:r>
      <w:r w:rsidR="003516FA" w:rsidRPr="00AD75ED">
        <w:rPr>
          <w:rFonts w:cstheme="minorHAnsi"/>
        </w:rPr>
        <w:t>According to the recently released Fresh Mushroom Consumption and Attitudes Study, the second and third quarters have the lowest shares of total mushroom eatings, at 25% and 23%, respectively</w:t>
      </w:r>
      <w:r w:rsidR="00363853" w:rsidRPr="00AD75ED">
        <w:rPr>
          <w:rFonts w:cstheme="minorHAnsi"/>
        </w:rPr>
        <w:t xml:space="preserve">. </w:t>
      </w:r>
    </w:p>
    <w:p w14:paraId="015B38D8" w14:textId="77777777" w:rsidR="00F12F2D" w:rsidRPr="00757C0B" w:rsidRDefault="00F12F2D" w:rsidP="006D5DC2">
      <w:pPr>
        <w:pStyle w:val="NoSpacing"/>
        <w:rPr>
          <w:rFonts w:cstheme="minorHAnsi"/>
        </w:rPr>
      </w:pPr>
    </w:p>
    <w:p w14:paraId="737234D5" w14:textId="3B512D43" w:rsidR="00927EAC" w:rsidRPr="00927EAC" w:rsidRDefault="007D3393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Fresh Mushroom </w:t>
      </w:r>
      <w:r w:rsidR="00927EAC" w:rsidRPr="00927EAC">
        <w:rPr>
          <w:b/>
          <w:bCs/>
          <w:color w:val="ED7D31" w:themeColor="accent2"/>
        </w:rPr>
        <w:t>Dollars, Units and Volume Performance</w:t>
      </w:r>
    </w:p>
    <w:p w14:paraId="47797D03" w14:textId="590186DA" w:rsidR="00472B02" w:rsidRDefault="00226EF3" w:rsidP="00472B02">
      <w:pPr>
        <w:pStyle w:val="NoSpacing"/>
      </w:pPr>
      <w:r>
        <w:t>The quad-week generated a little more than $100 million in sales, which was down 3</w:t>
      </w:r>
      <w:r w:rsidR="00653B33">
        <w:t>.1</w:t>
      </w:r>
      <w:r>
        <w:t xml:space="preserve">% from year-ago levels. </w:t>
      </w:r>
      <w:r w:rsidR="00653B33">
        <w:t>The four-week u</w:t>
      </w:r>
      <w:r>
        <w:t>nit and pound declines were slightly higher</w:t>
      </w:r>
      <w:r w:rsidR="00653B33">
        <w:t xml:space="preserve"> than the 52-week numbers</w:t>
      </w:r>
      <w:r w:rsidR="00024D78">
        <w:t>.</w:t>
      </w: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2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22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</w:tcPr>
          <w:p w14:paraId="51DF6E55" w14:textId="11A85C53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AD75ED">
              <w:t>5</w:t>
            </w:r>
            <w:r w:rsidR="001A2890">
              <w:t>/</w:t>
            </w:r>
            <w:r w:rsidR="00AD75ED">
              <w:t>19</w:t>
            </w:r>
            <w:r w:rsidR="001A2890">
              <w:t>/2024</w:t>
            </w:r>
          </w:p>
        </w:tc>
        <w:tc>
          <w:tcPr>
            <w:tcW w:w="954" w:type="dxa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BBE24C3" w14:textId="11980814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AD75ED">
              <w:t>5</w:t>
            </w:r>
            <w:r w:rsidR="001A2890">
              <w:t>/</w:t>
            </w:r>
            <w:r w:rsidR="00AD75ED">
              <w:t>19</w:t>
            </w:r>
            <w:r w:rsidR="001A2890">
              <w:t>/2024</w:t>
            </w:r>
          </w:p>
        </w:tc>
        <w:tc>
          <w:tcPr>
            <w:tcW w:w="1121" w:type="dxa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226EF3" w14:paraId="22401D5B" w14:textId="77777777" w:rsidTr="00226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226EF3" w:rsidRPr="00124CB7" w:rsidRDefault="00226EF3" w:rsidP="00226EF3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2163" w:type="dxa"/>
          </w:tcPr>
          <w:p w14:paraId="6D1FCB95" w14:textId="092C958D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$10</w:t>
            </w:r>
            <w:r w:rsidR="003516FA">
              <w:t>0.3</w:t>
            </w:r>
            <w:r>
              <w:t xml:space="preserve"> million</w:t>
            </w:r>
          </w:p>
        </w:tc>
        <w:tc>
          <w:tcPr>
            <w:tcW w:w="954" w:type="dxa"/>
          </w:tcPr>
          <w:p w14:paraId="77D2040B" w14:textId="7D709AA0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3516FA">
              <w:rPr>
                <w:rFonts w:cstheme="minorHAnsi"/>
                <w:color w:val="000000" w:themeColor="text1"/>
              </w:rPr>
              <w:t>3.1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EF21002" w14:textId="33E545B2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4.5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75CF9DD" w14:textId="4DA4F595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$1.338 billion</w:t>
            </w:r>
          </w:p>
        </w:tc>
        <w:tc>
          <w:tcPr>
            <w:tcW w:w="1121" w:type="dxa"/>
          </w:tcPr>
          <w:p w14:paraId="04EA64A9" w14:textId="6A9D81F1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3.1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2F2464E9" w14:textId="58789A21" w:rsidR="00226EF3" w:rsidRDefault="00226EF3" w:rsidP="00226EF3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4.0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</w:tr>
      <w:tr w:rsidR="00181944" w14:paraId="31FB8D29" w14:textId="77777777" w:rsidTr="00226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181944" w:rsidRPr="00124CB7" w:rsidRDefault="00181944" w:rsidP="0018194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2163" w:type="dxa"/>
          </w:tcPr>
          <w:p w14:paraId="3CA03520" w14:textId="6D817304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</w:t>
            </w:r>
            <w:r w:rsidR="00226EF3">
              <w:t>3</w:t>
            </w:r>
            <w:r w:rsidR="003516FA">
              <w:t>3.7</w:t>
            </w:r>
            <w:r>
              <w:t xml:space="preserve"> million</w:t>
            </w:r>
          </w:p>
        </w:tc>
        <w:tc>
          <w:tcPr>
            <w:tcW w:w="954" w:type="dxa"/>
          </w:tcPr>
          <w:p w14:paraId="6922F333" w14:textId="26B6B082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3.0</w:t>
            </w:r>
            <w:r w:rsidR="00FC1B3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7CD8DEEA" w14:textId="351A5DC2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6.8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26ECACB9" w14:textId="5D308A5A" w:rsidR="00181944" w:rsidRDefault="00226EF3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476.44</w:t>
            </w:r>
            <w:r w:rsidR="00181944">
              <w:t xml:space="preserve"> million</w:t>
            </w:r>
          </w:p>
        </w:tc>
        <w:tc>
          <w:tcPr>
            <w:tcW w:w="1121" w:type="dxa"/>
          </w:tcPr>
          <w:p w14:paraId="60AAF678" w14:textId="450F3650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2.6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19BE3B74" w14:textId="02BD92CA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9.0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14:paraId="2EB720F3" w14:textId="77777777" w:rsidTr="00226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2163" w:type="dxa"/>
          </w:tcPr>
          <w:p w14:paraId="68757A76" w14:textId="28C48444" w:rsidR="00AB019A" w:rsidRDefault="00AB019A" w:rsidP="00AB019A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226EF3">
              <w:t>2</w:t>
            </w:r>
            <w:r w:rsidR="003516FA">
              <w:t>1.9</w:t>
            </w:r>
            <w:r>
              <w:t xml:space="preserve"> million</w:t>
            </w:r>
          </w:p>
        </w:tc>
        <w:tc>
          <w:tcPr>
            <w:tcW w:w="954" w:type="dxa"/>
          </w:tcPr>
          <w:p w14:paraId="7DE7F9CC" w14:textId="6DD15AB8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3.5</w:t>
            </w:r>
            <w:r w:rsidR="00FC1B3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7670DC1" w14:textId="73A41170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6.4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57878EB0" w14:textId="0D98B45B" w:rsidR="00AB019A" w:rsidRDefault="00226EF3" w:rsidP="00AB019A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359.47</w:t>
            </w:r>
            <w:r w:rsidR="00AB019A">
              <w:t xml:space="preserve"> million</w:t>
            </w:r>
          </w:p>
        </w:tc>
        <w:tc>
          <w:tcPr>
            <w:tcW w:w="1121" w:type="dxa"/>
          </w:tcPr>
          <w:p w14:paraId="0679CD28" w14:textId="10A870CF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2.9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09C03B7F" w14:textId="619861B8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226EF3">
              <w:rPr>
                <w:rFonts w:cstheme="minorHAnsi"/>
                <w:color w:val="000000" w:themeColor="text1"/>
              </w:rPr>
              <w:t>9.6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5B1F1AF6" w14:textId="28014D43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AD75ED">
        <w:rPr>
          <w:color w:val="7F7F7F" w:themeColor="text1" w:themeTint="80"/>
          <w:sz w:val="16"/>
          <w:szCs w:val="16"/>
        </w:rPr>
        <w:t>5</w:t>
      </w:r>
      <w:r w:rsidR="001A2890">
        <w:rPr>
          <w:color w:val="7F7F7F" w:themeColor="text1" w:themeTint="80"/>
          <w:sz w:val="16"/>
          <w:szCs w:val="16"/>
        </w:rPr>
        <w:t>/</w:t>
      </w:r>
      <w:r w:rsidR="00AD75ED">
        <w:rPr>
          <w:color w:val="7F7F7F" w:themeColor="text1" w:themeTint="80"/>
          <w:sz w:val="16"/>
          <w:szCs w:val="16"/>
        </w:rPr>
        <w:t>19</w:t>
      </w:r>
      <w:r w:rsidR="001A2890">
        <w:rPr>
          <w:color w:val="7F7F7F" w:themeColor="text1" w:themeTint="80"/>
          <w:sz w:val="16"/>
          <w:szCs w:val="16"/>
        </w:rPr>
        <w:t>/2024</w:t>
      </w:r>
    </w:p>
    <w:p w14:paraId="693975F5" w14:textId="5C6F2673" w:rsidR="000809C3" w:rsidRPr="00363853" w:rsidRDefault="000809C3" w:rsidP="00472B02">
      <w:pPr>
        <w:pStyle w:val="NoSpacing"/>
        <w:rPr>
          <w:sz w:val="16"/>
          <w:szCs w:val="16"/>
        </w:rPr>
      </w:pPr>
    </w:p>
    <w:p w14:paraId="3FBF647C" w14:textId="4FC8C0A7" w:rsidR="000E0D6B" w:rsidRDefault="00024D78" w:rsidP="00363853">
      <w:pPr>
        <w:pStyle w:val="NoSpacing"/>
      </w:pPr>
      <w:r>
        <w:t xml:space="preserve">When comparing the quad week’s performance to the prior quad week, volume patterns remained consistent with prior years. Volume sales during quad week </w:t>
      </w:r>
      <w:r w:rsidR="00AD75ED">
        <w:t>five</w:t>
      </w:r>
      <w:r>
        <w:t xml:space="preserve"> tend to be </w:t>
      </w:r>
      <w:r w:rsidR="00AD75ED">
        <w:t xml:space="preserve">lower than </w:t>
      </w:r>
      <w:r>
        <w:t xml:space="preserve">quad weeks </w:t>
      </w:r>
      <w:r w:rsidR="00AD75ED">
        <w:t>two to four, but the volume impact was slightly higher than seen in the past few years.</w:t>
      </w:r>
      <w:r w:rsidR="00653B33">
        <w:t xml:space="preserve"> This is likely related to shifts in Easter timing that affects quad-week periods four and five.</w:t>
      </w:r>
      <w:r w:rsidR="00432D1F">
        <w:t xml:space="preserve"> (see forecasting tab).</w:t>
      </w:r>
    </w:p>
    <w:p w14:paraId="4D3D5B0B" w14:textId="77777777" w:rsidR="00363853" w:rsidRPr="00363853" w:rsidRDefault="00363853" w:rsidP="00363853">
      <w:pPr>
        <w:pStyle w:val="NoSpacing"/>
        <w:rPr>
          <w:sz w:val="10"/>
          <w:szCs w:val="10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"/>
        <w:gridCol w:w="657"/>
        <w:gridCol w:w="714"/>
        <w:gridCol w:w="657"/>
        <w:gridCol w:w="657"/>
        <w:gridCol w:w="657"/>
        <w:gridCol w:w="657"/>
        <w:gridCol w:w="657"/>
        <w:gridCol w:w="657"/>
        <w:gridCol w:w="720"/>
        <w:gridCol w:w="720"/>
        <w:gridCol w:w="720"/>
        <w:gridCol w:w="720"/>
      </w:tblGrid>
      <w:tr w:rsidR="00757C0B" w:rsidRPr="000E0D6B" w14:paraId="2CE5BD2B" w14:textId="77777777" w:rsidTr="00757C0B">
        <w:trPr>
          <w:trHeight w:val="552"/>
        </w:trPr>
        <w:tc>
          <w:tcPr>
            <w:tcW w:w="1440" w:type="dxa"/>
            <w:shd w:val="clear" w:color="auto" w:fill="auto"/>
          </w:tcPr>
          <w:p w14:paraId="0137593C" w14:textId="58ABB8EE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Pound growth rates versus PRIOR PERIOD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366F69D" w14:textId="4EE2776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00FB821" w14:textId="610C58D4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17C026" w14:textId="31B89AC1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8335CCD" w14:textId="12159A82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57C0D00" w14:textId="61D53023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5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30B7B63" w14:textId="4AA4906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A895C41" w14:textId="264553AE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2A51AE9" w14:textId="4CA808E3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8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3060256" w14:textId="6569BBA9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945EBB" w14:textId="24514260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031356" w14:textId="5C6C19A4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099731" w14:textId="3A208E55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FA218C" w14:textId="0E011FF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13</w:t>
            </w:r>
          </w:p>
        </w:tc>
      </w:tr>
      <w:tr w:rsidR="00757C0B" w:rsidRPr="000E0D6B" w14:paraId="7083EDA9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0496F523" w14:textId="5C34B680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2E470360" w14:textId="6D4A2FED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5595489" w14:textId="521D98B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7F0D03BA" w14:textId="5478D456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154EF6E" w14:textId="3A76CCF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272285A" w14:textId="7AA31FB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1082D2EC" w14:textId="5F056BFA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5E2737E" w14:textId="6E0C393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5B754E63" w14:textId="65FD278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-0.5%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3E4D0CD9" w14:textId="3BE1AFB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2CF2B55A" w14:textId="5C1F0B9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76241356" w14:textId="2E0CB9A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106BBAF" w14:textId="393C44E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5A5B02B6" w14:textId="582BC24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757C0B" w:rsidRPr="000E0D6B" w14:paraId="3B8C9CB3" w14:textId="77777777" w:rsidTr="001A2890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0415BAB" w14:textId="21C8393E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3666588F" w14:textId="1948BC2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0F602A96" w14:textId="166688E6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714" w:type="dxa"/>
            <w:shd w:val="clear" w:color="auto" w:fill="F2DCDB"/>
            <w:noWrap/>
            <w:vAlign w:val="bottom"/>
          </w:tcPr>
          <w:p w14:paraId="774E7EA7" w14:textId="769E8E8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195DB56C" w14:textId="3BCEF357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B05A150" w14:textId="0D5A14DE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20A52ED" w14:textId="53DF4E5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411C3845" w14:textId="38CCE9D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2A797AA" w14:textId="2834E56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2272447A" w14:textId="10528980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14B9CF92" w14:textId="4971B37D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375CBFF3" w14:textId="29FFA0E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7C3C91AF" w14:textId="4ECC4CE7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3AADE08F" w14:textId="0EAF205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757C0B" w:rsidRPr="000E0D6B" w14:paraId="5F93CA96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C645533" w14:textId="6F78B56B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A289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502534A8" w14:textId="04D4C7D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6.6%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E61F489" w14:textId="7202D087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-4.4%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4EEF0E00" w14:textId="7106B3F1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43F8F4DC" w14:textId="293209C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40D6741D" w14:textId="7FAE006A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7E314E5A" w14:textId="5152DCA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4497E062" w14:textId="72E75C6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57" w:type="dxa"/>
            <w:shd w:val="clear" w:color="000000" w:fill="F2DCDB"/>
            <w:noWrap/>
            <w:vAlign w:val="bottom"/>
          </w:tcPr>
          <w:p w14:paraId="1187FC07" w14:textId="30D12A5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-2.4%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28DC45A7" w14:textId="63534CA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2568D87C" w14:textId="0DB0DA8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4245C518" w14:textId="54BCD69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09A6FE77" w14:textId="6B8165B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8.1%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67CDF6A" w14:textId="5E28689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4.6%</w:t>
            </w:r>
          </w:p>
        </w:tc>
      </w:tr>
      <w:tr w:rsidR="00757C0B" w:rsidRPr="000E0D6B" w14:paraId="56075657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43CFB79B" w14:textId="4F4212FF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57" w:type="dxa"/>
            <w:shd w:val="clear" w:color="auto" w:fill="C4D79B"/>
            <w:noWrap/>
            <w:vAlign w:val="bottom"/>
          </w:tcPr>
          <w:p w14:paraId="12C38A5B" w14:textId="34DF90D0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29F7EC0" w14:textId="7FC33CA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-2.5%</w:t>
            </w:r>
          </w:p>
        </w:tc>
        <w:tc>
          <w:tcPr>
            <w:tcW w:w="714" w:type="dxa"/>
            <w:shd w:val="clear" w:color="000000" w:fill="76933C"/>
            <w:noWrap/>
            <w:vAlign w:val="bottom"/>
          </w:tcPr>
          <w:p w14:paraId="6BCE86B4" w14:textId="7FFB8CC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12.1%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6D12AA70" w14:textId="705425D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4.2%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00217F0E" w14:textId="673BFBC6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013F303" w14:textId="0336B8F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85E730A" w14:textId="6562B3FE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A700A4C" w14:textId="16A0166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-2.8%</w:t>
            </w:r>
          </w:p>
        </w:tc>
        <w:tc>
          <w:tcPr>
            <w:tcW w:w="657" w:type="dxa"/>
            <w:shd w:val="clear" w:color="000000" w:fill="F2DCDB"/>
            <w:noWrap/>
            <w:vAlign w:val="bottom"/>
          </w:tcPr>
          <w:p w14:paraId="5747B9E9" w14:textId="16894DC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-0.5%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75B3F13D" w14:textId="2C7ABB7E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133AA9F3" w14:textId="7B779A9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4C967B43" w14:textId="3671F66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440384B8" w14:textId="4D05E68A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4.2%</w:t>
            </w:r>
          </w:p>
        </w:tc>
      </w:tr>
      <w:tr w:rsidR="00757C0B" w:rsidRPr="000E0D6B" w14:paraId="273BB044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72883D17" w14:textId="766A2D46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6F9C945D" w14:textId="6257BAE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5.4%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4F49B1C" w14:textId="5AAA467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-5.9%</w:t>
            </w:r>
          </w:p>
        </w:tc>
        <w:tc>
          <w:tcPr>
            <w:tcW w:w="714" w:type="dxa"/>
            <w:shd w:val="clear" w:color="000000" w:fill="DA9694"/>
            <w:noWrap/>
            <w:vAlign w:val="bottom"/>
          </w:tcPr>
          <w:p w14:paraId="16EF6D99" w14:textId="515D806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A4C33B0" w14:textId="0B137BA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-0.6%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5867CE1D" w14:textId="057AC0A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215B0D06" w14:textId="513CC4F7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D0F5487" w14:textId="235D27D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-5.7%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02AA579" w14:textId="47CD994D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4F1AD20C" w14:textId="357EFC0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720" w:type="dxa"/>
            <w:shd w:val="clear" w:color="000000" w:fill="F2DCDB"/>
            <w:noWrap/>
            <w:vAlign w:val="bottom"/>
          </w:tcPr>
          <w:p w14:paraId="52F8EDF3" w14:textId="6397AFA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32CD6A15" w14:textId="4D3B417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1.8%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0D6B6333" w14:textId="754C1061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BC95E83" w14:textId="021D4D6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2.8%</w:t>
            </w:r>
          </w:p>
        </w:tc>
      </w:tr>
      <w:tr w:rsidR="00757C0B" w:rsidRPr="000E0D6B" w14:paraId="40AFE043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37E5F11A" w14:textId="392E4AB2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0B5F4877" w14:textId="3FF45AF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16BC4C9" w14:textId="1C51BCF3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-4.9%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7E693EC3" w14:textId="06CA7140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699C6B0" w14:textId="1F6755DB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74680D8C" w14:textId="5A556F7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56DCBC3A" w14:textId="1AA268A6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-4.4%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6D2DED63" w14:textId="63956D29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5F8D386" w14:textId="7689BB52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05D7662B" w14:textId="1CE43B8B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337732B9" w14:textId="7ACCF59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7EE1B866" w14:textId="23F7C27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4.0%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346C0F0D" w14:textId="72EBD95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6.6%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308A3213" w14:textId="5CFDF2D0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1.6%</w:t>
            </w:r>
          </w:p>
        </w:tc>
      </w:tr>
      <w:tr w:rsidR="00757C0B" w:rsidRPr="000E0D6B" w14:paraId="7F8D09D9" w14:textId="77777777" w:rsidTr="00AD75ED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363B509E" w14:textId="1558FA7E" w:rsidR="00757C0B" w:rsidRPr="001A2890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57" w:type="dxa"/>
            <w:shd w:val="clear" w:color="000000" w:fill="EBF1DE"/>
            <w:noWrap/>
            <w:vAlign w:val="bottom"/>
          </w:tcPr>
          <w:p w14:paraId="1C9094EB" w14:textId="118E80F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2.7%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71ADB4D7" w14:textId="22F5C791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714" w:type="dxa"/>
            <w:shd w:val="clear" w:color="auto" w:fill="E6B8B7"/>
            <w:noWrap/>
            <w:vAlign w:val="bottom"/>
          </w:tcPr>
          <w:p w14:paraId="2FFF8229" w14:textId="49F5BE9F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57" w:type="dxa"/>
            <w:shd w:val="clear" w:color="auto" w:fill="F2DCDB"/>
            <w:noWrap/>
            <w:vAlign w:val="bottom"/>
          </w:tcPr>
          <w:p w14:paraId="783121A7" w14:textId="739EB565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FE4FDCE" w14:textId="2AA1E98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-2.2%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5EE97E4F" w14:textId="20883051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E9F7890" w14:textId="23B25238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6E0FA51" w14:textId="0B08EA11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57" w:type="dxa"/>
            <w:shd w:val="clear" w:color="000000" w:fill="EBF1DE"/>
            <w:noWrap/>
            <w:vAlign w:val="bottom"/>
          </w:tcPr>
          <w:p w14:paraId="7FEFAC45" w14:textId="700838B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0.6%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28B0D1C6" w14:textId="067564BC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226C5267" w14:textId="60A62B1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2.3%</w:t>
            </w:r>
          </w:p>
        </w:tc>
        <w:tc>
          <w:tcPr>
            <w:tcW w:w="720" w:type="dxa"/>
            <w:shd w:val="clear" w:color="auto" w:fill="CFE0AE"/>
            <w:noWrap/>
            <w:vAlign w:val="bottom"/>
          </w:tcPr>
          <w:p w14:paraId="30A1F91C" w14:textId="61CF939A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50DE69C8" w14:textId="735E6604" w:rsidR="00757C0B" w:rsidRPr="001A2890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0.2%</w:t>
            </w:r>
          </w:p>
        </w:tc>
      </w:tr>
      <w:tr w:rsidR="00AD75ED" w:rsidRPr="000E0D6B" w14:paraId="7B47B861" w14:textId="77777777" w:rsidTr="00AD75ED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D977EE7" w14:textId="077C96F3" w:rsidR="00AD75ED" w:rsidRPr="001A2890" w:rsidRDefault="00AD75ED" w:rsidP="00AD75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57" w:type="dxa"/>
            <w:shd w:val="clear" w:color="auto" w:fill="D8E4BC"/>
            <w:noWrap/>
            <w:vAlign w:val="bottom"/>
          </w:tcPr>
          <w:p w14:paraId="57EC2CD2" w14:textId="526000CD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1A806A61" w14:textId="0120BFE8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-3.7%</w:t>
            </w:r>
          </w:p>
        </w:tc>
        <w:tc>
          <w:tcPr>
            <w:tcW w:w="714" w:type="dxa"/>
            <w:shd w:val="clear" w:color="auto" w:fill="E6B8B7"/>
            <w:noWrap/>
            <w:vAlign w:val="bottom"/>
          </w:tcPr>
          <w:p w14:paraId="4B7DC8E7" w14:textId="606EE8B1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-1.6%</w:t>
            </w:r>
          </w:p>
        </w:tc>
        <w:tc>
          <w:tcPr>
            <w:tcW w:w="657" w:type="dxa"/>
            <w:shd w:val="clear" w:color="auto" w:fill="F2DCDB"/>
            <w:noWrap/>
            <w:vAlign w:val="bottom"/>
          </w:tcPr>
          <w:p w14:paraId="33913291" w14:textId="5D499882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644DA6B0" w14:textId="7F4AD6C9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A2890">
              <w:rPr>
                <w:rFonts w:cstheme="minorHAnsi"/>
                <w:sz w:val="16"/>
                <w:szCs w:val="16"/>
              </w:rPr>
              <w:t>-3.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A2890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120088C1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98B0D49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268973B3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02286D20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EF28F5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033205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A2D3B1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9FFA08" w14:textId="77777777" w:rsidR="00AD75ED" w:rsidRPr="001A2890" w:rsidRDefault="00AD75ED" w:rsidP="00AD75ED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14458122" w14:textId="4B781D92" w:rsidR="000E0D6B" w:rsidRDefault="000E0D6B" w:rsidP="000E0D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0E0D6B">
        <w:t xml:space="preserve"> </w:t>
      </w: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>
        <w:rPr>
          <w:color w:val="7F7F7F" w:themeColor="text1" w:themeTint="80"/>
          <w:sz w:val="16"/>
          <w:szCs w:val="16"/>
        </w:rPr>
        <w:t>quad weeks 2017-202</w:t>
      </w:r>
      <w:r w:rsidR="00432D1F">
        <w:rPr>
          <w:color w:val="7F7F7F" w:themeColor="text1" w:themeTint="80"/>
          <w:sz w:val="16"/>
          <w:szCs w:val="16"/>
        </w:rPr>
        <w:t>4</w:t>
      </w:r>
    </w:p>
    <w:p w14:paraId="517A6985" w14:textId="77777777" w:rsidR="00F20BAF" w:rsidRPr="000E0D6B" w:rsidRDefault="00F20BAF" w:rsidP="000E0D6B">
      <w:pPr>
        <w:pStyle w:val="NoSpacing"/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lastRenderedPageBreak/>
        <w:t>Inflation</w:t>
      </w:r>
    </w:p>
    <w:p w14:paraId="4A3C02BB" w14:textId="56156CEB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AD75ED">
        <w:t>in</w:t>
      </w:r>
      <w:r w:rsidR="00157136">
        <w:t>creased</w:t>
      </w:r>
      <w:r w:rsidR="00024D78">
        <w:t xml:space="preserve"> </w:t>
      </w:r>
      <w:r w:rsidR="00AD75ED">
        <w:t xml:space="preserve">slightly </w:t>
      </w:r>
      <w:r w:rsidR="00024D78">
        <w:t>over the</w:t>
      </w:r>
      <w:r w:rsidR="00AD75ED">
        <w:t xml:space="preserve"> past four weeks</w:t>
      </w:r>
      <w:r w:rsidR="00157136">
        <w:t>, both on a per unit and per pound basis</w:t>
      </w:r>
      <w:r w:rsidR="006A1766">
        <w:t xml:space="preserve">. </w:t>
      </w:r>
      <w:r w:rsidR="00024D78">
        <w:t xml:space="preserve">During the </w:t>
      </w:r>
      <w:r w:rsidR="00AD75ED">
        <w:t>full year,</w:t>
      </w:r>
      <w:r w:rsidR="00024D78">
        <w:t xml:space="preserve"> prices were mostly flat.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2875"/>
        <w:gridCol w:w="304"/>
        <w:gridCol w:w="1146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2F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gridSpan w:val="2"/>
          </w:tcPr>
          <w:p w14:paraId="5EC6EFF0" w14:textId="5E92B85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 w.e. 5/19/2024</w:t>
            </w:r>
          </w:p>
        </w:tc>
        <w:tc>
          <w:tcPr>
            <w:tcW w:w="973" w:type="dxa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70D2D049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 5/19/2024</w:t>
            </w:r>
          </w:p>
        </w:tc>
        <w:tc>
          <w:tcPr>
            <w:tcW w:w="817" w:type="dxa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0C3CC4" w14:paraId="2B35BE12" w14:textId="0A6FF303" w:rsidTr="002F4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2D4E898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24D78">
              <w:t>2.</w:t>
            </w:r>
            <w:r w:rsidR="00AD75ED">
              <w:t>81</w:t>
            </w:r>
          </w:p>
        </w:tc>
        <w:tc>
          <w:tcPr>
            <w:tcW w:w="973" w:type="dxa"/>
          </w:tcPr>
          <w:p w14:paraId="3E0967AB" w14:textId="10F1A355" w:rsidR="000C3CC4" w:rsidRDefault="00024D78" w:rsidP="00EA0CB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D75ED">
              <w:t>1.8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17C0F1AF" w:rsidR="000C3CC4" w:rsidRDefault="00663846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D75ED">
              <w:t>3.0</w:t>
            </w:r>
            <w:r w:rsidR="000C3CC4"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3DE60F0A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D75ED">
              <w:t>2.81</w:t>
            </w:r>
          </w:p>
        </w:tc>
        <w:tc>
          <w:tcPr>
            <w:tcW w:w="817" w:type="dxa"/>
          </w:tcPr>
          <w:p w14:paraId="08755E5E" w14:textId="32182876" w:rsidR="000C3CC4" w:rsidRDefault="001C7D0B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46DB2">
              <w:t>0.</w:t>
            </w:r>
            <w:r w:rsidR="00AD75ED">
              <w:t>4</w:t>
            </w:r>
            <w:r w:rsidR="000C3CC4">
              <w:t>%</w:t>
            </w:r>
          </w:p>
        </w:tc>
        <w:tc>
          <w:tcPr>
            <w:tcW w:w="1275" w:type="dxa"/>
          </w:tcPr>
          <w:p w14:paraId="19B1F6D2" w14:textId="728CEF0F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24D78">
              <w:t>5</w:t>
            </w:r>
            <w:r w:rsidR="00AD75ED">
              <w:t>.3</w:t>
            </w:r>
            <w:r>
              <w:t>%</w:t>
            </w:r>
          </w:p>
        </w:tc>
      </w:tr>
      <w:tr w:rsidR="0004266D" w14:paraId="7C18640F" w14:textId="5B569261" w:rsidTr="002F4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35856F4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53F46">
              <w:t>4.</w:t>
            </w:r>
            <w:r w:rsidR="00AD75ED">
              <w:t>58</w:t>
            </w:r>
          </w:p>
        </w:tc>
        <w:tc>
          <w:tcPr>
            <w:tcW w:w="973" w:type="dxa"/>
          </w:tcPr>
          <w:p w14:paraId="7E986169" w14:textId="570FC379" w:rsidR="0004266D" w:rsidRDefault="00024D78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D75ED">
              <w:t>2.0</w:t>
            </w:r>
            <w:r w:rsidR="0004266D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772E3E9F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D75ED">
              <w:t>2.7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4A5CB6B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24D78">
              <w:t>4.</w:t>
            </w:r>
            <w:r w:rsidR="00AD75ED">
              <w:t>59</w:t>
            </w:r>
          </w:p>
        </w:tc>
        <w:tc>
          <w:tcPr>
            <w:tcW w:w="817" w:type="dxa"/>
          </w:tcPr>
          <w:p w14:paraId="1759FD32" w14:textId="3AF2CD17" w:rsidR="0004266D" w:rsidRDefault="00AD75ED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+0.0</w:t>
            </w:r>
            <w:r w:rsidR="0004266D">
              <w:t>%</w:t>
            </w:r>
          </w:p>
        </w:tc>
        <w:tc>
          <w:tcPr>
            <w:tcW w:w="1275" w:type="dxa"/>
          </w:tcPr>
          <w:p w14:paraId="725313BE" w14:textId="0F1ABFC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D75ED">
              <w:t>5.9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36AE70D" w:rsidR="00170260" w:rsidRDefault="00653B33" w:rsidP="00170260">
      <w:pPr>
        <w:pStyle w:val="NoSpacing"/>
      </w:pPr>
      <w:r>
        <w:t>The market did reflect more promotional activity</w:t>
      </w:r>
      <w:r w:rsidR="00B672D0">
        <w:t xml:space="preserve">. </w:t>
      </w:r>
      <w:r w:rsidR="0009067E">
        <w:t xml:space="preserve">During </w:t>
      </w:r>
      <w:r w:rsidR="006636C7">
        <w:t>the latest quad-week period</w:t>
      </w:r>
      <w:r w:rsidR="00A36245">
        <w:t xml:space="preserve"> </w:t>
      </w:r>
      <w:r w:rsidR="00493AD2">
        <w:t>21.6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 w:rsidR="00B672D0">
        <w:t xml:space="preserve"> while on promotion</w:t>
      </w:r>
      <w:r w:rsidR="00E508BB">
        <w:t>.</w:t>
      </w:r>
      <w:r w:rsidR="00663846">
        <w:t xml:space="preserve"> This was up </w:t>
      </w:r>
      <w:r w:rsidR="00493AD2">
        <w:t>5.9</w:t>
      </w:r>
      <w:r w:rsidR="00432D1F">
        <w:t>%</w:t>
      </w:r>
      <w:r w:rsidR="00493AD2">
        <w:t xml:space="preserve"> from last year</w:t>
      </w:r>
      <w:r w:rsidR="00432D1F">
        <w:t>.</w:t>
      </w:r>
      <w:r w:rsidR="00E508BB"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51ADC34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AD75ED">
              <w:t>5</w:t>
            </w:r>
            <w:r w:rsidR="001A2890">
              <w:t>/</w:t>
            </w:r>
            <w:r w:rsidR="00AD75ED">
              <w:t>19</w:t>
            </w:r>
            <w:r w:rsidR="001A2890">
              <w:t>/2024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780DB308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38C3C334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AD75ED">
              <w:t>5</w:t>
            </w:r>
            <w:r w:rsidR="001A2890">
              <w:t>/</w:t>
            </w:r>
            <w:r w:rsidR="00AD75ED">
              <w:t>19</w:t>
            </w:r>
            <w:r w:rsidR="001A2890">
              <w:t>/2024</w:t>
            </w:r>
          </w:p>
        </w:tc>
        <w:tc>
          <w:tcPr>
            <w:tcW w:w="1369" w:type="dxa"/>
          </w:tcPr>
          <w:p w14:paraId="75064544" w14:textId="312D7093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180E8F57" w:rsidR="004A50D2" w:rsidRPr="006617FB" w:rsidRDefault="0015713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AD75ED">
              <w:t>1.6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C8EEB7A" w:rsidR="004A50D2" w:rsidRPr="009B0330" w:rsidRDefault="00511CD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D75ED">
              <w:t>5.9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6C3A3D04" w:rsidR="004A50D2" w:rsidRPr="009B0330" w:rsidRDefault="00AD75ED" w:rsidP="00916DE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19.6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00F044EC" w:rsidR="004A50D2" w:rsidRPr="00314DA1" w:rsidRDefault="00FC56B0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F7D52">
              <w:t>1</w:t>
            </w:r>
            <w:r w:rsidR="00AD75ED">
              <w:t>5.8</w:t>
            </w:r>
            <w:r w:rsidR="004A50D2" w:rsidRPr="00314DA1">
              <w:t>%</w:t>
            </w:r>
          </w:p>
        </w:tc>
      </w:tr>
    </w:tbl>
    <w:p w14:paraId="23606064" w14:textId="540D2D36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AD75ED">
        <w:rPr>
          <w:color w:val="7F7F7F" w:themeColor="text1" w:themeTint="80"/>
          <w:sz w:val="16"/>
          <w:szCs w:val="16"/>
        </w:rPr>
        <w:t>5</w:t>
      </w:r>
      <w:r w:rsidR="001A2890">
        <w:rPr>
          <w:color w:val="7F7F7F" w:themeColor="text1" w:themeTint="80"/>
          <w:sz w:val="16"/>
          <w:szCs w:val="16"/>
        </w:rPr>
        <w:t>/</w:t>
      </w:r>
      <w:r w:rsidR="00AD75ED">
        <w:rPr>
          <w:color w:val="7F7F7F" w:themeColor="text1" w:themeTint="80"/>
          <w:sz w:val="16"/>
          <w:szCs w:val="16"/>
        </w:rPr>
        <w:t>19</w:t>
      </w:r>
      <w:r w:rsidR="001A2890">
        <w:rPr>
          <w:color w:val="7F7F7F" w:themeColor="text1" w:themeTint="80"/>
          <w:sz w:val="16"/>
          <w:szCs w:val="16"/>
        </w:rPr>
        <w:t>/2024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6AD1F198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C3750A">
        <w:t>5</w:t>
      </w:r>
      <w:r w:rsidR="00F565B7">
        <w:t>1.9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C3750A">
        <w:t>5</w:t>
      </w:r>
      <w:r w:rsidR="00F565B7">
        <w:t>8.1</w:t>
      </w:r>
      <w:r w:rsidR="00AB019A">
        <w:t>%</w:t>
      </w:r>
      <w:r w:rsidR="00927EAC">
        <w:t xml:space="preserve">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F565B7">
        <w:t xml:space="preserve"> — back in line with the typical share post Easter holiday period</w:t>
      </w:r>
      <w:r w:rsidR="00927EAC">
        <w:t>.</w:t>
      </w:r>
      <w:r w:rsidR="00B67414">
        <w:t xml:space="preserve"> </w:t>
      </w:r>
      <w:r w:rsidR="00157136">
        <w:t>Crimini mushrooms are the next largest seller</w:t>
      </w:r>
      <w:r w:rsidR="00B67414">
        <w:t xml:space="preserve"> and had </w:t>
      </w:r>
      <w:r w:rsidR="00157136">
        <w:t xml:space="preserve">a better year-on-year volume performance in comparison to white mushrooms. </w:t>
      </w:r>
      <w:r w:rsidR="00B67414">
        <w:t xml:space="preserve">Crimini mushrooms </w:t>
      </w:r>
      <w:r w:rsidR="00F565B7">
        <w:t>volume sales are virtually unchanged compared to year-ago</w:t>
      </w:r>
      <w:r w:rsidR="00B67414">
        <w:t xml:space="preserve">. </w:t>
      </w:r>
      <w:r w:rsidR="00653B33">
        <w:t xml:space="preserve">Specialty mushrooms performed well in 2023, but have seen negative sales in the past few months.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547"/>
        <w:gridCol w:w="1168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33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shd w:val="clear" w:color="auto" w:fill="ED7D31" w:themeFill="accent2"/>
            <w:vAlign w:val="center"/>
            <w:hideMark/>
          </w:tcPr>
          <w:p w14:paraId="4B138C18" w14:textId="150785A5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="001A2890">
              <w:rPr>
                <w:rFonts w:cstheme="minorHAnsi"/>
                <w:b/>
                <w:bCs/>
                <w:color w:val="FFFFFF" w:themeColor="background1"/>
              </w:rPr>
              <w:t>/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19</w:t>
            </w:r>
            <w:r w:rsidR="001A2890">
              <w:rPr>
                <w:rFonts w:cstheme="minorHAnsi"/>
                <w:b/>
                <w:bCs/>
                <w:color w:val="FFFFFF" w:themeColor="background1"/>
              </w:rPr>
              <w:t>/2024</w:t>
            </w:r>
          </w:p>
        </w:tc>
        <w:tc>
          <w:tcPr>
            <w:tcW w:w="1168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0D31FA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YA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43C7D0E9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2YA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23980CE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YA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641A6FE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AD75ED">
              <w:rPr>
                <w:rFonts w:cstheme="minorHAnsi"/>
                <w:b/>
                <w:bCs/>
                <w:color w:val="FFFFFF" w:themeColor="background1"/>
              </w:rPr>
              <w:t>2YA</w:t>
            </w:r>
          </w:p>
        </w:tc>
      </w:tr>
      <w:tr w:rsidR="00493AD2" w:rsidRPr="00B25DFD" w14:paraId="69D4AA5B" w14:textId="069A747C" w:rsidTr="00BC2163">
        <w:trPr>
          <w:trHeight w:val="20"/>
        </w:trPr>
        <w:tc>
          <w:tcPr>
            <w:tcW w:w="2547" w:type="dxa"/>
            <w:vAlign w:val="center"/>
            <w:hideMark/>
          </w:tcPr>
          <w:p w14:paraId="2C1CDE46" w14:textId="7A51B401" w:rsidR="00493AD2" w:rsidRPr="006A7A6E" w:rsidRDefault="00493AD2" w:rsidP="00493AD2">
            <w:pPr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1168" w:type="dxa"/>
            <w:vAlign w:val="center"/>
            <w:hideMark/>
          </w:tcPr>
          <w:p w14:paraId="6A87FED7" w14:textId="06FCF804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$100.3M</w:t>
            </w:r>
          </w:p>
        </w:tc>
        <w:tc>
          <w:tcPr>
            <w:tcW w:w="882" w:type="dxa"/>
            <w:vAlign w:val="center"/>
          </w:tcPr>
          <w:p w14:paraId="3A01C257" w14:textId="2F0F7B20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100.0%</w:t>
            </w:r>
          </w:p>
        </w:tc>
        <w:tc>
          <w:tcPr>
            <w:tcW w:w="991" w:type="dxa"/>
            <w:vAlign w:val="center"/>
            <w:hideMark/>
          </w:tcPr>
          <w:p w14:paraId="7E486F05" w14:textId="35AB8304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-3.1%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3BD808C1" w14:textId="6B31D629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-7.5%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E7375BC" w14:textId="6734CCBE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21.9M</w:t>
            </w:r>
          </w:p>
        </w:tc>
        <w:tc>
          <w:tcPr>
            <w:tcW w:w="1117" w:type="dxa"/>
            <w:vAlign w:val="center"/>
          </w:tcPr>
          <w:p w14:paraId="62317D86" w14:textId="53E29525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100.0%</w:t>
            </w:r>
          </w:p>
        </w:tc>
        <w:tc>
          <w:tcPr>
            <w:tcW w:w="1047" w:type="dxa"/>
            <w:vAlign w:val="center"/>
          </w:tcPr>
          <w:p w14:paraId="5E78B271" w14:textId="7BCEC846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-4.9%</w:t>
            </w:r>
          </w:p>
        </w:tc>
        <w:tc>
          <w:tcPr>
            <w:tcW w:w="964" w:type="dxa"/>
            <w:vAlign w:val="center"/>
          </w:tcPr>
          <w:p w14:paraId="576290B6" w14:textId="0483DD85" w:rsidR="00493AD2" w:rsidRPr="00B67414" w:rsidRDefault="00493AD2" w:rsidP="00493AD2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</w:rPr>
              <w:t>-15.6%</w:t>
            </w:r>
          </w:p>
        </w:tc>
      </w:tr>
      <w:tr w:rsidR="00493AD2" w:rsidRPr="00B25DFD" w14:paraId="20B4A675" w14:textId="7B567306" w:rsidTr="00BC2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  <w:hideMark/>
          </w:tcPr>
          <w:p w14:paraId="0674F69D" w14:textId="14F6B26F" w:rsidR="00493AD2" w:rsidRPr="006A7A6E" w:rsidRDefault="00493AD2" w:rsidP="00493AD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502595AA" w14:textId="33485BC2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$52.1M</w:t>
            </w:r>
          </w:p>
        </w:tc>
        <w:tc>
          <w:tcPr>
            <w:tcW w:w="882" w:type="dxa"/>
            <w:vAlign w:val="center"/>
          </w:tcPr>
          <w:p w14:paraId="5E770B3E" w14:textId="4714FBB1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51.9%</w:t>
            </w:r>
          </w:p>
        </w:tc>
        <w:tc>
          <w:tcPr>
            <w:tcW w:w="991" w:type="dxa"/>
            <w:vAlign w:val="center"/>
            <w:hideMark/>
          </w:tcPr>
          <w:p w14:paraId="4CEB702D" w14:textId="6273A93B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-4.1%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7F3B4AE1" w14:textId="7509681D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-9.6%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3E87B660" w14:textId="6D77F508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12.7M</w:t>
            </w:r>
          </w:p>
        </w:tc>
        <w:tc>
          <w:tcPr>
            <w:tcW w:w="1117" w:type="dxa"/>
            <w:vAlign w:val="center"/>
          </w:tcPr>
          <w:p w14:paraId="4385ED4A" w14:textId="56552517" w:rsidR="00493AD2" w:rsidRPr="00157136" w:rsidRDefault="00493AD2" w:rsidP="00493AD2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58.1%</w:t>
            </w:r>
          </w:p>
        </w:tc>
        <w:tc>
          <w:tcPr>
            <w:tcW w:w="1047" w:type="dxa"/>
            <w:vAlign w:val="center"/>
          </w:tcPr>
          <w:p w14:paraId="776C4AD3" w14:textId="1E72764F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-8.1%</w:t>
            </w:r>
          </w:p>
        </w:tc>
        <w:tc>
          <w:tcPr>
            <w:tcW w:w="964" w:type="dxa"/>
            <w:vAlign w:val="center"/>
          </w:tcPr>
          <w:p w14:paraId="107F8B93" w14:textId="0C39A3B8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-18.7%</w:t>
            </w:r>
          </w:p>
        </w:tc>
      </w:tr>
      <w:tr w:rsidR="00493AD2" w:rsidRPr="00B25DFD" w14:paraId="6060C93B" w14:textId="081A30E4" w:rsidTr="004D6FCC">
        <w:trPr>
          <w:trHeight w:val="20"/>
        </w:trPr>
        <w:tc>
          <w:tcPr>
            <w:tcW w:w="2547" w:type="dxa"/>
            <w:vAlign w:val="center"/>
            <w:hideMark/>
          </w:tcPr>
          <w:p w14:paraId="4D628EC6" w14:textId="376B9C50" w:rsidR="00493AD2" w:rsidRPr="006A7A6E" w:rsidRDefault="00493AD2" w:rsidP="00493AD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Crimini mushrooms</w:t>
            </w:r>
          </w:p>
        </w:tc>
        <w:tc>
          <w:tcPr>
            <w:tcW w:w="1168" w:type="dxa"/>
            <w:vAlign w:val="center"/>
            <w:hideMark/>
          </w:tcPr>
          <w:p w14:paraId="590C2B94" w14:textId="7DE77AF9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$33.8M</w:t>
            </w:r>
          </w:p>
        </w:tc>
        <w:tc>
          <w:tcPr>
            <w:tcW w:w="882" w:type="dxa"/>
            <w:vAlign w:val="center"/>
          </w:tcPr>
          <w:p w14:paraId="02395440" w14:textId="3940A92D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33.7%</w:t>
            </w:r>
          </w:p>
        </w:tc>
        <w:tc>
          <w:tcPr>
            <w:tcW w:w="991" w:type="dxa"/>
            <w:vAlign w:val="center"/>
            <w:hideMark/>
          </w:tcPr>
          <w:p w14:paraId="42F0AAF3" w14:textId="1F212512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-1.4%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25DB127B" w14:textId="414541E8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+5.6%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FD24DED" w14:textId="6AA517A6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7.0M</w:t>
            </w:r>
          </w:p>
        </w:tc>
        <w:tc>
          <w:tcPr>
            <w:tcW w:w="1117" w:type="dxa"/>
            <w:vAlign w:val="center"/>
          </w:tcPr>
          <w:p w14:paraId="39529C18" w14:textId="5C0AAF6D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32.1%</w:t>
            </w:r>
          </w:p>
        </w:tc>
        <w:tc>
          <w:tcPr>
            <w:tcW w:w="1047" w:type="dxa"/>
            <w:vAlign w:val="center"/>
          </w:tcPr>
          <w:p w14:paraId="720478A7" w14:textId="037BA687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-0.2%</w:t>
            </w:r>
          </w:p>
        </w:tc>
        <w:tc>
          <w:tcPr>
            <w:tcW w:w="964" w:type="dxa"/>
            <w:vAlign w:val="center"/>
          </w:tcPr>
          <w:p w14:paraId="30958CBD" w14:textId="36260D7C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-4.0%</w:t>
            </w:r>
          </w:p>
        </w:tc>
      </w:tr>
      <w:tr w:rsidR="00493AD2" w:rsidRPr="00B25DFD" w14:paraId="2B6B448E" w14:textId="7445020D" w:rsidTr="004D6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  <w:hideMark/>
          </w:tcPr>
          <w:p w14:paraId="7C14C062" w14:textId="160D2347" w:rsidR="00493AD2" w:rsidRPr="006A7A6E" w:rsidRDefault="00493AD2" w:rsidP="00493AD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1168" w:type="dxa"/>
            <w:vAlign w:val="center"/>
            <w:hideMark/>
          </w:tcPr>
          <w:p w14:paraId="43257BA5" w14:textId="0DA290B4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$5.2M</w:t>
            </w:r>
          </w:p>
        </w:tc>
        <w:tc>
          <w:tcPr>
            <w:tcW w:w="882" w:type="dxa"/>
            <w:vAlign w:val="center"/>
          </w:tcPr>
          <w:p w14:paraId="7EC04D31" w14:textId="039CF323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5.2%</w:t>
            </w:r>
          </w:p>
        </w:tc>
        <w:tc>
          <w:tcPr>
            <w:tcW w:w="991" w:type="dxa"/>
            <w:vAlign w:val="center"/>
            <w:hideMark/>
          </w:tcPr>
          <w:p w14:paraId="10052F27" w14:textId="1CE1E194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-2.2%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31EEA636" w14:textId="76E01CB0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-13.0%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166CB34C" w14:textId="7E509DAF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0.4M</w:t>
            </w:r>
          </w:p>
        </w:tc>
        <w:tc>
          <w:tcPr>
            <w:tcW w:w="1117" w:type="dxa"/>
            <w:vAlign w:val="center"/>
          </w:tcPr>
          <w:p w14:paraId="417DE33D" w14:textId="20313150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1.7%</w:t>
            </w:r>
          </w:p>
        </w:tc>
        <w:tc>
          <w:tcPr>
            <w:tcW w:w="1047" w:type="dxa"/>
            <w:vAlign w:val="center"/>
          </w:tcPr>
          <w:p w14:paraId="632726C6" w14:textId="4827B936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-2.8%</w:t>
            </w:r>
          </w:p>
        </w:tc>
        <w:tc>
          <w:tcPr>
            <w:tcW w:w="964" w:type="dxa"/>
            <w:vAlign w:val="center"/>
          </w:tcPr>
          <w:p w14:paraId="700774A9" w14:textId="11E5C9EB" w:rsidR="00493AD2" w:rsidRPr="00157136" w:rsidRDefault="00493AD2" w:rsidP="00493AD2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kern w:val="24"/>
              </w:rPr>
              <w:t>-21.0%</w:t>
            </w:r>
          </w:p>
        </w:tc>
      </w:tr>
    </w:tbl>
    <w:bookmarkEnd w:id="0"/>
    <w:p w14:paraId="45617577" w14:textId="2BB5B834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AD75ED">
        <w:rPr>
          <w:color w:val="7F7F7F" w:themeColor="text1" w:themeTint="80"/>
          <w:sz w:val="16"/>
          <w:szCs w:val="16"/>
        </w:rPr>
        <w:t>5</w:t>
      </w:r>
      <w:r w:rsidR="001A2890">
        <w:rPr>
          <w:color w:val="7F7F7F" w:themeColor="text1" w:themeTint="80"/>
          <w:sz w:val="16"/>
          <w:szCs w:val="16"/>
        </w:rPr>
        <w:t>/</w:t>
      </w:r>
      <w:r w:rsidR="00AD75ED">
        <w:rPr>
          <w:color w:val="7F7F7F" w:themeColor="text1" w:themeTint="80"/>
          <w:sz w:val="16"/>
          <w:szCs w:val="16"/>
        </w:rPr>
        <w:t>19</w:t>
      </w:r>
      <w:r w:rsidR="001A2890">
        <w:rPr>
          <w:color w:val="7F7F7F" w:themeColor="text1" w:themeTint="80"/>
          <w:sz w:val="16"/>
          <w:szCs w:val="16"/>
        </w:rPr>
        <w:t>/2024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5706E13F" w:rsidR="00C9550B" w:rsidRDefault="00C9550B" w:rsidP="00174F0E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565B7">
        <w:rPr>
          <w:color w:val="000000" w:themeColor="text1"/>
        </w:rPr>
        <w:t>$735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565B7">
        <w:rPr>
          <w:color w:val="000000" w:themeColor="text1"/>
        </w:rPr>
        <w:t xml:space="preserve"> slight decrease of 2.3% versus year-ago levels. </w:t>
      </w:r>
      <w:r w:rsidR="00834A70">
        <w:rPr>
          <w:color w:val="000000" w:themeColor="text1"/>
        </w:rPr>
        <w:t xml:space="preserve"> 16-ounce packages are the next la</w:t>
      </w:r>
      <w:r w:rsidR="00663846">
        <w:rPr>
          <w:color w:val="000000" w:themeColor="text1"/>
        </w:rPr>
        <w:t xml:space="preserve">rgest seller, </w:t>
      </w:r>
      <w:r w:rsidR="00283776">
        <w:rPr>
          <w:color w:val="000000" w:themeColor="text1"/>
        </w:rPr>
        <w:t xml:space="preserve">at </w:t>
      </w:r>
      <w:r w:rsidR="00F565B7">
        <w:rPr>
          <w:color w:val="000000" w:themeColor="text1"/>
        </w:rPr>
        <w:t xml:space="preserve">$227 million over the latest 52 weeks, down 8.3%. 24-ounce packages outperformed and grew dollars, units and pounds, though 52-week sales are much lower, at $79 million. </w:t>
      </w:r>
    </w:p>
    <w:p w14:paraId="5A086945" w14:textId="211575D9" w:rsidR="00B11421" w:rsidRPr="00B11421" w:rsidRDefault="004462C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Organic vs</w:t>
      </w:r>
      <w:r w:rsidR="005B6968" w:rsidRPr="00B11421">
        <w:rPr>
          <w:color w:val="000000" w:themeColor="text1"/>
          <w:u w:val="single"/>
        </w:rPr>
        <w:t>.</w:t>
      </w:r>
      <w:r w:rsidRPr="00B11421">
        <w:rPr>
          <w:color w:val="000000" w:themeColor="text1"/>
          <w:u w:val="single"/>
        </w:rPr>
        <w:t xml:space="preserve"> conventional</w:t>
      </w:r>
      <w:r w:rsidRPr="00B11421">
        <w:rPr>
          <w:color w:val="000000" w:themeColor="text1"/>
        </w:rPr>
        <w:t xml:space="preserve">: Organic </w:t>
      </w:r>
      <w:r w:rsidR="005B6968" w:rsidRPr="00B11421">
        <w:rPr>
          <w:color w:val="000000" w:themeColor="text1"/>
        </w:rPr>
        <w:t xml:space="preserve">mushrooms </w:t>
      </w:r>
      <w:r w:rsidRPr="00B11421">
        <w:rPr>
          <w:color w:val="000000" w:themeColor="text1"/>
        </w:rPr>
        <w:t>made up</w:t>
      </w:r>
      <w:r w:rsidR="007946B0">
        <w:rPr>
          <w:color w:val="000000" w:themeColor="text1"/>
        </w:rPr>
        <w:t xml:space="preserve"> </w:t>
      </w:r>
      <w:r w:rsidR="00195B70">
        <w:rPr>
          <w:color w:val="000000" w:themeColor="text1"/>
        </w:rPr>
        <w:t>10.0</w:t>
      </w:r>
      <w:r w:rsidRPr="00B11421">
        <w:rPr>
          <w:color w:val="000000" w:themeColor="text1"/>
        </w:rPr>
        <w:t xml:space="preserve">% of </w:t>
      </w:r>
      <w:r w:rsidR="00BE7EF2" w:rsidRPr="00B11421">
        <w:rPr>
          <w:color w:val="000000" w:themeColor="text1"/>
        </w:rPr>
        <w:t>pounds</w:t>
      </w:r>
      <w:r w:rsidR="00F565B7">
        <w:rPr>
          <w:color w:val="000000" w:themeColor="text1"/>
        </w:rPr>
        <w:t>. Dollar and volume sales were up for organic mushrooms, with a 12.0% year-on-year increase for organic mushroom pounds. Organic mushroom sales have been outperforming conventional for a while now</w:t>
      </w:r>
      <w:r w:rsidR="00195B70">
        <w:rPr>
          <w:color w:val="000000" w:themeColor="text1"/>
        </w:rPr>
        <w:t>.</w:t>
      </w:r>
      <w:r w:rsidR="00B42A49" w:rsidRPr="00B11421">
        <w:rPr>
          <w:color w:val="000000" w:themeColor="text1"/>
        </w:rPr>
        <w:t xml:space="preserve"> </w:t>
      </w:r>
    </w:p>
    <w:p w14:paraId="5CC8E748" w14:textId="39C155A3" w:rsidR="00300A5F" w:rsidRPr="00B11421" w:rsidRDefault="00B1142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D7CF0">
        <w:rPr>
          <w:color w:val="000000" w:themeColor="text1"/>
          <w:u w:val="single"/>
        </w:rPr>
        <w:t>Whole vs. sliced/diced</w:t>
      </w:r>
      <w:r>
        <w:rPr>
          <w:color w:val="000000" w:themeColor="text1"/>
        </w:rPr>
        <w:t xml:space="preserve">: </w:t>
      </w:r>
      <w:r w:rsidR="00F565B7">
        <w:rPr>
          <w:color w:val="000000" w:themeColor="text1"/>
        </w:rPr>
        <w:t>Whole mushrooms had shown an above-average performance</w:t>
      </w:r>
      <w:r w:rsidR="00990EE6">
        <w:rPr>
          <w:color w:val="000000" w:themeColor="text1"/>
        </w:rPr>
        <w:t xml:space="preserve"> but sliced and whole were very similar in the current quad week</w:t>
      </w:r>
      <w:r w:rsidR="008627B8">
        <w:rPr>
          <w:color w:val="000000" w:themeColor="text1"/>
        </w:rPr>
        <w:t>.</w:t>
      </w:r>
      <w:r w:rsidR="00F565B7">
        <w:rPr>
          <w:color w:val="000000" w:themeColor="text1"/>
        </w:rPr>
        <w:t xml:space="preserve"> </w:t>
      </w:r>
      <w:r w:rsidR="00195B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09067E" w:rsidRPr="00B11421">
        <w:rPr>
          <w:color w:val="000000" w:themeColor="text1"/>
        </w:rPr>
        <w:t xml:space="preserve"> </w:t>
      </w:r>
    </w:p>
    <w:p w14:paraId="780AB35F" w14:textId="77777777" w:rsidR="000E0D6B" w:rsidRPr="00B11421" w:rsidRDefault="000E0D6B" w:rsidP="00C9550B">
      <w:pPr>
        <w:pStyle w:val="NoSpacing"/>
        <w:rPr>
          <w:color w:val="000000" w:themeColor="text1"/>
          <w:sz w:val="14"/>
          <w:szCs w:val="14"/>
        </w:rPr>
      </w:pPr>
    </w:p>
    <w:p w14:paraId="5DBFDF80" w14:textId="168D1A86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1A2890">
        <w:rPr>
          <w:color w:val="7F7F7F" w:themeColor="text1" w:themeTint="80"/>
          <w:sz w:val="16"/>
          <w:szCs w:val="16"/>
        </w:rPr>
        <w:t>4/21/2024</w:t>
      </w:r>
      <w:r w:rsidR="00B34EF7">
        <w:t xml:space="preserve"> </w:t>
      </w:r>
    </w:p>
    <w:sectPr w:rsidR="00B34EF7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34F7" w14:textId="77777777" w:rsidR="00DE7CE5" w:rsidRDefault="00DE7CE5" w:rsidP="004E49DD">
      <w:pPr>
        <w:spacing w:after="0" w:line="240" w:lineRule="auto"/>
      </w:pPr>
      <w:r>
        <w:separator/>
      </w:r>
    </w:p>
  </w:endnote>
  <w:endnote w:type="continuationSeparator" w:id="0">
    <w:p w14:paraId="2A2D8413" w14:textId="77777777" w:rsidR="00DE7CE5" w:rsidRDefault="00DE7CE5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2C434" w14:textId="77777777" w:rsidR="00DE7CE5" w:rsidRDefault="00DE7CE5" w:rsidP="004E49DD">
      <w:pPr>
        <w:spacing w:after="0" w:line="240" w:lineRule="auto"/>
      </w:pPr>
      <w:r>
        <w:separator/>
      </w:r>
    </w:p>
  </w:footnote>
  <w:footnote w:type="continuationSeparator" w:id="0">
    <w:p w14:paraId="06C40908" w14:textId="77777777" w:rsidR="00DE7CE5" w:rsidRDefault="00DE7CE5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0017">
    <w:abstractNumId w:val="14"/>
  </w:num>
  <w:num w:numId="2" w16cid:durableId="64190257">
    <w:abstractNumId w:val="16"/>
  </w:num>
  <w:num w:numId="3" w16cid:durableId="71661545">
    <w:abstractNumId w:val="19"/>
  </w:num>
  <w:num w:numId="4" w16cid:durableId="2021196491">
    <w:abstractNumId w:val="8"/>
  </w:num>
  <w:num w:numId="5" w16cid:durableId="277881297">
    <w:abstractNumId w:val="24"/>
  </w:num>
  <w:num w:numId="6" w16cid:durableId="673996481">
    <w:abstractNumId w:val="17"/>
  </w:num>
  <w:num w:numId="7" w16cid:durableId="1878739292">
    <w:abstractNumId w:val="10"/>
  </w:num>
  <w:num w:numId="8" w16cid:durableId="571617845">
    <w:abstractNumId w:val="7"/>
  </w:num>
  <w:num w:numId="9" w16cid:durableId="1502505735">
    <w:abstractNumId w:val="4"/>
  </w:num>
  <w:num w:numId="10" w16cid:durableId="1246956206">
    <w:abstractNumId w:val="21"/>
  </w:num>
  <w:num w:numId="11" w16cid:durableId="988485736">
    <w:abstractNumId w:val="6"/>
  </w:num>
  <w:num w:numId="12" w16cid:durableId="182406450">
    <w:abstractNumId w:val="20"/>
  </w:num>
  <w:num w:numId="13" w16cid:durableId="144205097">
    <w:abstractNumId w:val="9"/>
  </w:num>
  <w:num w:numId="14" w16cid:durableId="597905518">
    <w:abstractNumId w:val="12"/>
  </w:num>
  <w:num w:numId="15" w16cid:durableId="1028288352">
    <w:abstractNumId w:val="27"/>
  </w:num>
  <w:num w:numId="16" w16cid:durableId="1845901640">
    <w:abstractNumId w:val="0"/>
  </w:num>
  <w:num w:numId="17" w16cid:durableId="6949054">
    <w:abstractNumId w:val="15"/>
  </w:num>
  <w:num w:numId="18" w16cid:durableId="758912408">
    <w:abstractNumId w:val="26"/>
  </w:num>
  <w:num w:numId="19" w16cid:durableId="1766002101">
    <w:abstractNumId w:val="13"/>
  </w:num>
  <w:num w:numId="20" w16cid:durableId="141235517">
    <w:abstractNumId w:val="22"/>
  </w:num>
  <w:num w:numId="21" w16cid:durableId="1528368648">
    <w:abstractNumId w:val="11"/>
  </w:num>
  <w:num w:numId="22" w16cid:durableId="1440487094">
    <w:abstractNumId w:val="1"/>
  </w:num>
  <w:num w:numId="23" w16cid:durableId="848908707">
    <w:abstractNumId w:val="3"/>
  </w:num>
  <w:num w:numId="24" w16cid:durableId="1713311247">
    <w:abstractNumId w:val="18"/>
  </w:num>
  <w:num w:numId="25" w16cid:durableId="1397049761">
    <w:abstractNumId w:val="23"/>
  </w:num>
  <w:num w:numId="26" w16cid:durableId="1543907093">
    <w:abstractNumId w:val="2"/>
  </w:num>
  <w:num w:numId="27" w16cid:durableId="907492398">
    <w:abstractNumId w:val="5"/>
  </w:num>
  <w:num w:numId="28" w16cid:durableId="15673728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4D78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7984"/>
    <w:rsid w:val="00070F7C"/>
    <w:rsid w:val="0007328F"/>
    <w:rsid w:val="00074705"/>
    <w:rsid w:val="0007660D"/>
    <w:rsid w:val="000809C3"/>
    <w:rsid w:val="00085508"/>
    <w:rsid w:val="00085F10"/>
    <w:rsid w:val="00090109"/>
    <w:rsid w:val="0009067E"/>
    <w:rsid w:val="000963FA"/>
    <w:rsid w:val="000A4146"/>
    <w:rsid w:val="000C03B1"/>
    <w:rsid w:val="000C1DF9"/>
    <w:rsid w:val="000C29FA"/>
    <w:rsid w:val="000C3CC4"/>
    <w:rsid w:val="000D5A69"/>
    <w:rsid w:val="000D7A79"/>
    <w:rsid w:val="000E0D6B"/>
    <w:rsid w:val="000E2A1D"/>
    <w:rsid w:val="000E537C"/>
    <w:rsid w:val="000E61FF"/>
    <w:rsid w:val="001026FB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37CE"/>
    <w:rsid w:val="00251BBC"/>
    <w:rsid w:val="00253F46"/>
    <w:rsid w:val="00264BA7"/>
    <w:rsid w:val="00264EDA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9118F"/>
    <w:rsid w:val="00291F75"/>
    <w:rsid w:val="00292678"/>
    <w:rsid w:val="002B3879"/>
    <w:rsid w:val="002B7DCE"/>
    <w:rsid w:val="002B7E48"/>
    <w:rsid w:val="002E2CD2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3C7"/>
    <w:rsid w:val="00323F77"/>
    <w:rsid w:val="003263AC"/>
    <w:rsid w:val="003305B1"/>
    <w:rsid w:val="00337F18"/>
    <w:rsid w:val="00347118"/>
    <w:rsid w:val="00347E3A"/>
    <w:rsid w:val="003516FA"/>
    <w:rsid w:val="003534A1"/>
    <w:rsid w:val="003621B3"/>
    <w:rsid w:val="00362BB1"/>
    <w:rsid w:val="00363853"/>
    <w:rsid w:val="003648C5"/>
    <w:rsid w:val="00372196"/>
    <w:rsid w:val="00375863"/>
    <w:rsid w:val="00395541"/>
    <w:rsid w:val="00396448"/>
    <w:rsid w:val="003A3323"/>
    <w:rsid w:val="003A5AFE"/>
    <w:rsid w:val="003A6A4B"/>
    <w:rsid w:val="003B4E77"/>
    <w:rsid w:val="003C014B"/>
    <w:rsid w:val="003C1DD2"/>
    <w:rsid w:val="003C4CCE"/>
    <w:rsid w:val="003C72DD"/>
    <w:rsid w:val="003C7AA5"/>
    <w:rsid w:val="003D184D"/>
    <w:rsid w:val="003D3BDA"/>
    <w:rsid w:val="003D3C99"/>
    <w:rsid w:val="003D5B00"/>
    <w:rsid w:val="003D6A0F"/>
    <w:rsid w:val="003E466E"/>
    <w:rsid w:val="003E61D0"/>
    <w:rsid w:val="003E75D3"/>
    <w:rsid w:val="003F4A65"/>
    <w:rsid w:val="003F77CF"/>
    <w:rsid w:val="003F7D52"/>
    <w:rsid w:val="00403666"/>
    <w:rsid w:val="00406762"/>
    <w:rsid w:val="00411710"/>
    <w:rsid w:val="004147E0"/>
    <w:rsid w:val="00417945"/>
    <w:rsid w:val="00421D7D"/>
    <w:rsid w:val="00423CCF"/>
    <w:rsid w:val="00424BD4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4C4D"/>
    <w:rsid w:val="004F7487"/>
    <w:rsid w:val="00504377"/>
    <w:rsid w:val="00504861"/>
    <w:rsid w:val="005049A9"/>
    <w:rsid w:val="00511CD0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2C5D"/>
    <w:rsid w:val="005547EE"/>
    <w:rsid w:val="00555250"/>
    <w:rsid w:val="005571F3"/>
    <w:rsid w:val="00562346"/>
    <w:rsid w:val="0056284A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F1173"/>
    <w:rsid w:val="006035CB"/>
    <w:rsid w:val="00606FA3"/>
    <w:rsid w:val="00615709"/>
    <w:rsid w:val="00617504"/>
    <w:rsid w:val="00617712"/>
    <w:rsid w:val="0062044B"/>
    <w:rsid w:val="00620ED9"/>
    <w:rsid w:val="00621E2A"/>
    <w:rsid w:val="00630F34"/>
    <w:rsid w:val="00632993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4050"/>
    <w:rsid w:val="00697E4D"/>
    <w:rsid w:val="006A1766"/>
    <w:rsid w:val="006A7A6E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BCD"/>
    <w:rsid w:val="00734289"/>
    <w:rsid w:val="007501A6"/>
    <w:rsid w:val="00752CD4"/>
    <w:rsid w:val="00757C0B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6DB2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26014"/>
    <w:rsid w:val="0083255B"/>
    <w:rsid w:val="00832F0A"/>
    <w:rsid w:val="00834A70"/>
    <w:rsid w:val="00837283"/>
    <w:rsid w:val="00851AC9"/>
    <w:rsid w:val="00851FDB"/>
    <w:rsid w:val="0086198D"/>
    <w:rsid w:val="008627B8"/>
    <w:rsid w:val="00863641"/>
    <w:rsid w:val="0086536E"/>
    <w:rsid w:val="00866A7D"/>
    <w:rsid w:val="008717C6"/>
    <w:rsid w:val="00873884"/>
    <w:rsid w:val="008815E3"/>
    <w:rsid w:val="008857EE"/>
    <w:rsid w:val="008A084A"/>
    <w:rsid w:val="008A1DBB"/>
    <w:rsid w:val="008A56E2"/>
    <w:rsid w:val="008B128D"/>
    <w:rsid w:val="008B46B0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6FE2"/>
    <w:rsid w:val="00957F25"/>
    <w:rsid w:val="00972570"/>
    <w:rsid w:val="00975AF5"/>
    <w:rsid w:val="00976BF7"/>
    <w:rsid w:val="00977F7F"/>
    <w:rsid w:val="00986D1F"/>
    <w:rsid w:val="00990EE6"/>
    <w:rsid w:val="009B0330"/>
    <w:rsid w:val="009B3A61"/>
    <w:rsid w:val="009B71AE"/>
    <w:rsid w:val="009B7AC3"/>
    <w:rsid w:val="009D40C5"/>
    <w:rsid w:val="009D5574"/>
    <w:rsid w:val="009D6711"/>
    <w:rsid w:val="009E4486"/>
    <w:rsid w:val="009F6363"/>
    <w:rsid w:val="00A00697"/>
    <w:rsid w:val="00A050F9"/>
    <w:rsid w:val="00A13601"/>
    <w:rsid w:val="00A142BB"/>
    <w:rsid w:val="00A14586"/>
    <w:rsid w:val="00A14882"/>
    <w:rsid w:val="00A14C2B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57C4"/>
    <w:rsid w:val="00A668C3"/>
    <w:rsid w:val="00A70428"/>
    <w:rsid w:val="00A72B72"/>
    <w:rsid w:val="00A76558"/>
    <w:rsid w:val="00A80980"/>
    <w:rsid w:val="00A86F80"/>
    <w:rsid w:val="00A94A88"/>
    <w:rsid w:val="00A95B14"/>
    <w:rsid w:val="00A96E20"/>
    <w:rsid w:val="00AA721E"/>
    <w:rsid w:val="00AB019A"/>
    <w:rsid w:val="00AB06E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33A73"/>
    <w:rsid w:val="00B34EF7"/>
    <w:rsid w:val="00B362B8"/>
    <w:rsid w:val="00B40974"/>
    <w:rsid w:val="00B40C43"/>
    <w:rsid w:val="00B42A49"/>
    <w:rsid w:val="00B42A84"/>
    <w:rsid w:val="00B542D1"/>
    <w:rsid w:val="00B562D5"/>
    <w:rsid w:val="00B66E92"/>
    <w:rsid w:val="00B672D0"/>
    <w:rsid w:val="00B67414"/>
    <w:rsid w:val="00B67EE8"/>
    <w:rsid w:val="00B8232B"/>
    <w:rsid w:val="00B913BB"/>
    <w:rsid w:val="00B9392A"/>
    <w:rsid w:val="00B94AB0"/>
    <w:rsid w:val="00B96FC1"/>
    <w:rsid w:val="00B979CF"/>
    <w:rsid w:val="00BA5F60"/>
    <w:rsid w:val="00BB03F4"/>
    <w:rsid w:val="00BB197D"/>
    <w:rsid w:val="00BC1A46"/>
    <w:rsid w:val="00BC34B2"/>
    <w:rsid w:val="00BC63FC"/>
    <w:rsid w:val="00BD7CF0"/>
    <w:rsid w:val="00BE7EF2"/>
    <w:rsid w:val="00BF2F6B"/>
    <w:rsid w:val="00BF3DAE"/>
    <w:rsid w:val="00BF5D9C"/>
    <w:rsid w:val="00BF62D3"/>
    <w:rsid w:val="00BF713B"/>
    <w:rsid w:val="00C00809"/>
    <w:rsid w:val="00C00CFD"/>
    <w:rsid w:val="00C0288B"/>
    <w:rsid w:val="00C06C77"/>
    <w:rsid w:val="00C12877"/>
    <w:rsid w:val="00C12E18"/>
    <w:rsid w:val="00C25B31"/>
    <w:rsid w:val="00C329D7"/>
    <w:rsid w:val="00C3750A"/>
    <w:rsid w:val="00C3770B"/>
    <w:rsid w:val="00C422D1"/>
    <w:rsid w:val="00C469D3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E27CF"/>
    <w:rsid w:val="00CE4BEB"/>
    <w:rsid w:val="00CE621C"/>
    <w:rsid w:val="00D03B05"/>
    <w:rsid w:val="00D06A72"/>
    <w:rsid w:val="00D116C0"/>
    <w:rsid w:val="00D1241B"/>
    <w:rsid w:val="00D131C5"/>
    <w:rsid w:val="00D14991"/>
    <w:rsid w:val="00D2073F"/>
    <w:rsid w:val="00D22E21"/>
    <w:rsid w:val="00D261F8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E4C4C"/>
    <w:rsid w:val="00DE66CE"/>
    <w:rsid w:val="00DE7CE5"/>
    <w:rsid w:val="00DF1F77"/>
    <w:rsid w:val="00E20285"/>
    <w:rsid w:val="00E20E22"/>
    <w:rsid w:val="00E22317"/>
    <w:rsid w:val="00E229C8"/>
    <w:rsid w:val="00E23359"/>
    <w:rsid w:val="00E26986"/>
    <w:rsid w:val="00E26AD1"/>
    <w:rsid w:val="00E34CF4"/>
    <w:rsid w:val="00E37DF5"/>
    <w:rsid w:val="00E4438B"/>
    <w:rsid w:val="00E46DB2"/>
    <w:rsid w:val="00E477C3"/>
    <w:rsid w:val="00E508BB"/>
    <w:rsid w:val="00E54683"/>
    <w:rsid w:val="00E57C49"/>
    <w:rsid w:val="00E629E0"/>
    <w:rsid w:val="00E65269"/>
    <w:rsid w:val="00E65A4C"/>
    <w:rsid w:val="00E758A0"/>
    <w:rsid w:val="00E81634"/>
    <w:rsid w:val="00E85C62"/>
    <w:rsid w:val="00EA0CB5"/>
    <w:rsid w:val="00EB090C"/>
    <w:rsid w:val="00EB30C7"/>
    <w:rsid w:val="00ED0859"/>
    <w:rsid w:val="00ED2B2E"/>
    <w:rsid w:val="00EE6AB6"/>
    <w:rsid w:val="00EF1E09"/>
    <w:rsid w:val="00EF1F27"/>
    <w:rsid w:val="00EF20EE"/>
    <w:rsid w:val="00EF25E4"/>
    <w:rsid w:val="00F02776"/>
    <w:rsid w:val="00F04FAB"/>
    <w:rsid w:val="00F0742E"/>
    <w:rsid w:val="00F12F2D"/>
    <w:rsid w:val="00F16E5F"/>
    <w:rsid w:val="00F20BAF"/>
    <w:rsid w:val="00F24118"/>
    <w:rsid w:val="00F24969"/>
    <w:rsid w:val="00F26DD2"/>
    <w:rsid w:val="00F273C5"/>
    <w:rsid w:val="00F31822"/>
    <w:rsid w:val="00F40BC0"/>
    <w:rsid w:val="00F4460A"/>
    <w:rsid w:val="00F47EA1"/>
    <w:rsid w:val="00F55228"/>
    <w:rsid w:val="00F565B7"/>
    <w:rsid w:val="00F57DFC"/>
    <w:rsid w:val="00F65EBE"/>
    <w:rsid w:val="00F71485"/>
    <w:rsid w:val="00F800A5"/>
    <w:rsid w:val="00F86B08"/>
    <w:rsid w:val="00F93404"/>
    <w:rsid w:val="00F96C98"/>
    <w:rsid w:val="00FA1CDF"/>
    <w:rsid w:val="00FA3219"/>
    <w:rsid w:val="00FA7124"/>
    <w:rsid w:val="00FB15C0"/>
    <w:rsid w:val="00FC01AA"/>
    <w:rsid w:val="00FC1B34"/>
    <w:rsid w:val="00FC364A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99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99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6</cp:revision>
  <dcterms:created xsi:type="dcterms:W3CDTF">2024-05-28T17:13:00Z</dcterms:created>
  <dcterms:modified xsi:type="dcterms:W3CDTF">2024-06-06T16:39:00Z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