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0B6A7" w14:textId="39842917" w:rsidR="005049A9" w:rsidRDefault="005049A9" w:rsidP="005049A9">
      <w:pPr>
        <w:pStyle w:val="Title"/>
        <w:jc w:val="center"/>
      </w:pPr>
      <w:r w:rsidRPr="005049A9">
        <w:rPr>
          <w:noProof/>
          <w:lang w:val="nl-NL" w:eastAsia="nl-NL"/>
        </w:rPr>
        <w:drawing>
          <wp:anchor distT="0" distB="0" distL="114300" distR="114300" simplePos="0" relativeHeight="251658240" behindDoc="0" locked="0" layoutInCell="1" allowOverlap="1" wp14:anchorId="53E5FC2F" wp14:editId="7C44EFA9">
            <wp:simplePos x="0" y="0"/>
            <wp:positionH relativeFrom="margin">
              <wp:align>center</wp:align>
            </wp:positionH>
            <wp:positionV relativeFrom="paragraph">
              <wp:posOffset>-22860</wp:posOffset>
            </wp:positionV>
            <wp:extent cx="2098415" cy="752475"/>
            <wp:effectExtent l="0" t="0" r="0" b="0"/>
            <wp:wrapNone/>
            <wp:docPr id="2050" name="Picture 2">
              <a:extLst xmlns:a="http://schemas.openxmlformats.org/drawingml/2006/main">
                <a:ext uri="{FF2B5EF4-FFF2-40B4-BE49-F238E27FC236}">
                  <a16:creationId xmlns:a16="http://schemas.microsoft.com/office/drawing/2014/main" id="{DC5CF1A7-753C-4952-8F0D-A77DEE87FB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a:extLst>
                        <a:ext uri="{FF2B5EF4-FFF2-40B4-BE49-F238E27FC236}">
                          <a16:creationId xmlns:a16="http://schemas.microsoft.com/office/drawing/2014/main" id="{DC5CF1A7-753C-4952-8F0D-A77DEE87FB7E}"/>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8415" cy="752475"/>
                    </a:xfrm>
                    <a:prstGeom prst="rect">
                      <a:avLst/>
                    </a:prstGeom>
                    <a:noFill/>
                  </pic:spPr>
                </pic:pic>
              </a:graphicData>
            </a:graphic>
            <wp14:sizeRelH relativeFrom="margin">
              <wp14:pctWidth>0</wp14:pctWidth>
            </wp14:sizeRelH>
            <wp14:sizeRelV relativeFrom="margin">
              <wp14:pctHeight>0</wp14:pctHeight>
            </wp14:sizeRelV>
          </wp:anchor>
        </w:drawing>
      </w:r>
    </w:p>
    <w:p w14:paraId="6F4D26D3" w14:textId="77777777" w:rsidR="0054182D" w:rsidRPr="00A72B72" w:rsidRDefault="0054182D" w:rsidP="00B34EF7">
      <w:pPr>
        <w:pStyle w:val="Title"/>
        <w:rPr>
          <w:sz w:val="48"/>
          <w:szCs w:val="48"/>
        </w:rPr>
      </w:pPr>
    </w:p>
    <w:p w14:paraId="2AC16FEE" w14:textId="02F495BB" w:rsidR="00A5084B" w:rsidRPr="000C3CC4" w:rsidRDefault="001119BD" w:rsidP="001119BD">
      <w:pPr>
        <w:pStyle w:val="Title"/>
        <w:ind w:right="-180"/>
        <w:rPr>
          <w:sz w:val="44"/>
          <w:szCs w:val="44"/>
        </w:rPr>
      </w:pPr>
      <w:r w:rsidRPr="000C3CC4">
        <w:rPr>
          <w:sz w:val="44"/>
          <w:szCs w:val="44"/>
        </w:rPr>
        <w:t>Fresh Mushroom Sales Review</w:t>
      </w:r>
      <w:r w:rsidR="000C3CC4" w:rsidRPr="000C3CC4">
        <w:rPr>
          <w:sz w:val="44"/>
          <w:szCs w:val="44"/>
        </w:rPr>
        <w:t>; 4</w:t>
      </w:r>
      <w:r w:rsidR="00AE32A2">
        <w:rPr>
          <w:sz w:val="44"/>
          <w:szCs w:val="44"/>
        </w:rPr>
        <w:t xml:space="preserve"> and 52</w:t>
      </w:r>
      <w:r w:rsidR="000C3CC4" w:rsidRPr="000C3CC4">
        <w:rPr>
          <w:sz w:val="44"/>
          <w:szCs w:val="44"/>
        </w:rPr>
        <w:t xml:space="preserve"> </w:t>
      </w:r>
      <w:proofErr w:type="spellStart"/>
      <w:r w:rsidR="000C3CC4" w:rsidRPr="000C3CC4">
        <w:rPr>
          <w:sz w:val="44"/>
          <w:szCs w:val="44"/>
        </w:rPr>
        <w:t>w</w:t>
      </w:r>
      <w:r w:rsidR="00D22E21">
        <w:rPr>
          <w:sz w:val="44"/>
          <w:szCs w:val="44"/>
        </w:rPr>
        <w:t>.e</w:t>
      </w:r>
      <w:proofErr w:type="spellEnd"/>
      <w:r w:rsidR="00D22E21">
        <w:rPr>
          <w:sz w:val="44"/>
          <w:szCs w:val="44"/>
        </w:rPr>
        <w:t>.</w:t>
      </w:r>
      <w:r w:rsidR="000C3CC4" w:rsidRPr="000C3CC4">
        <w:rPr>
          <w:sz w:val="44"/>
          <w:szCs w:val="44"/>
        </w:rPr>
        <w:t xml:space="preserve"> </w:t>
      </w:r>
      <w:r w:rsidR="00D06A72">
        <w:rPr>
          <w:sz w:val="44"/>
          <w:szCs w:val="44"/>
        </w:rPr>
        <w:t>4</w:t>
      </w:r>
      <w:r w:rsidR="00705769">
        <w:rPr>
          <w:sz w:val="44"/>
          <w:szCs w:val="44"/>
        </w:rPr>
        <w:t>.</w:t>
      </w:r>
      <w:r w:rsidR="00D06A72">
        <w:rPr>
          <w:sz w:val="44"/>
          <w:szCs w:val="44"/>
        </w:rPr>
        <w:t>21</w:t>
      </w:r>
      <w:r w:rsidR="004147E0">
        <w:rPr>
          <w:sz w:val="44"/>
          <w:szCs w:val="44"/>
        </w:rPr>
        <w:t>.2024</w:t>
      </w:r>
    </w:p>
    <w:p w14:paraId="74281325" w14:textId="3A04EDB4" w:rsidR="00757C0B" w:rsidRPr="00757C0B" w:rsidRDefault="00D06A72" w:rsidP="00757C0B">
      <w:pPr>
        <w:pStyle w:val="Heading1"/>
        <w:rPr>
          <w:b/>
          <w:bCs/>
          <w:color w:val="ED7D31" w:themeColor="accent2"/>
          <w:sz w:val="26"/>
          <w:szCs w:val="26"/>
        </w:rPr>
      </w:pPr>
      <w:r>
        <w:rPr>
          <w:b/>
          <w:bCs/>
          <w:color w:val="ED7D31" w:themeColor="accent2"/>
          <w:sz w:val="26"/>
          <w:szCs w:val="26"/>
        </w:rPr>
        <w:t>April</w:t>
      </w:r>
      <w:r w:rsidR="00757C0B" w:rsidRPr="00757C0B">
        <w:rPr>
          <w:b/>
          <w:bCs/>
          <w:color w:val="ED7D31" w:themeColor="accent2"/>
          <w:sz w:val="26"/>
          <w:szCs w:val="26"/>
        </w:rPr>
        <w:t xml:space="preserve"> in Review</w:t>
      </w:r>
    </w:p>
    <w:p w14:paraId="6F030889" w14:textId="656E7B23" w:rsidR="00283776" w:rsidRPr="00D06A72" w:rsidRDefault="00D06A72" w:rsidP="00E438DD">
      <w:pPr>
        <w:pStyle w:val="NoSpacing"/>
        <w:numPr>
          <w:ilvl w:val="0"/>
          <w:numId w:val="26"/>
        </w:numPr>
        <w:rPr>
          <w:rFonts w:cstheme="minorHAnsi"/>
        </w:rPr>
      </w:pPr>
      <w:r w:rsidRPr="00D06A72">
        <w:rPr>
          <w:rFonts w:cstheme="minorHAnsi"/>
        </w:rPr>
        <w:t xml:space="preserve">With above-average inflation in </w:t>
      </w:r>
      <w:r w:rsidR="00787068" w:rsidRPr="00D06A72">
        <w:rPr>
          <w:rFonts w:cstheme="minorHAnsi"/>
        </w:rPr>
        <w:t>food-away-from-home</w:t>
      </w:r>
      <w:r>
        <w:rPr>
          <w:rFonts w:cstheme="minorHAnsi"/>
        </w:rPr>
        <w:t xml:space="preserve"> in the past few months, life remains home-centric. </w:t>
      </w:r>
    </w:p>
    <w:p w14:paraId="443B0B7C" w14:textId="0E4490DF" w:rsidR="00372196" w:rsidRPr="00363853" w:rsidRDefault="00D06A72" w:rsidP="00245068">
      <w:pPr>
        <w:pStyle w:val="NoSpacing"/>
        <w:numPr>
          <w:ilvl w:val="0"/>
          <w:numId w:val="26"/>
        </w:numPr>
        <w:rPr>
          <w:rFonts w:cstheme="minorHAnsi"/>
        </w:rPr>
      </w:pPr>
      <w:r w:rsidRPr="00363853">
        <w:rPr>
          <w:rFonts w:cstheme="minorHAnsi"/>
        </w:rPr>
        <w:t xml:space="preserve">According to Placer.ai, </w:t>
      </w:r>
      <w:r w:rsidR="00372196" w:rsidRPr="00363853">
        <w:rPr>
          <w:rFonts w:cstheme="minorHAnsi"/>
        </w:rPr>
        <w:t xml:space="preserve">that tracks foot traffic using geolocation data from mobile devices, </w:t>
      </w:r>
      <w:r w:rsidRPr="00363853">
        <w:rPr>
          <w:rFonts w:cstheme="minorHAnsi"/>
        </w:rPr>
        <w:t xml:space="preserve">restaurants have been losing traffic to supermarkets, supercenters and convenience stores. </w:t>
      </w:r>
      <w:r w:rsidR="00372196" w:rsidRPr="00363853">
        <w:rPr>
          <w:rFonts w:cstheme="minorHAnsi"/>
        </w:rPr>
        <w:t>Restaurant traffic is down the most at full-service restaurants, at -8% since 2019.</w:t>
      </w:r>
      <w:r w:rsidR="00363853" w:rsidRPr="00363853">
        <w:rPr>
          <w:rFonts w:cstheme="minorHAnsi"/>
        </w:rPr>
        <w:t xml:space="preserve"> </w:t>
      </w:r>
      <w:r w:rsidR="00372196" w:rsidRPr="00363853">
        <w:rPr>
          <w:rFonts w:cstheme="minorHAnsi"/>
        </w:rPr>
        <w:t xml:space="preserve">These findings are corroborated by Technomic that reported a decrease in restaurant traffic last year, particularly in the back half of the year as concern about restaurant prices increased. As reported in Restaurant Business, Placer.ai noted a 17% increase in convenience store traffic in comparison to 2019, +12% at supermarkets and +7% at supercenters. The National Association of Convenience Stores </w:t>
      </w:r>
      <w:r w:rsidR="00363853" w:rsidRPr="00363853">
        <w:rPr>
          <w:rFonts w:cstheme="minorHAnsi"/>
        </w:rPr>
        <w:t xml:space="preserve">confirms this, reporting </w:t>
      </w:r>
      <w:r w:rsidR="00372196" w:rsidRPr="00363853">
        <w:rPr>
          <w:rFonts w:cstheme="minorHAnsi"/>
        </w:rPr>
        <w:t>an 8.2% increase in c-store sales, with foodservice accounting for 27% of dollar sales.</w:t>
      </w:r>
    </w:p>
    <w:p w14:paraId="1D9838CF" w14:textId="0E784887" w:rsidR="00D06A72" w:rsidRDefault="00372196" w:rsidP="006C31E3">
      <w:pPr>
        <w:pStyle w:val="NoSpacing"/>
        <w:numPr>
          <w:ilvl w:val="0"/>
          <w:numId w:val="26"/>
        </w:numPr>
        <w:rPr>
          <w:rFonts w:cstheme="minorHAnsi"/>
        </w:rPr>
      </w:pPr>
      <w:r>
        <w:rPr>
          <w:rFonts w:cstheme="minorHAnsi"/>
        </w:rPr>
        <w:t xml:space="preserve">As retail inflation is slowing, unit and volume </w:t>
      </w:r>
      <w:r w:rsidR="001A2890">
        <w:rPr>
          <w:rFonts w:cstheme="minorHAnsi"/>
        </w:rPr>
        <w:t xml:space="preserve">declines </w:t>
      </w:r>
      <w:r>
        <w:rPr>
          <w:rFonts w:cstheme="minorHAnsi"/>
        </w:rPr>
        <w:t>are leveling out for some departments</w:t>
      </w:r>
      <w:r w:rsidR="00226EF3">
        <w:rPr>
          <w:rFonts w:cstheme="minorHAnsi"/>
        </w:rPr>
        <w:t xml:space="preserve"> in the </w:t>
      </w:r>
      <w:proofErr w:type="spellStart"/>
      <w:r w:rsidR="00226EF3">
        <w:rPr>
          <w:rFonts w:cstheme="minorHAnsi"/>
        </w:rPr>
        <w:t>Circana</w:t>
      </w:r>
      <w:proofErr w:type="spellEnd"/>
      <w:r w:rsidR="00226EF3">
        <w:rPr>
          <w:rFonts w:cstheme="minorHAnsi"/>
        </w:rPr>
        <w:t xml:space="preserve"> MULO+ universe</w:t>
      </w:r>
      <w:r>
        <w:rPr>
          <w:rFonts w:cstheme="minorHAnsi"/>
        </w:rPr>
        <w:t xml:space="preserve">. The produce department was the first </w:t>
      </w:r>
      <w:r w:rsidR="001A2890">
        <w:rPr>
          <w:rFonts w:cstheme="minorHAnsi"/>
        </w:rPr>
        <w:t xml:space="preserve">to achieve positive unit growth. In the first quarter of 2024, </w:t>
      </w:r>
      <w:r w:rsidR="00D06A72">
        <w:rPr>
          <w:rFonts w:cstheme="minorHAnsi"/>
        </w:rPr>
        <w:t xml:space="preserve">deli prepared, </w:t>
      </w:r>
      <w:r w:rsidR="001A2890">
        <w:rPr>
          <w:rFonts w:cstheme="minorHAnsi"/>
        </w:rPr>
        <w:t xml:space="preserve">meat, </w:t>
      </w:r>
      <w:r w:rsidR="00D06A72">
        <w:rPr>
          <w:rFonts w:cstheme="minorHAnsi"/>
        </w:rPr>
        <w:t>dairy and floral</w:t>
      </w:r>
      <w:r w:rsidR="001A2890">
        <w:rPr>
          <w:rFonts w:cstheme="minorHAnsi"/>
        </w:rPr>
        <w:t xml:space="preserve"> were other areas to achieve unit and volume growth</w:t>
      </w:r>
      <w:r w:rsidR="00D06A72">
        <w:rPr>
          <w:rFonts w:cstheme="minorHAnsi"/>
        </w:rPr>
        <w:t>.</w:t>
      </w:r>
    </w:p>
    <w:p w14:paraId="77825D88" w14:textId="7917AA38" w:rsidR="00363853" w:rsidRDefault="00363853" w:rsidP="006C31E3">
      <w:pPr>
        <w:pStyle w:val="NoSpacing"/>
        <w:numPr>
          <w:ilvl w:val="0"/>
          <w:numId w:val="26"/>
        </w:numPr>
        <w:rPr>
          <w:rFonts w:cstheme="minorHAnsi"/>
        </w:rPr>
      </w:pPr>
      <w:r>
        <w:rPr>
          <w:rFonts w:cstheme="minorHAnsi"/>
        </w:rPr>
        <w:t xml:space="preserve">Easter shifted from the second to the first quarter this year, but the 4/21/2024 quad week includes both last </w:t>
      </w:r>
      <w:proofErr w:type="gramStart"/>
      <w:r>
        <w:rPr>
          <w:rFonts w:cstheme="minorHAnsi"/>
        </w:rPr>
        <w:t>year’s</w:t>
      </w:r>
      <w:proofErr w:type="gramEnd"/>
      <w:r>
        <w:rPr>
          <w:rFonts w:cstheme="minorHAnsi"/>
        </w:rPr>
        <w:t xml:space="preserve"> and this year’s Easter timing. </w:t>
      </w:r>
    </w:p>
    <w:p w14:paraId="19F67F2F" w14:textId="4D85CDC9" w:rsidR="00757C0B" w:rsidRDefault="000C03B1" w:rsidP="00757C0B">
      <w:pPr>
        <w:pStyle w:val="NoSpacing"/>
        <w:rPr>
          <w:rFonts w:cstheme="minorHAnsi"/>
          <w:color w:val="000000" w:themeColor="text1"/>
        </w:rPr>
      </w:pPr>
      <w:r>
        <w:rPr>
          <w:rFonts w:cstheme="minorHAnsi"/>
          <w:noProof/>
          <w:color w:val="000000" w:themeColor="text1"/>
        </w:rPr>
        <mc:AlternateContent>
          <mc:Choice Requires="wps">
            <w:drawing>
              <wp:anchor distT="0" distB="0" distL="114300" distR="114300" simplePos="0" relativeHeight="251657215" behindDoc="1" locked="0" layoutInCell="1" allowOverlap="1" wp14:anchorId="21346E90" wp14:editId="603D05D4">
                <wp:simplePos x="0" y="0"/>
                <wp:positionH relativeFrom="column">
                  <wp:posOffset>-66675</wp:posOffset>
                </wp:positionH>
                <wp:positionV relativeFrom="paragraph">
                  <wp:posOffset>152401</wp:posOffset>
                </wp:positionV>
                <wp:extent cx="6600825" cy="762000"/>
                <wp:effectExtent l="0" t="0" r="28575" b="19050"/>
                <wp:wrapNone/>
                <wp:docPr id="1674565475" name="Rectangle 1"/>
                <wp:cNvGraphicFramePr/>
                <a:graphic xmlns:a="http://schemas.openxmlformats.org/drawingml/2006/main">
                  <a:graphicData uri="http://schemas.microsoft.com/office/word/2010/wordprocessingShape">
                    <wps:wsp>
                      <wps:cNvSpPr/>
                      <wps:spPr>
                        <a:xfrm>
                          <a:off x="0" y="0"/>
                          <a:ext cx="6600825" cy="762000"/>
                        </a:xfrm>
                        <a:prstGeom prst="rect">
                          <a:avLst/>
                        </a:prstGeom>
                        <a:solidFill>
                          <a:schemeClr val="bg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62850B" id="Rectangle 1" o:spid="_x0000_s1026" style="position:absolute;margin-left:-5.25pt;margin-top:12pt;width:519.75pt;height:60pt;z-index:-2516592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eLafQIAAIoFAAAOAAAAZHJzL2Uyb0RvYy54bWysVMFu2zAMvQ/YPwi6r7aDNu2COkXQosOA&#10;oi2WDj0rshQbkEWNUuJkXz9Kdpy2KzZg2EUWTfKRfCJ5ebVrDdsq9A3YkhcnOWfKSqgauy7596fb&#10;Txec+SBsJQxYVfK98vxq/vHDZedmagI1mEohIxDrZ50reR2Cm2WZl7VqhT8BpywpNWArAom4zioU&#10;HaG3Jpvk+TTrACuHIJX39PemV/J5wtdayfCgtVeBmZJTbiGdmM5VPLP5pZitUbi6kUMa4h+yaEVj&#10;KegIdSOCYBtsfoNqG4ngQYcTCW0GWjdSpRqomiJ/U82yFk6lWogc70aa/P+DlffbpXtEoqFzfubp&#10;GqvYaWzjl/Jju0TWfiRL7QKT9HM6zfOLyRlnknTnU3qMxGZ29HbowxcFLYuXkiM9RuJIbO98oIhk&#10;ejCJwTyYprptjElCbAB1bZBtBT3daj2JT0Uer6yM/ZujkFLZ8I4zQUXv7Fh2uoW9URHT2G9Ks6ai&#10;Qicp6dSRx4R63KJX1aJSfZ7F2ZGG0SPlnQAjsqYKR+wB4HWxB+y+4ME+uqrU0KNz/qfEeufRI0UG&#10;G0bntrGA7wGYUAxU697+QFJPTWRpBdX+ERlCP07eyduGnvhO+PAokOaHJo12QnigQxvoSg7DjbMa&#10;8Od7/6M9tTVpOetoHkvuf2wEKs7MV0sN/7k4PY0DnITTs/MJCfhSs3qpsZv2GqhvCto+TqZrtA/m&#10;cNUI7TOtjkWMSiphJcUuuQx4EK5Dvydo+Ui1WCQzGlonwp1dOhnBI6uxhZ92zwLd0OeBJuQeDrMr&#10;Zm/avbeNnhYWmwC6SbNw5HXgmwY+Nc6wnOJGeSknq+MKnf8CAAD//wMAUEsDBBQABgAIAAAAIQAh&#10;2AO63gAAAAsBAAAPAAAAZHJzL2Rvd25yZXYueG1sTI8xT8MwEIV3JP6DdUhsrd2oRRDiVIBgQLC0&#10;dGG7xCaxiM8hdtLAr+c6wfbu7und94rt7Dsx2SG6QBpWSwXCUh2Mo0bD4e1pcQ0iJiSDXSCr4dtG&#10;2JbnZwXmJhxpZ6d9agSHUMxRQ5tSn0sZ69Z6jMvQW+LbRxg8Jh6HRpoBjxzuO5kpdSU9OuIPLfb2&#10;obX15370GnAc7w9hEx6nL5fesfqJ7uX5VevLi/nuFkSyc/ozwwmf0aFkpiqMZKLoNCxWasNWDdma&#10;O50MKrthVbFa80qWhfzfofwFAAD//wMAUEsBAi0AFAAGAAgAAAAhALaDOJL+AAAA4QEAABMAAAAA&#10;AAAAAAAAAAAAAAAAAFtDb250ZW50X1R5cGVzXS54bWxQSwECLQAUAAYACAAAACEAOP0h/9YAAACU&#10;AQAACwAAAAAAAAAAAAAAAAAvAQAAX3JlbHMvLnJlbHNQSwECLQAUAAYACAAAACEADS3i2n0CAACK&#10;BQAADgAAAAAAAAAAAAAAAAAuAgAAZHJzL2Uyb0RvYy54bWxQSwECLQAUAAYACAAAACEAIdgDut4A&#10;AAALAQAADwAAAAAAAAAAAAAAAADXBAAAZHJzL2Rvd25yZXYueG1sUEsFBgAAAAAEAAQA8wAAAOIF&#10;AAAAAA==&#10;" fillcolor="#e7e6e6 [3214]" strokecolor="#ed7d31 [3205]" strokeweight="1pt"/>
            </w:pict>
          </mc:Fallback>
        </mc:AlternateContent>
      </w:r>
    </w:p>
    <w:p w14:paraId="005B5E0D" w14:textId="4D0524C2" w:rsidR="00757C0B" w:rsidRPr="00757C0B" w:rsidRDefault="00757C0B" w:rsidP="00757C0B">
      <w:pPr>
        <w:pStyle w:val="NoSpacing"/>
        <w:rPr>
          <w:rFonts w:cstheme="minorHAnsi"/>
          <w:b/>
          <w:bCs/>
          <w:color w:val="ED7D31" w:themeColor="accent2"/>
          <w:sz w:val="26"/>
          <w:szCs w:val="26"/>
        </w:rPr>
      </w:pPr>
      <w:r w:rsidRPr="00757C0B">
        <w:rPr>
          <w:rFonts w:cstheme="minorHAnsi"/>
          <w:b/>
          <w:bCs/>
          <w:color w:val="ED7D31" w:themeColor="accent2"/>
          <w:sz w:val="26"/>
          <w:szCs w:val="26"/>
        </w:rPr>
        <w:t>Important Data Notice</w:t>
      </w:r>
    </w:p>
    <w:p w14:paraId="77B5043B" w14:textId="4F41DC4D" w:rsidR="00757C0B" w:rsidRPr="00757C0B" w:rsidRDefault="00757C0B" w:rsidP="00757C0B">
      <w:pPr>
        <w:pStyle w:val="NoSpacing"/>
        <w:rPr>
          <w:rFonts w:cstheme="minorHAnsi"/>
          <w:color w:val="000000" w:themeColor="text1"/>
        </w:rPr>
      </w:pPr>
      <w:proofErr w:type="spellStart"/>
      <w:r w:rsidRPr="00757C0B">
        <w:rPr>
          <w:rFonts w:cstheme="minorHAnsi"/>
          <w:color w:val="000000" w:themeColor="text1"/>
        </w:rPr>
        <w:t>Circana</w:t>
      </w:r>
      <w:proofErr w:type="spellEnd"/>
      <w:r w:rsidRPr="00757C0B">
        <w:rPr>
          <w:rFonts w:cstheme="minorHAnsi"/>
          <w:color w:val="000000" w:themeColor="text1"/>
        </w:rPr>
        <w:t xml:space="preserve"> has expanded the </w:t>
      </w:r>
      <w:proofErr w:type="gramStart"/>
      <w:r w:rsidRPr="00757C0B">
        <w:rPr>
          <w:rFonts w:cstheme="minorHAnsi"/>
          <w:color w:val="000000" w:themeColor="text1"/>
        </w:rPr>
        <w:t>Multi-Outlet</w:t>
      </w:r>
      <w:proofErr w:type="gramEnd"/>
      <w:r w:rsidRPr="00757C0B">
        <w:rPr>
          <w:rFonts w:cstheme="minorHAnsi"/>
          <w:color w:val="000000" w:themeColor="text1"/>
        </w:rPr>
        <w:t xml:space="preserve"> universe to include additional retailers that were previously not represented nor projected. </w:t>
      </w:r>
      <w:r>
        <w:rPr>
          <w:rFonts w:cstheme="minorHAnsi"/>
          <w:color w:val="000000" w:themeColor="text1"/>
        </w:rPr>
        <w:t xml:space="preserve">This includes ALDI and eight regional retailers. </w:t>
      </w:r>
      <w:r w:rsidRPr="00757C0B">
        <w:rPr>
          <w:rFonts w:cstheme="minorHAnsi"/>
          <w:color w:val="000000" w:themeColor="text1"/>
        </w:rPr>
        <w:t xml:space="preserve">time period history and geographies have been updated. </w:t>
      </w:r>
    </w:p>
    <w:p w14:paraId="015B38D8" w14:textId="77777777" w:rsidR="00F12F2D" w:rsidRPr="00757C0B" w:rsidRDefault="00F12F2D" w:rsidP="006D5DC2">
      <w:pPr>
        <w:pStyle w:val="NoSpacing"/>
        <w:rPr>
          <w:rFonts w:cstheme="minorHAnsi"/>
        </w:rPr>
      </w:pPr>
    </w:p>
    <w:p w14:paraId="737234D5" w14:textId="3B512D43" w:rsidR="00927EAC" w:rsidRPr="00927EAC" w:rsidRDefault="007D3393" w:rsidP="00927EAC">
      <w:pPr>
        <w:pStyle w:val="Heading2"/>
        <w:rPr>
          <w:b/>
          <w:bCs/>
          <w:color w:val="ED7D31" w:themeColor="accent2"/>
        </w:rPr>
      </w:pPr>
      <w:r>
        <w:rPr>
          <w:b/>
          <w:bCs/>
          <w:color w:val="ED7D31" w:themeColor="accent2"/>
        </w:rPr>
        <w:t xml:space="preserve">Fresh Mushroom </w:t>
      </w:r>
      <w:r w:rsidR="00927EAC" w:rsidRPr="00927EAC">
        <w:rPr>
          <w:b/>
          <w:bCs/>
          <w:color w:val="ED7D31" w:themeColor="accent2"/>
        </w:rPr>
        <w:t>Dollars, Units and Volume Performance</w:t>
      </w:r>
    </w:p>
    <w:p w14:paraId="47797D03" w14:textId="51346431" w:rsidR="00472B02" w:rsidRDefault="00226EF3" w:rsidP="00472B02">
      <w:pPr>
        <w:pStyle w:val="NoSpacing"/>
      </w:pPr>
      <w:r>
        <w:t>The quad-week generated a little more than $100 million in sales, which was down less than 3% from year-ago levels. Unit and pound declines were slightly higher</w:t>
      </w:r>
      <w:r w:rsidR="00024D78">
        <w:t xml:space="preserve"> when compared year-over-year.</w:t>
      </w:r>
    </w:p>
    <w:p w14:paraId="40FAA348" w14:textId="6A56CCC2" w:rsidR="00AD7044" w:rsidRPr="006D5DC2" w:rsidRDefault="00AD7044" w:rsidP="00472B02">
      <w:pPr>
        <w:pStyle w:val="NoSpacing"/>
        <w:rPr>
          <w:sz w:val="6"/>
          <w:szCs w:val="6"/>
        </w:rPr>
      </w:pPr>
    </w:p>
    <w:tbl>
      <w:tblPr>
        <w:tblStyle w:val="ListTable3-Accent2"/>
        <w:tblW w:w="10269" w:type="dxa"/>
        <w:tblLook w:val="04A0" w:firstRow="1" w:lastRow="0" w:firstColumn="1" w:lastColumn="0" w:noHBand="0" w:noVBand="1"/>
      </w:tblPr>
      <w:tblGrid>
        <w:gridCol w:w="1792"/>
        <w:gridCol w:w="2163"/>
        <w:gridCol w:w="954"/>
        <w:gridCol w:w="971"/>
        <w:gridCol w:w="2074"/>
        <w:gridCol w:w="1121"/>
        <w:gridCol w:w="1194"/>
      </w:tblGrid>
      <w:tr w:rsidR="00B672D0" w:rsidRPr="00124CB7" w14:paraId="5D073D77" w14:textId="77777777" w:rsidTr="00226E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92" w:type="dxa"/>
          </w:tcPr>
          <w:p w14:paraId="0624EE87" w14:textId="452C2900" w:rsidR="00B672D0" w:rsidRPr="00124CB7" w:rsidRDefault="00B672D0" w:rsidP="00B672D0">
            <w:pPr>
              <w:pStyle w:val="NoSpacing"/>
            </w:pPr>
            <w:r>
              <w:t>Fresh mushrooms</w:t>
            </w:r>
          </w:p>
        </w:tc>
        <w:tc>
          <w:tcPr>
            <w:tcW w:w="2163" w:type="dxa"/>
          </w:tcPr>
          <w:p w14:paraId="51DF6E55" w14:textId="1EC01300" w:rsidR="00B672D0" w:rsidRPr="00124CB7" w:rsidRDefault="00B672D0" w:rsidP="00B672D0">
            <w:pPr>
              <w:pStyle w:val="NoSpacing"/>
              <w:jc w:val="right"/>
              <w:cnfStyle w:val="100000000000" w:firstRow="1" w:lastRow="0" w:firstColumn="0" w:lastColumn="0" w:oddVBand="0" w:evenVBand="0" w:oddHBand="0" w:evenHBand="0" w:firstRowFirstColumn="0" w:firstRowLastColumn="0" w:lastRowFirstColumn="0" w:lastRowLastColumn="0"/>
            </w:pPr>
            <w:r>
              <w:t xml:space="preserve">4 weeks ending </w:t>
            </w:r>
            <w:r w:rsidR="001A2890">
              <w:t>4/21/2024</w:t>
            </w:r>
          </w:p>
        </w:tc>
        <w:tc>
          <w:tcPr>
            <w:tcW w:w="954" w:type="dxa"/>
          </w:tcPr>
          <w:p w14:paraId="0398A30D" w14:textId="284A3FA4" w:rsidR="00B672D0" w:rsidRPr="00124CB7" w:rsidRDefault="00FA3219" w:rsidP="00B672D0">
            <w:pPr>
              <w:pStyle w:val="NoSpacing"/>
              <w:jc w:val="right"/>
              <w:cnfStyle w:val="100000000000" w:firstRow="1" w:lastRow="0" w:firstColumn="0" w:lastColumn="0" w:oddVBand="0" w:evenVBand="0" w:oddHBand="0" w:evenHBand="0" w:firstRowFirstColumn="0" w:firstRowLastColumn="0" w:lastRowFirstColumn="0" w:lastRowLastColumn="0"/>
            </w:pPr>
            <w:r>
              <w:t>Vs. 2023</w:t>
            </w:r>
          </w:p>
        </w:tc>
        <w:tc>
          <w:tcPr>
            <w:tcW w:w="971" w:type="dxa"/>
            <w:tcBorders>
              <w:right w:val="single" w:sz="4" w:space="0" w:color="ED7D31" w:themeColor="accent2"/>
            </w:tcBorders>
          </w:tcPr>
          <w:p w14:paraId="11B3D9FB" w14:textId="4AEA5958" w:rsidR="00B672D0" w:rsidRPr="00124CB7" w:rsidRDefault="00FA3219" w:rsidP="00B672D0">
            <w:pPr>
              <w:pStyle w:val="NoSpacing"/>
              <w:jc w:val="right"/>
              <w:cnfStyle w:val="100000000000" w:firstRow="1" w:lastRow="0" w:firstColumn="0" w:lastColumn="0" w:oddVBand="0" w:evenVBand="0" w:oddHBand="0" w:evenHBand="0" w:firstRowFirstColumn="0" w:firstRowLastColumn="0" w:lastRowFirstColumn="0" w:lastRowLastColumn="0"/>
            </w:pPr>
            <w:r>
              <w:t>Vs. 202</w:t>
            </w:r>
            <w:r w:rsidR="00226EF3">
              <w:t>2</w:t>
            </w:r>
          </w:p>
        </w:tc>
        <w:tc>
          <w:tcPr>
            <w:tcW w:w="2074" w:type="dxa"/>
            <w:tcBorders>
              <w:left w:val="single" w:sz="4" w:space="0" w:color="ED7D31" w:themeColor="accent2"/>
            </w:tcBorders>
          </w:tcPr>
          <w:p w14:paraId="3BBE24C3" w14:textId="759EF863" w:rsidR="00B672D0" w:rsidRPr="00124CB7" w:rsidRDefault="00B672D0" w:rsidP="00B672D0">
            <w:pPr>
              <w:pStyle w:val="NoSpacing"/>
              <w:jc w:val="right"/>
              <w:cnfStyle w:val="100000000000" w:firstRow="1" w:lastRow="0" w:firstColumn="0" w:lastColumn="0" w:oddVBand="0" w:evenVBand="0" w:oddHBand="0" w:evenHBand="0" w:firstRowFirstColumn="0" w:firstRowLastColumn="0" w:lastRowFirstColumn="0" w:lastRowLastColumn="0"/>
            </w:pPr>
            <w:r>
              <w:t xml:space="preserve">Latest 52 </w:t>
            </w:r>
            <w:proofErr w:type="spellStart"/>
            <w:r>
              <w:t>w.e</w:t>
            </w:r>
            <w:proofErr w:type="spellEnd"/>
            <w:r>
              <w:t xml:space="preserve">. </w:t>
            </w:r>
            <w:r w:rsidR="001A2890">
              <w:t>4/21/2024</w:t>
            </w:r>
          </w:p>
        </w:tc>
        <w:tc>
          <w:tcPr>
            <w:tcW w:w="1121" w:type="dxa"/>
          </w:tcPr>
          <w:p w14:paraId="0895179F" w14:textId="6AB7D75F" w:rsidR="00B672D0" w:rsidRPr="00124CB7" w:rsidRDefault="00FA3219" w:rsidP="00B672D0">
            <w:pPr>
              <w:pStyle w:val="NoSpacing"/>
              <w:jc w:val="right"/>
              <w:cnfStyle w:val="100000000000" w:firstRow="1" w:lastRow="0" w:firstColumn="0" w:lastColumn="0" w:oddVBand="0" w:evenVBand="0" w:oddHBand="0" w:evenHBand="0" w:firstRowFirstColumn="0" w:firstRowLastColumn="0" w:lastRowFirstColumn="0" w:lastRowLastColumn="0"/>
            </w:pPr>
            <w:r>
              <w:t xml:space="preserve">Vs. </w:t>
            </w:r>
            <w:r w:rsidR="00226EF3">
              <w:br/>
            </w:r>
            <w:r>
              <w:t>2023</w:t>
            </w:r>
          </w:p>
        </w:tc>
        <w:tc>
          <w:tcPr>
            <w:tcW w:w="1194" w:type="dxa"/>
          </w:tcPr>
          <w:p w14:paraId="5AB7ECE0" w14:textId="29CE36F9" w:rsidR="00B672D0" w:rsidRPr="00124CB7" w:rsidRDefault="00B672D0" w:rsidP="00FA3219">
            <w:pPr>
              <w:pStyle w:val="NoSpacing"/>
              <w:jc w:val="right"/>
              <w:cnfStyle w:val="100000000000" w:firstRow="1" w:lastRow="0" w:firstColumn="0" w:lastColumn="0" w:oddVBand="0" w:evenVBand="0" w:oddHBand="0" w:evenHBand="0" w:firstRowFirstColumn="0" w:firstRowLastColumn="0" w:lastRowFirstColumn="0" w:lastRowLastColumn="0"/>
            </w:pPr>
            <w:r>
              <w:t xml:space="preserve">Vs. </w:t>
            </w:r>
            <w:r w:rsidR="00226EF3">
              <w:br/>
            </w:r>
            <w:r>
              <w:t>202</w:t>
            </w:r>
            <w:r w:rsidR="00226EF3">
              <w:t>2</w:t>
            </w:r>
          </w:p>
        </w:tc>
      </w:tr>
      <w:tr w:rsidR="00226EF3" w14:paraId="22401D5B" w14:textId="77777777" w:rsidTr="00226EF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792" w:type="dxa"/>
          </w:tcPr>
          <w:p w14:paraId="79CDF43D" w14:textId="166854D6" w:rsidR="00226EF3" w:rsidRPr="00124CB7" w:rsidRDefault="00226EF3" w:rsidP="00226EF3">
            <w:pPr>
              <w:pStyle w:val="NoSpacing"/>
              <w:rPr>
                <w:b w:val="0"/>
                <w:bCs w:val="0"/>
              </w:rPr>
            </w:pPr>
            <w:r>
              <w:rPr>
                <w:b w:val="0"/>
                <w:bCs w:val="0"/>
              </w:rPr>
              <w:t>Dollars</w:t>
            </w:r>
          </w:p>
        </w:tc>
        <w:tc>
          <w:tcPr>
            <w:tcW w:w="2163" w:type="dxa"/>
          </w:tcPr>
          <w:p w14:paraId="6D1FCB95" w14:textId="40728B2A" w:rsidR="00226EF3" w:rsidRDefault="00226EF3" w:rsidP="00226EF3">
            <w:pPr>
              <w:pStyle w:val="NoSpacing"/>
              <w:jc w:val="right"/>
              <w:cnfStyle w:val="000000100000" w:firstRow="0" w:lastRow="0" w:firstColumn="0" w:lastColumn="0" w:oddVBand="0" w:evenVBand="0" w:oddHBand="1" w:evenHBand="0" w:firstRowFirstColumn="0" w:firstRowLastColumn="0" w:lastRowFirstColumn="0" w:lastRowLastColumn="0"/>
            </w:pPr>
            <w:r>
              <w:t xml:space="preserve">          $103.01 million</w:t>
            </w:r>
          </w:p>
        </w:tc>
        <w:tc>
          <w:tcPr>
            <w:tcW w:w="954" w:type="dxa"/>
          </w:tcPr>
          <w:p w14:paraId="77D2040B" w14:textId="45BCEC81" w:rsidR="00226EF3" w:rsidRDefault="00226EF3" w:rsidP="00226EF3">
            <w:pPr>
              <w:pStyle w:val="NoSpacing"/>
              <w:jc w:val="right"/>
              <w:cnfStyle w:val="000000100000" w:firstRow="0" w:lastRow="0" w:firstColumn="0" w:lastColumn="0" w:oddVBand="0" w:evenVBand="0" w:oddHBand="1" w:evenHBand="0" w:firstRowFirstColumn="0" w:firstRowLastColumn="0" w:lastRowFirstColumn="0" w:lastRowLastColumn="0"/>
            </w:pPr>
            <w:r w:rsidRPr="00B4625C">
              <w:rPr>
                <w:rFonts w:cstheme="minorHAnsi"/>
                <w:color w:val="000000" w:themeColor="text1"/>
              </w:rPr>
              <w:t>-</w:t>
            </w:r>
            <w:r>
              <w:rPr>
                <w:rFonts w:cstheme="minorHAnsi"/>
                <w:color w:val="000000" w:themeColor="text1"/>
              </w:rPr>
              <w:t>2.8</w:t>
            </w:r>
            <w:r w:rsidRPr="00B4625C">
              <w:rPr>
                <w:rFonts w:cstheme="minorHAnsi"/>
                <w:color w:val="000000" w:themeColor="text1"/>
              </w:rPr>
              <w:t>%</w:t>
            </w:r>
          </w:p>
        </w:tc>
        <w:tc>
          <w:tcPr>
            <w:tcW w:w="971" w:type="dxa"/>
            <w:tcBorders>
              <w:right w:val="single" w:sz="4" w:space="0" w:color="ED7D31" w:themeColor="accent2"/>
            </w:tcBorders>
          </w:tcPr>
          <w:p w14:paraId="4EF21002" w14:textId="33E545B2" w:rsidR="00226EF3" w:rsidRDefault="00226EF3" w:rsidP="00226EF3">
            <w:pPr>
              <w:pStyle w:val="NoSpacing"/>
              <w:jc w:val="right"/>
              <w:cnfStyle w:val="000000100000" w:firstRow="0" w:lastRow="0" w:firstColumn="0" w:lastColumn="0" w:oddVBand="0" w:evenVBand="0" w:oddHBand="1" w:evenHBand="0" w:firstRowFirstColumn="0" w:firstRowLastColumn="0" w:lastRowFirstColumn="0" w:lastRowLastColumn="0"/>
            </w:pPr>
            <w:r w:rsidRPr="00B4625C">
              <w:rPr>
                <w:rFonts w:cstheme="minorHAnsi"/>
                <w:color w:val="000000" w:themeColor="text1"/>
              </w:rPr>
              <w:t>-</w:t>
            </w:r>
            <w:r>
              <w:rPr>
                <w:rFonts w:cstheme="minorHAnsi"/>
                <w:color w:val="000000" w:themeColor="text1"/>
              </w:rPr>
              <w:t>4.5</w:t>
            </w:r>
            <w:r w:rsidRPr="00B4625C">
              <w:rPr>
                <w:rFonts w:cstheme="minorHAnsi"/>
                <w:color w:val="000000" w:themeColor="text1"/>
              </w:rPr>
              <w:t>%</w:t>
            </w:r>
          </w:p>
        </w:tc>
        <w:tc>
          <w:tcPr>
            <w:tcW w:w="2074" w:type="dxa"/>
            <w:tcBorders>
              <w:left w:val="single" w:sz="4" w:space="0" w:color="ED7D31" w:themeColor="accent2"/>
            </w:tcBorders>
          </w:tcPr>
          <w:p w14:paraId="375CF9DD" w14:textId="4DA4F595" w:rsidR="00226EF3" w:rsidRDefault="00226EF3" w:rsidP="00226EF3">
            <w:pPr>
              <w:pStyle w:val="NoSpacing"/>
              <w:jc w:val="right"/>
              <w:cnfStyle w:val="000000100000" w:firstRow="0" w:lastRow="0" w:firstColumn="0" w:lastColumn="0" w:oddVBand="0" w:evenVBand="0" w:oddHBand="1" w:evenHBand="0" w:firstRowFirstColumn="0" w:firstRowLastColumn="0" w:lastRowFirstColumn="0" w:lastRowLastColumn="0"/>
            </w:pPr>
            <w:r>
              <w:t xml:space="preserve">          $1.338 billion</w:t>
            </w:r>
          </w:p>
        </w:tc>
        <w:tc>
          <w:tcPr>
            <w:tcW w:w="1121" w:type="dxa"/>
          </w:tcPr>
          <w:p w14:paraId="04EA64A9" w14:textId="6A9D81F1" w:rsidR="00226EF3" w:rsidRDefault="00226EF3" w:rsidP="00226EF3">
            <w:pPr>
              <w:pStyle w:val="NoSpacing"/>
              <w:jc w:val="right"/>
              <w:cnfStyle w:val="000000100000" w:firstRow="0" w:lastRow="0" w:firstColumn="0" w:lastColumn="0" w:oddVBand="0" w:evenVBand="0" w:oddHBand="1" w:evenHBand="0" w:firstRowFirstColumn="0" w:firstRowLastColumn="0" w:lastRowFirstColumn="0" w:lastRowLastColumn="0"/>
            </w:pPr>
            <w:r w:rsidRPr="00B4625C">
              <w:rPr>
                <w:rFonts w:cstheme="minorHAnsi"/>
                <w:color w:val="000000" w:themeColor="text1"/>
              </w:rPr>
              <w:t>-</w:t>
            </w:r>
            <w:r>
              <w:rPr>
                <w:rFonts w:cstheme="minorHAnsi"/>
                <w:color w:val="000000" w:themeColor="text1"/>
              </w:rPr>
              <w:t>3.1</w:t>
            </w:r>
            <w:r w:rsidRPr="00B4625C">
              <w:rPr>
                <w:rFonts w:cstheme="minorHAnsi"/>
                <w:color w:val="000000" w:themeColor="text1"/>
              </w:rPr>
              <w:t>%</w:t>
            </w:r>
          </w:p>
        </w:tc>
        <w:tc>
          <w:tcPr>
            <w:tcW w:w="1194" w:type="dxa"/>
          </w:tcPr>
          <w:p w14:paraId="2F2464E9" w14:textId="58789A21" w:rsidR="00226EF3" w:rsidRDefault="00226EF3" w:rsidP="00226EF3">
            <w:pPr>
              <w:pStyle w:val="NoSpacing"/>
              <w:jc w:val="right"/>
              <w:cnfStyle w:val="000000100000" w:firstRow="0" w:lastRow="0" w:firstColumn="0" w:lastColumn="0" w:oddVBand="0" w:evenVBand="0" w:oddHBand="1" w:evenHBand="0" w:firstRowFirstColumn="0" w:firstRowLastColumn="0" w:lastRowFirstColumn="0" w:lastRowLastColumn="0"/>
            </w:pPr>
            <w:r w:rsidRPr="00B4625C">
              <w:rPr>
                <w:rFonts w:cstheme="minorHAnsi"/>
                <w:color w:val="000000" w:themeColor="text1"/>
              </w:rPr>
              <w:t>-</w:t>
            </w:r>
            <w:r>
              <w:rPr>
                <w:rFonts w:cstheme="minorHAnsi"/>
                <w:color w:val="000000" w:themeColor="text1"/>
              </w:rPr>
              <w:t>4.0</w:t>
            </w:r>
            <w:r w:rsidRPr="00B4625C">
              <w:rPr>
                <w:rFonts w:cstheme="minorHAnsi"/>
                <w:color w:val="000000" w:themeColor="text1"/>
              </w:rPr>
              <w:t>%</w:t>
            </w:r>
          </w:p>
        </w:tc>
      </w:tr>
      <w:tr w:rsidR="00181944" w14:paraId="31FB8D29" w14:textId="77777777" w:rsidTr="00226EF3">
        <w:tc>
          <w:tcPr>
            <w:cnfStyle w:val="001000000000" w:firstRow="0" w:lastRow="0" w:firstColumn="1" w:lastColumn="0" w:oddVBand="0" w:evenVBand="0" w:oddHBand="0" w:evenHBand="0" w:firstRowFirstColumn="0" w:firstRowLastColumn="0" w:lastRowFirstColumn="0" w:lastRowLastColumn="0"/>
            <w:tcW w:w="1792" w:type="dxa"/>
          </w:tcPr>
          <w:p w14:paraId="10B2F651" w14:textId="48542DFC" w:rsidR="00181944" w:rsidRPr="00124CB7" w:rsidRDefault="00181944" w:rsidP="00181944">
            <w:pPr>
              <w:pStyle w:val="NoSpacing"/>
              <w:rPr>
                <w:b w:val="0"/>
                <w:bCs w:val="0"/>
              </w:rPr>
            </w:pPr>
            <w:r>
              <w:rPr>
                <w:b w:val="0"/>
                <w:bCs w:val="0"/>
              </w:rPr>
              <w:t>Units</w:t>
            </w:r>
          </w:p>
        </w:tc>
        <w:tc>
          <w:tcPr>
            <w:tcW w:w="2163" w:type="dxa"/>
          </w:tcPr>
          <w:p w14:paraId="3CA03520" w14:textId="55F450A6" w:rsidR="00181944" w:rsidRDefault="00181944" w:rsidP="00181944">
            <w:pPr>
              <w:pStyle w:val="NoSpacing"/>
              <w:jc w:val="right"/>
              <w:cnfStyle w:val="000000000000" w:firstRow="0" w:lastRow="0" w:firstColumn="0" w:lastColumn="0" w:oddVBand="0" w:evenVBand="0" w:oddHBand="0" w:evenHBand="0" w:firstRowFirstColumn="0" w:firstRowLastColumn="0" w:lastRowFirstColumn="0" w:lastRowLastColumn="0"/>
            </w:pPr>
            <w:r>
              <w:t xml:space="preserve">            </w:t>
            </w:r>
            <w:r w:rsidR="00226EF3">
              <w:t>36.85</w:t>
            </w:r>
            <w:r>
              <w:t xml:space="preserve"> million</w:t>
            </w:r>
          </w:p>
        </w:tc>
        <w:tc>
          <w:tcPr>
            <w:tcW w:w="954" w:type="dxa"/>
          </w:tcPr>
          <w:p w14:paraId="6922F333" w14:textId="26B6B082" w:rsidR="00181944" w:rsidRDefault="00181944" w:rsidP="00181944">
            <w:pPr>
              <w:pStyle w:val="NoSpacing"/>
              <w:jc w:val="right"/>
              <w:cnfStyle w:val="000000000000" w:firstRow="0" w:lastRow="0" w:firstColumn="0" w:lastColumn="0" w:oddVBand="0" w:evenVBand="0" w:oddHBand="0" w:evenHBand="0" w:firstRowFirstColumn="0" w:firstRowLastColumn="0" w:lastRowFirstColumn="0" w:lastRowLastColumn="0"/>
            </w:pPr>
            <w:r w:rsidRPr="00B4625C">
              <w:rPr>
                <w:rFonts w:cstheme="minorHAnsi"/>
                <w:color w:val="000000" w:themeColor="text1"/>
              </w:rPr>
              <w:t>-</w:t>
            </w:r>
            <w:r w:rsidR="00226EF3">
              <w:rPr>
                <w:rFonts w:cstheme="minorHAnsi"/>
                <w:color w:val="000000" w:themeColor="text1"/>
              </w:rPr>
              <w:t>3.0</w:t>
            </w:r>
            <w:r w:rsidR="00FC1B34">
              <w:rPr>
                <w:rFonts w:cstheme="minorHAnsi"/>
                <w:color w:val="000000" w:themeColor="text1"/>
              </w:rPr>
              <w:t>%</w:t>
            </w:r>
          </w:p>
        </w:tc>
        <w:tc>
          <w:tcPr>
            <w:tcW w:w="971" w:type="dxa"/>
            <w:tcBorders>
              <w:right w:val="single" w:sz="4" w:space="0" w:color="ED7D31" w:themeColor="accent2"/>
            </w:tcBorders>
          </w:tcPr>
          <w:p w14:paraId="7CD8DEEA" w14:textId="351A5DC2" w:rsidR="00181944" w:rsidRDefault="00181944" w:rsidP="00181944">
            <w:pPr>
              <w:pStyle w:val="NoSpacing"/>
              <w:jc w:val="right"/>
              <w:cnfStyle w:val="000000000000" w:firstRow="0" w:lastRow="0" w:firstColumn="0" w:lastColumn="0" w:oddVBand="0" w:evenVBand="0" w:oddHBand="0" w:evenHBand="0" w:firstRowFirstColumn="0" w:firstRowLastColumn="0" w:lastRowFirstColumn="0" w:lastRowLastColumn="0"/>
            </w:pPr>
            <w:r w:rsidRPr="00B4625C">
              <w:rPr>
                <w:rFonts w:cstheme="minorHAnsi"/>
                <w:color w:val="000000" w:themeColor="text1"/>
              </w:rPr>
              <w:t>-</w:t>
            </w:r>
            <w:r w:rsidR="00226EF3">
              <w:rPr>
                <w:rFonts w:cstheme="minorHAnsi"/>
                <w:color w:val="000000" w:themeColor="text1"/>
              </w:rPr>
              <w:t>6.8</w:t>
            </w:r>
            <w:r w:rsidRPr="00B4625C">
              <w:rPr>
                <w:rFonts w:cstheme="minorHAnsi"/>
                <w:color w:val="000000" w:themeColor="text1"/>
              </w:rPr>
              <w:t>%</w:t>
            </w:r>
          </w:p>
        </w:tc>
        <w:tc>
          <w:tcPr>
            <w:tcW w:w="2074" w:type="dxa"/>
            <w:tcBorders>
              <w:left w:val="single" w:sz="4" w:space="0" w:color="ED7D31" w:themeColor="accent2"/>
            </w:tcBorders>
          </w:tcPr>
          <w:p w14:paraId="26ECACB9" w14:textId="5D308A5A" w:rsidR="00181944" w:rsidRDefault="00226EF3" w:rsidP="00181944">
            <w:pPr>
              <w:pStyle w:val="NoSpacing"/>
              <w:jc w:val="right"/>
              <w:cnfStyle w:val="000000000000" w:firstRow="0" w:lastRow="0" w:firstColumn="0" w:lastColumn="0" w:oddVBand="0" w:evenVBand="0" w:oddHBand="0" w:evenHBand="0" w:firstRowFirstColumn="0" w:firstRowLastColumn="0" w:lastRowFirstColumn="0" w:lastRowLastColumn="0"/>
            </w:pPr>
            <w:r>
              <w:t>476.44</w:t>
            </w:r>
            <w:r w:rsidR="00181944">
              <w:t xml:space="preserve"> million</w:t>
            </w:r>
          </w:p>
        </w:tc>
        <w:tc>
          <w:tcPr>
            <w:tcW w:w="1121" w:type="dxa"/>
          </w:tcPr>
          <w:p w14:paraId="60AAF678" w14:textId="450F3650" w:rsidR="00181944" w:rsidRDefault="00181944" w:rsidP="00181944">
            <w:pPr>
              <w:pStyle w:val="NoSpacing"/>
              <w:jc w:val="right"/>
              <w:cnfStyle w:val="000000000000" w:firstRow="0" w:lastRow="0" w:firstColumn="0" w:lastColumn="0" w:oddVBand="0" w:evenVBand="0" w:oddHBand="0" w:evenHBand="0" w:firstRowFirstColumn="0" w:firstRowLastColumn="0" w:lastRowFirstColumn="0" w:lastRowLastColumn="0"/>
            </w:pPr>
            <w:r w:rsidRPr="007E5D4E">
              <w:rPr>
                <w:rFonts w:cstheme="minorHAnsi"/>
                <w:color w:val="000000" w:themeColor="text1"/>
              </w:rPr>
              <w:t>-</w:t>
            </w:r>
            <w:r w:rsidR="00226EF3">
              <w:rPr>
                <w:rFonts w:cstheme="minorHAnsi"/>
                <w:color w:val="000000" w:themeColor="text1"/>
              </w:rPr>
              <w:t>2.6</w:t>
            </w:r>
            <w:r w:rsidRPr="007E5D4E">
              <w:rPr>
                <w:rFonts w:cstheme="minorHAnsi"/>
                <w:color w:val="000000" w:themeColor="text1"/>
              </w:rPr>
              <w:t>%</w:t>
            </w:r>
          </w:p>
        </w:tc>
        <w:tc>
          <w:tcPr>
            <w:tcW w:w="1194" w:type="dxa"/>
          </w:tcPr>
          <w:p w14:paraId="19BE3B74" w14:textId="02BD92CA" w:rsidR="00181944" w:rsidRDefault="00181944" w:rsidP="00181944">
            <w:pPr>
              <w:pStyle w:val="NoSpacing"/>
              <w:jc w:val="right"/>
              <w:cnfStyle w:val="000000000000" w:firstRow="0" w:lastRow="0" w:firstColumn="0" w:lastColumn="0" w:oddVBand="0" w:evenVBand="0" w:oddHBand="0" w:evenHBand="0" w:firstRowFirstColumn="0" w:firstRowLastColumn="0" w:lastRowFirstColumn="0" w:lastRowLastColumn="0"/>
            </w:pPr>
            <w:r w:rsidRPr="007E5D4E">
              <w:rPr>
                <w:rFonts w:cstheme="minorHAnsi"/>
                <w:color w:val="000000" w:themeColor="text1"/>
              </w:rPr>
              <w:t>-</w:t>
            </w:r>
            <w:r w:rsidR="00226EF3">
              <w:rPr>
                <w:rFonts w:cstheme="minorHAnsi"/>
                <w:color w:val="000000" w:themeColor="text1"/>
              </w:rPr>
              <w:t>9.0</w:t>
            </w:r>
            <w:r w:rsidRPr="007E5D4E">
              <w:rPr>
                <w:rFonts w:cstheme="minorHAnsi"/>
                <w:color w:val="000000" w:themeColor="text1"/>
              </w:rPr>
              <w:t>%</w:t>
            </w:r>
          </w:p>
        </w:tc>
      </w:tr>
      <w:tr w:rsidR="00AB019A" w14:paraId="2EB720F3" w14:textId="77777777" w:rsidTr="00226E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2" w:type="dxa"/>
          </w:tcPr>
          <w:p w14:paraId="1A632454" w14:textId="04CEBBF8" w:rsidR="00AB019A" w:rsidRPr="00124CB7" w:rsidRDefault="00AB019A" w:rsidP="00AB019A">
            <w:pPr>
              <w:pStyle w:val="NoSpacing"/>
              <w:rPr>
                <w:b w:val="0"/>
                <w:bCs w:val="0"/>
              </w:rPr>
            </w:pPr>
            <w:r>
              <w:rPr>
                <w:b w:val="0"/>
                <w:bCs w:val="0"/>
              </w:rPr>
              <w:t>Volume (pounds)</w:t>
            </w:r>
          </w:p>
        </w:tc>
        <w:tc>
          <w:tcPr>
            <w:tcW w:w="2163" w:type="dxa"/>
          </w:tcPr>
          <w:p w14:paraId="68757A76" w14:textId="17E26232" w:rsidR="00AB019A" w:rsidRDefault="00AB019A" w:rsidP="00AB019A">
            <w:pPr>
              <w:pStyle w:val="NoSpacing"/>
              <w:tabs>
                <w:tab w:val="center" w:pos="747"/>
                <w:tab w:val="right" w:pos="1494"/>
              </w:tabs>
              <w:jc w:val="right"/>
              <w:cnfStyle w:val="000000100000" w:firstRow="0" w:lastRow="0" w:firstColumn="0" w:lastColumn="0" w:oddVBand="0" w:evenVBand="0" w:oddHBand="1" w:evenHBand="0" w:firstRowFirstColumn="0" w:firstRowLastColumn="0" w:lastRowFirstColumn="0" w:lastRowLastColumn="0"/>
            </w:pPr>
            <w:r>
              <w:t xml:space="preserve">            </w:t>
            </w:r>
            <w:r w:rsidR="00226EF3">
              <w:t>22.72</w:t>
            </w:r>
            <w:r>
              <w:t xml:space="preserve"> million</w:t>
            </w:r>
          </w:p>
        </w:tc>
        <w:tc>
          <w:tcPr>
            <w:tcW w:w="954" w:type="dxa"/>
          </w:tcPr>
          <w:p w14:paraId="7DE7F9CC" w14:textId="6DD15AB8" w:rsidR="00AB019A" w:rsidRDefault="00AB019A" w:rsidP="00AB019A">
            <w:pPr>
              <w:pStyle w:val="NoSpacing"/>
              <w:jc w:val="right"/>
              <w:cnfStyle w:val="000000100000" w:firstRow="0" w:lastRow="0" w:firstColumn="0" w:lastColumn="0" w:oddVBand="0" w:evenVBand="0" w:oddHBand="1" w:evenHBand="0" w:firstRowFirstColumn="0" w:firstRowLastColumn="0" w:lastRowFirstColumn="0" w:lastRowLastColumn="0"/>
            </w:pPr>
            <w:r w:rsidRPr="00B4625C">
              <w:rPr>
                <w:rFonts w:cstheme="minorHAnsi"/>
                <w:color w:val="000000" w:themeColor="text1"/>
              </w:rPr>
              <w:t>-</w:t>
            </w:r>
            <w:r w:rsidR="00226EF3">
              <w:rPr>
                <w:rFonts w:cstheme="minorHAnsi"/>
                <w:color w:val="000000" w:themeColor="text1"/>
              </w:rPr>
              <w:t>3.5</w:t>
            </w:r>
            <w:r w:rsidR="00FC1B34">
              <w:rPr>
                <w:rFonts w:cstheme="minorHAnsi"/>
                <w:color w:val="000000" w:themeColor="text1"/>
              </w:rPr>
              <w:t>%</w:t>
            </w:r>
          </w:p>
        </w:tc>
        <w:tc>
          <w:tcPr>
            <w:tcW w:w="971" w:type="dxa"/>
            <w:tcBorders>
              <w:right w:val="single" w:sz="4" w:space="0" w:color="ED7D31" w:themeColor="accent2"/>
            </w:tcBorders>
          </w:tcPr>
          <w:p w14:paraId="47670DC1" w14:textId="73A41170" w:rsidR="00AB019A" w:rsidRDefault="00AB019A" w:rsidP="00AB019A">
            <w:pPr>
              <w:pStyle w:val="NoSpacing"/>
              <w:jc w:val="right"/>
              <w:cnfStyle w:val="000000100000" w:firstRow="0" w:lastRow="0" w:firstColumn="0" w:lastColumn="0" w:oddVBand="0" w:evenVBand="0" w:oddHBand="1" w:evenHBand="0" w:firstRowFirstColumn="0" w:firstRowLastColumn="0" w:lastRowFirstColumn="0" w:lastRowLastColumn="0"/>
            </w:pPr>
            <w:r w:rsidRPr="00B4625C">
              <w:rPr>
                <w:rFonts w:cstheme="minorHAnsi"/>
                <w:color w:val="000000" w:themeColor="text1"/>
              </w:rPr>
              <w:t>-</w:t>
            </w:r>
            <w:r w:rsidR="00226EF3">
              <w:rPr>
                <w:rFonts w:cstheme="minorHAnsi"/>
                <w:color w:val="000000" w:themeColor="text1"/>
              </w:rPr>
              <w:t>6.4</w:t>
            </w:r>
            <w:r w:rsidRPr="00B4625C">
              <w:rPr>
                <w:rFonts w:cstheme="minorHAnsi"/>
                <w:color w:val="000000" w:themeColor="text1"/>
              </w:rPr>
              <w:t>%</w:t>
            </w:r>
          </w:p>
        </w:tc>
        <w:tc>
          <w:tcPr>
            <w:tcW w:w="2074" w:type="dxa"/>
            <w:tcBorders>
              <w:left w:val="single" w:sz="4" w:space="0" w:color="ED7D31" w:themeColor="accent2"/>
            </w:tcBorders>
          </w:tcPr>
          <w:p w14:paraId="57878EB0" w14:textId="0D98B45B" w:rsidR="00AB019A" w:rsidRDefault="00226EF3" w:rsidP="00AB019A">
            <w:pPr>
              <w:pStyle w:val="NoSpacing"/>
              <w:tabs>
                <w:tab w:val="center" w:pos="743"/>
                <w:tab w:val="right" w:pos="1487"/>
              </w:tabs>
              <w:jc w:val="right"/>
              <w:cnfStyle w:val="000000100000" w:firstRow="0" w:lastRow="0" w:firstColumn="0" w:lastColumn="0" w:oddVBand="0" w:evenVBand="0" w:oddHBand="1" w:evenHBand="0" w:firstRowFirstColumn="0" w:firstRowLastColumn="0" w:lastRowFirstColumn="0" w:lastRowLastColumn="0"/>
            </w:pPr>
            <w:r>
              <w:t>359.47</w:t>
            </w:r>
            <w:r w:rsidR="00AB019A">
              <w:t xml:space="preserve"> million</w:t>
            </w:r>
          </w:p>
        </w:tc>
        <w:tc>
          <w:tcPr>
            <w:tcW w:w="1121" w:type="dxa"/>
          </w:tcPr>
          <w:p w14:paraId="0679CD28" w14:textId="10A870CF" w:rsidR="00AB019A" w:rsidRDefault="00AB019A" w:rsidP="00AB019A">
            <w:pPr>
              <w:pStyle w:val="NoSpacing"/>
              <w:jc w:val="right"/>
              <w:cnfStyle w:val="000000100000" w:firstRow="0" w:lastRow="0" w:firstColumn="0" w:lastColumn="0" w:oddVBand="0" w:evenVBand="0" w:oddHBand="1" w:evenHBand="0" w:firstRowFirstColumn="0" w:firstRowLastColumn="0" w:lastRowFirstColumn="0" w:lastRowLastColumn="0"/>
            </w:pPr>
            <w:r w:rsidRPr="007E5D4E">
              <w:rPr>
                <w:rFonts w:cstheme="minorHAnsi"/>
                <w:color w:val="000000" w:themeColor="text1"/>
              </w:rPr>
              <w:t>-</w:t>
            </w:r>
            <w:r w:rsidR="00226EF3">
              <w:rPr>
                <w:rFonts w:cstheme="minorHAnsi"/>
                <w:color w:val="000000" w:themeColor="text1"/>
              </w:rPr>
              <w:t>2.9</w:t>
            </w:r>
            <w:r w:rsidRPr="007E5D4E">
              <w:rPr>
                <w:rFonts w:cstheme="minorHAnsi"/>
                <w:color w:val="000000" w:themeColor="text1"/>
              </w:rPr>
              <w:t>%</w:t>
            </w:r>
          </w:p>
        </w:tc>
        <w:tc>
          <w:tcPr>
            <w:tcW w:w="1194" w:type="dxa"/>
          </w:tcPr>
          <w:p w14:paraId="09C03B7F" w14:textId="619861B8" w:rsidR="00AB019A" w:rsidRDefault="00AB019A" w:rsidP="00AB019A">
            <w:pPr>
              <w:pStyle w:val="NoSpacing"/>
              <w:jc w:val="right"/>
              <w:cnfStyle w:val="000000100000" w:firstRow="0" w:lastRow="0" w:firstColumn="0" w:lastColumn="0" w:oddVBand="0" w:evenVBand="0" w:oddHBand="1" w:evenHBand="0" w:firstRowFirstColumn="0" w:firstRowLastColumn="0" w:lastRowFirstColumn="0" w:lastRowLastColumn="0"/>
            </w:pPr>
            <w:r w:rsidRPr="007E5D4E">
              <w:rPr>
                <w:rFonts w:cstheme="minorHAnsi"/>
                <w:color w:val="000000" w:themeColor="text1"/>
              </w:rPr>
              <w:t>-</w:t>
            </w:r>
            <w:r w:rsidR="00226EF3">
              <w:rPr>
                <w:rFonts w:cstheme="minorHAnsi"/>
                <w:color w:val="000000" w:themeColor="text1"/>
              </w:rPr>
              <w:t>9.6</w:t>
            </w:r>
            <w:r w:rsidRPr="007E5D4E">
              <w:rPr>
                <w:rFonts w:cstheme="minorHAnsi"/>
                <w:color w:val="000000" w:themeColor="text1"/>
              </w:rPr>
              <w:t>%</w:t>
            </w:r>
          </w:p>
        </w:tc>
      </w:tr>
    </w:tbl>
    <w:p w14:paraId="5B1F1AF6" w14:textId="559790E3" w:rsidR="0092088E" w:rsidRPr="00555250" w:rsidRDefault="00555250" w:rsidP="00555250">
      <w:pPr>
        <w:pStyle w:val="NoSpacing"/>
        <w:spacing w:before="120"/>
        <w:rPr>
          <w:color w:val="7F7F7F" w:themeColor="text1" w:themeTint="80"/>
          <w:sz w:val="16"/>
          <w:szCs w:val="16"/>
        </w:rPr>
      </w:pPr>
      <w:r w:rsidRPr="00555250">
        <w:rPr>
          <w:color w:val="7F7F7F" w:themeColor="text1" w:themeTint="80"/>
          <w:sz w:val="16"/>
          <w:szCs w:val="16"/>
        </w:rPr>
        <w:t xml:space="preserve">Source: </w:t>
      </w:r>
      <w:proofErr w:type="spellStart"/>
      <w:r w:rsidR="004C5B27">
        <w:rPr>
          <w:color w:val="7F7F7F" w:themeColor="text1" w:themeTint="80"/>
          <w:sz w:val="16"/>
          <w:szCs w:val="16"/>
        </w:rPr>
        <w:t>Circana</w:t>
      </w:r>
      <w:proofErr w:type="spellEnd"/>
      <w:r w:rsidRPr="00555250">
        <w:rPr>
          <w:color w:val="7F7F7F" w:themeColor="text1" w:themeTint="80"/>
          <w:sz w:val="16"/>
          <w:szCs w:val="16"/>
        </w:rPr>
        <w:t xml:space="preserve">, Integrated Fresh, MULO, </w:t>
      </w:r>
      <w:r w:rsidR="00977F7F">
        <w:rPr>
          <w:color w:val="7F7F7F" w:themeColor="text1" w:themeTint="80"/>
          <w:sz w:val="16"/>
          <w:szCs w:val="16"/>
        </w:rPr>
        <w:t xml:space="preserve">YTD and </w:t>
      </w:r>
      <w:r w:rsidR="007D30DA">
        <w:rPr>
          <w:color w:val="7F7F7F" w:themeColor="text1" w:themeTint="80"/>
          <w:sz w:val="16"/>
          <w:szCs w:val="16"/>
        </w:rPr>
        <w:t>4</w:t>
      </w:r>
      <w:r w:rsidRPr="00555250">
        <w:rPr>
          <w:color w:val="7F7F7F" w:themeColor="text1" w:themeTint="80"/>
          <w:sz w:val="16"/>
          <w:szCs w:val="16"/>
        </w:rPr>
        <w:t xml:space="preserve"> weeks ending </w:t>
      </w:r>
      <w:r w:rsidR="001A2890">
        <w:rPr>
          <w:color w:val="7F7F7F" w:themeColor="text1" w:themeTint="80"/>
          <w:sz w:val="16"/>
          <w:szCs w:val="16"/>
        </w:rPr>
        <w:t>4/21/2024</w:t>
      </w:r>
    </w:p>
    <w:p w14:paraId="693975F5" w14:textId="5C6F2673" w:rsidR="000809C3" w:rsidRPr="00363853" w:rsidRDefault="000809C3" w:rsidP="00472B02">
      <w:pPr>
        <w:pStyle w:val="NoSpacing"/>
        <w:rPr>
          <w:sz w:val="16"/>
          <w:szCs w:val="16"/>
        </w:rPr>
      </w:pPr>
    </w:p>
    <w:p w14:paraId="3FBF647C" w14:textId="017B0D3A" w:rsidR="000E0D6B" w:rsidRDefault="00024D78" w:rsidP="00363853">
      <w:pPr>
        <w:pStyle w:val="NoSpacing"/>
      </w:pPr>
      <w:r>
        <w:t>When comparing the quad week’s performance to the prior quad week, volume patterns remained consistent with prior years. Volume sales during quad week four tend to be slightly lower than those seen during quad weeks two and three. Volume sales shrunk by 0.7%, slightly less than last year’s decline</w:t>
      </w:r>
      <w:r w:rsidR="00432D1F">
        <w:t xml:space="preserve"> (see forecasting tab).</w:t>
      </w:r>
    </w:p>
    <w:p w14:paraId="4D3D5B0B" w14:textId="77777777" w:rsidR="00363853" w:rsidRPr="00363853" w:rsidRDefault="00363853" w:rsidP="00363853">
      <w:pPr>
        <w:pStyle w:val="NoSpacing"/>
        <w:rPr>
          <w:sz w:val="10"/>
          <w:szCs w:val="10"/>
        </w:rPr>
      </w:pPr>
    </w:p>
    <w:tbl>
      <w:tblPr>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657"/>
        <w:gridCol w:w="657"/>
        <w:gridCol w:w="714"/>
        <w:gridCol w:w="657"/>
        <w:gridCol w:w="657"/>
        <w:gridCol w:w="657"/>
        <w:gridCol w:w="657"/>
        <w:gridCol w:w="657"/>
        <w:gridCol w:w="657"/>
        <w:gridCol w:w="720"/>
        <w:gridCol w:w="720"/>
        <w:gridCol w:w="720"/>
        <w:gridCol w:w="720"/>
      </w:tblGrid>
      <w:tr w:rsidR="00757C0B" w:rsidRPr="000E0D6B" w14:paraId="2CE5BD2B" w14:textId="77777777" w:rsidTr="00757C0B">
        <w:trPr>
          <w:trHeight w:val="552"/>
        </w:trPr>
        <w:tc>
          <w:tcPr>
            <w:tcW w:w="1440" w:type="dxa"/>
            <w:shd w:val="clear" w:color="auto" w:fill="auto"/>
          </w:tcPr>
          <w:p w14:paraId="0137593C" w14:textId="58ABB8EE" w:rsidR="00757C0B" w:rsidRPr="00757C0B" w:rsidRDefault="00757C0B" w:rsidP="00757C0B">
            <w:pPr>
              <w:spacing w:after="0" w:line="240" w:lineRule="auto"/>
              <w:rPr>
                <w:rFonts w:eastAsia="Times New Roman" w:cstheme="minorHAnsi"/>
                <w:color w:val="000000"/>
                <w:sz w:val="16"/>
                <w:szCs w:val="16"/>
              </w:rPr>
            </w:pPr>
            <w:r w:rsidRPr="00757C0B">
              <w:rPr>
                <w:rFonts w:cstheme="minorHAnsi"/>
                <w:b/>
                <w:bCs/>
                <w:color w:val="000000"/>
                <w:sz w:val="16"/>
                <w:szCs w:val="16"/>
              </w:rPr>
              <w:t>Pound growth rates versus PRIOR PERIOD</w:t>
            </w:r>
          </w:p>
        </w:tc>
        <w:tc>
          <w:tcPr>
            <w:tcW w:w="657" w:type="dxa"/>
            <w:shd w:val="clear" w:color="auto" w:fill="auto"/>
            <w:vAlign w:val="center"/>
          </w:tcPr>
          <w:p w14:paraId="4366F69D" w14:textId="4EE2776C" w:rsidR="00757C0B" w:rsidRPr="00757C0B" w:rsidRDefault="00757C0B" w:rsidP="00757C0B">
            <w:pPr>
              <w:spacing w:after="0" w:line="240" w:lineRule="auto"/>
              <w:jc w:val="center"/>
              <w:rPr>
                <w:rFonts w:eastAsia="Times New Roman" w:cstheme="minorHAnsi"/>
                <w:sz w:val="16"/>
                <w:szCs w:val="16"/>
              </w:rPr>
            </w:pPr>
            <w:r w:rsidRPr="00757C0B">
              <w:rPr>
                <w:rFonts w:cstheme="minorHAnsi"/>
                <w:b/>
                <w:bCs/>
                <w:sz w:val="16"/>
                <w:szCs w:val="16"/>
              </w:rPr>
              <w:t>Quad week 1</w:t>
            </w:r>
          </w:p>
        </w:tc>
        <w:tc>
          <w:tcPr>
            <w:tcW w:w="657" w:type="dxa"/>
            <w:shd w:val="clear" w:color="auto" w:fill="auto"/>
            <w:vAlign w:val="center"/>
          </w:tcPr>
          <w:p w14:paraId="600FB821" w14:textId="610C58D4" w:rsidR="00757C0B" w:rsidRPr="00757C0B" w:rsidRDefault="00757C0B" w:rsidP="00757C0B">
            <w:pPr>
              <w:spacing w:after="0" w:line="240" w:lineRule="auto"/>
              <w:jc w:val="center"/>
              <w:rPr>
                <w:rFonts w:eastAsia="Times New Roman" w:cstheme="minorHAnsi"/>
                <w:sz w:val="16"/>
                <w:szCs w:val="16"/>
              </w:rPr>
            </w:pPr>
            <w:r w:rsidRPr="00757C0B">
              <w:rPr>
                <w:rFonts w:cstheme="minorHAnsi"/>
                <w:b/>
                <w:bCs/>
                <w:sz w:val="16"/>
                <w:szCs w:val="16"/>
              </w:rPr>
              <w:t>Quad week 2</w:t>
            </w:r>
          </w:p>
        </w:tc>
        <w:tc>
          <w:tcPr>
            <w:tcW w:w="714" w:type="dxa"/>
            <w:shd w:val="clear" w:color="auto" w:fill="auto"/>
            <w:vAlign w:val="center"/>
          </w:tcPr>
          <w:p w14:paraId="5617C026" w14:textId="31B89AC1" w:rsidR="00757C0B" w:rsidRPr="00757C0B" w:rsidRDefault="00757C0B" w:rsidP="00757C0B">
            <w:pPr>
              <w:spacing w:after="0" w:line="240" w:lineRule="auto"/>
              <w:jc w:val="center"/>
              <w:rPr>
                <w:rFonts w:eastAsia="Times New Roman" w:cstheme="minorHAnsi"/>
                <w:sz w:val="16"/>
                <w:szCs w:val="16"/>
              </w:rPr>
            </w:pPr>
            <w:r w:rsidRPr="00757C0B">
              <w:rPr>
                <w:rFonts w:cstheme="minorHAnsi"/>
                <w:b/>
                <w:bCs/>
                <w:sz w:val="16"/>
                <w:szCs w:val="16"/>
              </w:rPr>
              <w:t>Quad week 3</w:t>
            </w:r>
          </w:p>
        </w:tc>
        <w:tc>
          <w:tcPr>
            <w:tcW w:w="657" w:type="dxa"/>
            <w:shd w:val="clear" w:color="auto" w:fill="auto"/>
            <w:vAlign w:val="center"/>
          </w:tcPr>
          <w:p w14:paraId="68335CCD" w14:textId="12159A82" w:rsidR="00757C0B" w:rsidRPr="00757C0B" w:rsidRDefault="00757C0B" w:rsidP="00757C0B">
            <w:pPr>
              <w:spacing w:after="0" w:line="240" w:lineRule="auto"/>
              <w:jc w:val="center"/>
              <w:rPr>
                <w:rFonts w:eastAsia="Times New Roman" w:cstheme="minorHAnsi"/>
                <w:sz w:val="16"/>
                <w:szCs w:val="16"/>
              </w:rPr>
            </w:pPr>
            <w:r w:rsidRPr="00757C0B">
              <w:rPr>
                <w:rFonts w:cstheme="minorHAnsi"/>
                <w:b/>
                <w:bCs/>
                <w:sz w:val="16"/>
                <w:szCs w:val="16"/>
              </w:rPr>
              <w:t>Quad week 4</w:t>
            </w:r>
          </w:p>
        </w:tc>
        <w:tc>
          <w:tcPr>
            <w:tcW w:w="657" w:type="dxa"/>
            <w:shd w:val="clear" w:color="auto" w:fill="auto"/>
            <w:vAlign w:val="center"/>
          </w:tcPr>
          <w:p w14:paraId="157C0D00" w14:textId="61D53023" w:rsidR="00757C0B" w:rsidRPr="00757C0B" w:rsidRDefault="00757C0B" w:rsidP="00757C0B">
            <w:pPr>
              <w:spacing w:after="0" w:line="240" w:lineRule="auto"/>
              <w:jc w:val="center"/>
              <w:rPr>
                <w:rFonts w:eastAsia="Times New Roman" w:cstheme="minorHAnsi"/>
                <w:sz w:val="16"/>
                <w:szCs w:val="16"/>
              </w:rPr>
            </w:pPr>
            <w:r w:rsidRPr="00757C0B">
              <w:rPr>
                <w:rFonts w:cstheme="minorHAnsi"/>
                <w:b/>
                <w:bCs/>
                <w:sz w:val="16"/>
                <w:szCs w:val="16"/>
              </w:rPr>
              <w:t>Quad week 5</w:t>
            </w:r>
          </w:p>
        </w:tc>
        <w:tc>
          <w:tcPr>
            <w:tcW w:w="657" w:type="dxa"/>
            <w:shd w:val="clear" w:color="auto" w:fill="auto"/>
            <w:vAlign w:val="center"/>
          </w:tcPr>
          <w:p w14:paraId="530B7B63" w14:textId="4AA4906C" w:rsidR="00757C0B" w:rsidRPr="00757C0B" w:rsidRDefault="00757C0B" w:rsidP="00757C0B">
            <w:pPr>
              <w:spacing w:after="0" w:line="240" w:lineRule="auto"/>
              <w:jc w:val="center"/>
              <w:rPr>
                <w:rFonts w:eastAsia="Times New Roman" w:cstheme="minorHAnsi"/>
                <w:sz w:val="16"/>
                <w:szCs w:val="16"/>
              </w:rPr>
            </w:pPr>
            <w:r w:rsidRPr="00757C0B">
              <w:rPr>
                <w:rFonts w:cstheme="minorHAnsi"/>
                <w:b/>
                <w:bCs/>
                <w:sz w:val="16"/>
                <w:szCs w:val="16"/>
              </w:rPr>
              <w:t>Quad week 6</w:t>
            </w:r>
          </w:p>
        </w:tc>
        <w:tc>
          <w:tcPr>
            <w:tcW w:w="657" w:type="dxa"/>
            <w:shd w:val="clear" w:color="auto" w:fill="auto"/>
            <w:vAlign w:val="center"/>
          </w:tcPr>
          <w:p w14:paraId="7A895C41" w14:textId="264553AE" w:rsidR="00757C0B" w:rsidRPr="00757C0B" w:rsidRDefault="00757C0B" w:rsidP="00757C0B">
            <w:pPr>
              <w:spacing w:after="0" w:line="240" w:lineRule="auto"/>
              <w:jc w:val="center"/>
              <w:rPr>
                <w:rFonts w:eastAsia="Times New Roman" w:cstheme="minorHAnsi"/>
                <w:sz w:val="16"/>
                <w:szCs w:val="16"/>
              </w:rPr>
            </w:pPr>
            <w:r w:rsidRPr="00757C0B">
              <w:rPr>
                <w:rFonts w:cstheme="minorHAnsi"/>
                <w:b/>
                <w:bCs/>
                <w:sz w:val="16"/>
                <w:szCs w:val="16"/>
              </w:rPr>
              <w:t>Quad week 7</w:t>
            </w:r>
          </w:p>
        </w:tc>
        <w:tc>
          <w:tcPr>
            <w:tcW w:w="657" w:type="dxa"/>
            <w:shd w:val="clear" w:color="auto" w:fill="auto"/>
            <w:vAlign w:val="center"/>
          </w:tcPr>
          <w:p w14:paraId="02A51AE9" w14:textId="4CA808E3" w:rsidR="00757C0B" w:rsidRPr="00757C0B" w:rsidRDefault="00757C0B" w:rsidP="00757C0B">
            <w:pPr>
              <w:spacing w:after="0" w:line="240" w:lineRule="auto"/>
              <w:jc w:val="center"/>
              <w:rPr>
                <w:rFonts w:eastAsia="Times New Roman" w:cstheme="minorHAnsi"/>
                <w:sz w:val="16"/>
                <w:szCs w:val="16"/>
              </w:rPr>
            </w:pPr>
            <w:r w:rsidRPr="00757C0B">
              <w:rPr>
                <w:rFonts w:cstheme="minorHAnsi"/>
                <w:b/>
                <w:bCs/>
                <w:sz w:val="16"/>
                <w:szCs w:val="16"/>
              </w:rPr>
              <w:t>Quad week 8</w:t>
            </w:r>
          </w:p>
        </w:tc>
        <w:tc>
          <w:tcPr>
            <w:tcW w:w="657" w:type="dxa"/>
            <w:shd w:val="clear" w:color="auto" w:fill="auto"/>
            <w:vAlign w:val="center"/>
          </w:tcPr>
          <w:p w14:paraId="13060256" w14:textId="6569BBA9" w:rsidR="00757C0B" w:rsidRPr="00757C0B" w:rsidRDefault="00757C0B" w:rsidP="00757C0B">
            <w:pPr>
              <w:spacing w:after="0" w:line="240" w:lineRule="auto"/>
              <w:jc w:val="center"/>
              <w:rPr>
                <w:rFonts w:eastAsia="Times New Roman" w:cstheme="minorHAnsi"/>
                <w:sz w:val="16"/>
                <w:szCs w:val="16"/>
              </w:rPr>
            </w:pPr>
            <w:r w:rsidRPr="00757C0B">
              <w:rPr>
                <w:rFonts w:cstheme="minorHAnsi"/>
                <w:b/>
                <w:bCs/>
                <w:sz w:val="16"/>
                <w:szCs w:val="16"/>
              </w:rPr>
              <w:t>Quad week 9</w:t>
            </w:r>
          </w:p>
        </w:tc>
        <w:tc>
          <w:tcPr>
            <w:tcW w:w="720" w:type="dxa"/>
            <w:shd w:val="clear" w:color="auto" w:fill="auto"/>
            <w:vAlign w:val="center"/>
          </w:tcPr>
          <w:p w14:paraId="68945EBB" w14:textId="24514260" w:rsidR="00757C0B" w:rsidRPr="00757C0B" w:rsidRDefault="00757C0B" w:rsidP="00757C0B">
            <w:pPr>
              <w:spacing w:after="0" w:line="240" w:lineRule="auto"/>
              <w:jc w:val="center"/>
              <w:rPr>
                <w:rFonts w:eastAsia="Times New Roman" w:cstheme="minorHAnsi"/>
                <w:sz w:val="16"/>
                <w:szCs w:val="16"/>
              </w:rPr>
            </w:pPr>
            <w:r w:rsidRPr="00757C0B">
              <w:rPr>
                <w:rFonts w:cstheme="minorHAnsi"/>
                <w:b/>
                <w:bCs/>
                <w:sz w:val="16"/>
                <w:szCs w:val="16"/>
              </w:rPr>
              <w:t>Quad week 10</w:t>
            </w:r>
          </w:p>
        </w:tc>
        <w:tc>
          <w:tcPr>
            <w:tcW w:w="720" w:type="dxa"/>
            <w:shd w:val="clear" w:color="auto" w:fill="auto"/>
            <w:vAlign w:val="center"/>
          </w:tcPr>
          <w:p w14:paraId="1F031356" w14:textId="5C6C19A4" w:rsidR="00757C0B" w:rsidRPr="00757C0B" w:rsidRDefault="00757C0B" w:rsidP="00757C0B">
            <w:pPr>
              <w:spacing w:after="0" w:line="240" w:lineRule="auto"/>
              <w:jc w:val="center"/>
              <w:rPr>
                <w:rFonts w:eastAsia="Times New Roman" w:cstheme="minorHAnsi"/>
                <w:sz w:val="16"/>
                <w:szCs w:val="16"/>
              </w:rPr>
            </w:pPr>
            <w:r w:rsidRPr="00757C0B">
              <w:rPr>
                <w:rFonts w:cstheme="minorHAnsi"/>
                <w:b/>
                <w:bCs/>
                <w:sz w:val="16"/>
                <w:szCs w:val="16"/>
              </w:rPr>
              <w:t>Quad week 11</w:t>
            </w:r>
          </w:p>
        </w:tc>
        <w:tc>
          <w:tcPr>
            <w:tcW w:w="720" w:type="dxa"/>
            <w:shd w:val="clear" w:color="auto" w:fill="auto"/>
            <w:vAlign w:val="center"/>
          </w:tcPr>
          <w:p w14:paraId="54099731" w14:textId="3A208E55" w:rsidR="00757C0B" w:rsidRPr="00757C0B" w:rsidRDefault="00757C0B" w:rsidP="00757C0B">
            <w:pPr>
              <w:spacing w:after="0" w:line="240" w:lineRule="auto"/>
              <w:jc w:val="center"/>
              <w:rPr>
                <w:rFonts w:eastAsia="Times New Roman" w:cstheme="minorHAnsi"/>
                <w:sz w:val="16"/>
                <w:szCs w:val="16"/>
              </w:rPr>
            </w:pPr>
            <w:r w:rsidRPr="00757C0B">
              <w:rPr>
                <w:rFonts w:cstheme="minorHAnsi"/>
                <w:b/>
                <w:bCs/>
                <w:sz w:val="16"/>
                <w:szCs w:val="16"/>
              </w:rPr>
              <w:t>Quad week 12</w:t>
            </w:r>
          </w:p>
        </w:tc>
        <w:tc>
          <w:tcPr>
            <w:tcW w:w="720" w:type="dxa"/>
            <w:shd w:val="clear" w:color="auto" w:fill="auto"/>
            <w:vAlign w:val="center"/>
          </w:tcPr>
          <w:p w14:paraId="0EFA218C" w14:textId="0E011FFC" w:rsidR="00757C0B" w:rsidRPr="00757C0B" w:rsidRDefault="00757C0B" w:rsidP="00757C0B">
            <w:pPr>
              <w:spacing w:after="0" w:line="240" w:lineRule="auto"/>
              <w:jc w:val="center"/>
              <w:rPr>
                <w:rFonts w:eastAsia="Times New Roman" w:cstheme="minorHAnsi"/>
                <w:sz w:val="16"/>
                <w:szCs w:val="16"/>
              </w:rPr>
            </w:pPr>
            <w:r w:rsidRPr="00757C0B">
              <w:rPr>
                <w:rFonts w:cstheme="minorHAnsi"/>
                <w:b/>
                <w:bCs/>
                <w:sz w:val="16"/>
                <w:szCs w:val="16"/>
              </w:rPr>
              <w:t>Quad week 13</w:t>
            </w:r>
          </w:p>
        </w:tc>
      </w:tr>
      <w:tr w:rsidR="00757C0B" w:rsidRPr="000E0D6B" w14:paraId="7083EDA9" w14:textId="77777777" w:rsidTr="00757C0B">
        <w:trPr>
          <w:trHeight w:val="144"/>
        </w:trPr>
        <w:tc>
          <w:tcPr>
            <w:tcW w:w="1440" w:type="dxa"/>
            <w:shd w:val="clear" w:color="auto" w:fill="auto"/>
            <w:noWrap/>
            <w:vAlign w:val="bottom"/>
          </w:tcPr>
          <w:p w14:paraId="0496F523" w14:textId="5C34B680" w:rsidR="00757C0B" w:rsidRPr="001A2890" w:rsidRDefault="00757C0B" w:rsidP="00757C0B">
            <w:pPr>
              <w:spacing w:after="0" w:line="240" w:lineRule="auto"/>
              <w:rPr>
                <w:rFonts w:eastAsia="Times New Roman" w:cstheme="minorHAnsi"/>
                <w:sz w:val="16"/>
                <w:szCs w:val="16"/>
              </w:rPr>
            </w:pPr>
            <w:r w:rsidRPr="001A2890">
              <w:rPr>
                <w:rFonts w:cstheme="minorHAnsi"/>
                <w:sz w:val="16"/>
                <w:szCs w:val="16"/>
              </w:rPr>
              <w:t>2017</w:t>
            </w:r>
          </w:p>
        </w:tc>
        <w:tc>
          <w:tcPr>
            <w:tcW w:w="657" w:type="dxa"/>
            <w:shd w:val="clear" w:color="auto" w:fill="auto"/>
            <w:noWrap/>
            <w:vAlign w:val="bottom"/>
          </w:tcPr>
          <w:p w14:paraId="2E470360" w14:textId="6D4A2FED" w:rsidR="00757C0B" w:rsidRPr="001A2890" w:rsidRDefault="00757C0B" w:rsidP="00757C0B">
            <w:pPr>
              <w:spacing w:after="0" w:line="240" w:lineRule="auto"/>
              <w:rPr>
                <w:rFonts w:eastAsia="Times New Roman" w:cstheme="minorHAnsi"/>
                <w:sz w:val="16"/>
                <w:szCs w:val="16"/>
              </w:rPr>
            </w:pPr>
            <w:r w:rsidRPr="001A2890">
              <w:rPr>
                <w:rFonts w:cstheme="minorHAnsi"/>
                <w:sz w:val="16"/>
                <w:szCs w:val="16"/>
              </w:rPr>
              <w:t> </w:t>
            </w:r>
          </w:p>
        </w:tc>
        <w:tc>
          <w:tcPr>
            <w:tcW w:w="657" w:type="dxa"/>
            <w:shd w:val="clear" w:color="000000" w:fill="E6B8B7"/>
            <w:noWrap/>
            <w:vAlign w:val="bottom"/>
          </w:tcPr>
          <w:p w14:paraId="75595489" w14:textId="521D98B9"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-1.5%</w:t>
            </w:r>
          </w:p>
        </w:tc>
        <w:tc>
          <w:tcPr>
            <w:tcW w:w="714" w:type="dxa"/>
            <w:shd w:val="clear" w:color="000000" w:fill="E6B8B7"/>
            <w:noWrap/>
            <w:vAlign w:val="bottom"/>
          </w:tcPr>
          <w:p w14:paraId="7F0D03BA" w14:textId="5478D456"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-2.6%</w:t>
            </w:r>
          </w:p>
        </w:tc>
        <w:tc>
          <w:tcPr>
            <w:tcW w:w="657" w:type="dxa"/>
            <w:shd w:val="clear" w:color="000000" w:fill="E6B8B7"/>
            <w:noWrap/>
            <w:vAlign w:val="bottom"/>
          </w:tcPr>
          <w:p w14:paraId="3154EF6E" w14:textId="3A76CCFF"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-1.8%</w:t>
            </w:r>
          </w:p>
        </w:tc>
        <w:tc>
          <w:tcPr>
            <w:tcW w:w="657" w:type="dxa"/>
            <w:shd w:val="clear" w:color="000000" w:fill="DA9694"/>
            <w:noWrap/>
            <w:vAlign w:val="bottom"/>
          </w:tcPr>
          <w:p w14:paraId="2272285A" w14:textId="7AA31FBC"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-3.2%</w:t>
            </w:r>
          </w:p>
        </w:tc>
        <w:tc>
          <w:tcPr>
            <w:tcW w:w="657" w:type="dxa"/>
            <w:shd w:val="clear" w:color="000000" w:fill="DA9694"/>
            <w:noWrap/>
            <w:vAlign w:val="bottom"/>
          </w:tcPr>
          <w:p w14:paraId="1082D2EC" w14:textId="5F056BFA"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-3.5%</w:t>
            </w:r>
          </w:p>
        </w:tc>
        <w:tc>
          <w:tcPr>
            <w:tcW w:w="657" w:type="dxa"/>
            <w:shd w:val="clear" w:color="000000" w:fill="E6B8B7"/>
            <w:noWrap/>
            <w:vAlign w:val="bottom"/>
          </w:tcPr>
          <w:p w14:paraId="05E2737E" w14:textId="6E0C393F"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-1.6%</w:t>
            </w:r>
          </w:p>
        </w:tc>
        <w:tc>
          <w:tcPr>
            <w:tcW w:w="657" w:type="dxa"/>
            <w:shd w:val="clear" w:color="000000" w:fill="E6B8B7"/>
            <w:noWrap/>
            <w:vAlign w:val="bottom"/>
          </w:tcPr>
          <w:p w14:paraId="5B754E63" w14:textId="65FD2783"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-0.5%</w:t>
            </w:r>
          </w:p>
        </w:tc>
        <w:tc>
          <w:tcPr>
            <w:tcW w:w="657" w:type="dxa"/>
            <w:shd w:val="clear" w:color="000000" w:fill="D8E4BC"/>
            <w:noWrap/>
            <w:vAlign w:val="bottom"/>
          </w:tcPr>
          <w:p w14:paraId="3E4D0CD9" w14:textId="3BE1AFB8"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1.0%</w:t>
            </w:r>
          </w:p>
        </w:tc>
        <w:tc>
          <w:tcPr>
            <w:tcW w:w="720" w:type="dxa"/>
            <w:shd w:val="clear" w:color="000000" w:fill="D8E4BC"/>
            <w:noWrap/>
            <w:vAlign w:val="bottom"/>
          </w:tcPr>
          <w:p w14:paraId="2CF2B55A" w14:textId="5C1F0B98"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1.5%</w:t>
            </w:r>
          </w:p>
        </w:tc>
        <w:tc>
          <w:tcPr>
            <w:tcW w:w="720" w:type="dxa"/>
            <w:shd w:val="clear" w:color="000000" w:fill="D8E4BC"/>
            <w:noWrap/>
            <w:vAlign w:val="bottom"/>
          </w:tcPr>
          <w:p w14:paraId="76241356" w14:textId="2E0CB9AF"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1.4%</w:t>
            </w:r>
          </w:p>
        </w:tc>
        <w:tc>
          <w:tcPr>
            <w:tcW w:w="720" w:type="dxa"/>
            <w:shd w:val="clear" w:color="000000" w:fill="C4D79B"/>
            <w:noWrap/>
            <w:vAlign w:val="bottom"/>
          </w:tcPr>
          <w:p w14:paraId="6106BBAF" w14:textId="393C44E4"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7.9%</w:t>
            </w:r>
          </w:p>
        </w:tc>
        <w:tc>
          <w:tcPr>
            <w:tcW w:w="720" w:type="dxa"/>
            <w:shd w:val="clear" w:color="000000" w:fill="D8E4BC"/>
            <w:noWrap/>
            <w:vAlign w:val="bottom"/>
          </w:tcPr>
          <w:p w14:paraId="5A5B02B6" w14:textId="582BC242"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7.3%</w:t>
            </w:r>
          </w:p>
        </w:tc>
      </w:tr>
      <w:tr w:rsidR="00757C0B" w:rsidRPr="000E0D6B" w14:paraId="3B8C9CB3" w14:textId="77777777" w:rsidTr="001A2890">
        <w:trPr>
          <w:trHeight w:val="144"/>
        </w:trPr>
        <w:tc>
          <w:tcPr>
            <w:tcW w:w="1440" w:type="dxa"/>
            <w:shd w:val="clear" w:color="auto" w:fill="auto"/>
            <w:noWrap/>
            <w:vAlign w:val="bottom"/>
          </w:tcPr>
          <w:p w14:paraId="10415BAB" w14:textId="21C8393E" w:rsidR="00757C0B" w:rsidRPr="001A2890" w:rsidRDefault="00757C0B" w:rsidP="00757C0B">
            <w:pPr>
              <w:spacing w:after="0" w:line="240" w:lineRule="auto"/>
              <w:rPr>
                <w:rFonts w:eastAsia="Times New Roman" w:cstheme="minorHAnsi"/>
                <w:sz w:val="16"/>
                <w:szCs w:val="16"/>
              </w:rPr>
            </w:pPr>
            <w:r w:rsidRPr="001A2890">
              <w:rPr>
                <w:rFonts w:cstheme="minorHAnsi"/>
                <w:sz w:val="16"/>
                <w:szCs w:val="16"/>
              </w:rPr>
              <w:t>2018</w:t>
            </w:r>
          </w:p>
        </w:tc>
        <w:tc>
          <w:tcPr>
            <w:tcW w:w="657" w:type="dxa"/>
            <w:shd w:val="clear" w:color="000000" w:fill="C4D79B"/>
            <w:noWrap/>
            <w:vAlign w:val="bottom"/>
          </w:tcPr>
          <w:p w14:paraId="3666588F" w14:textId="1948BC25"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-1.0%</w:t>
            </w:r>
          </w:p>
        </w:tc>
        <w:tc>
          <w:tcPr>
            <w:tcW w:w="657" w:type="dxa"/>
            <w:shd w:val="clear" w:color="000000" w:fill="DA9694"/>
            <w:noWrap/>
            <w:vAlign w:val="bottom"/>
          </w:tcPr>
          <w:p w14:paraId="0F602A96" w14:textId="166688E6"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-3.3%</w:t>
            </w:r>
          </w:p>
        </w:tc>
        <w:tc>
          <w:tcPr>
            <w:tcW w:w="714" w:type="dxa"/>
            <w:shd w:val="clear" w:color="auto" w:fill="F2DCDB"/>
            <w:noWrap/>
            <w:vAlign w:val="bottom"/>
          </w:tcPr>
          <w:p w14:paraId="774E7EA7" w14:textId="769E8E88"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-0.9%</w:t>
            </w:r>
          </w:p>
        </w:tc>
        <w:tc>
          <w:tcPr>
            <w:tcW w:w="657" w:type="dxa"/>
            <w:shd w:val="clear" w:color="000000" w:fill="DA9694"/>
            <w:noWrap/>
            <w:vAlign w:val="bottom"/>
          </w:tcPr>
          <w:p w14:paraId="195DB56C" w14:textId="3BCEF357"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-3.2%</w:t>
            </w:r>
          </w:p>
        </w:tc>
        <w:tc>
          <w:tcPr>
            <w:tcW w:w="657" w:type="dxa"/>
            <w:shd w:val="clear" w:color="000000" w:fill="E6B8B7"/>
            <w:noWrap/>
            <w:vAlign w:val="bottom"/>
          </w:tcPr>
          <w:p w14:paraId="3B05A150" w14:textId="0D5A14DE"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-1.9%</w:t>
            </w:r>
          </w:p>
        </w:tc>
        <w:tc>
          <w:tcPr>
            <w:tcW w:w="657" w:type="dxa"/>
            <w:shd w:val="clear" w:color="000000" w:fill="DA9694"/>
            <w:noWrap/>
            <w:vAlign w:val="bottom"/>
          </w:tcPr>
          <w:p w14:paraId="620A52ED" w14:textId="53DF4E55"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-3.8%</w:t>
            </w:r>
          </w:p>
        </w:tc>
        <w:tc>
          <w:tcPr>
            <w:tcW w:w="657" w:type="dxa"/>
            <w:shd w:val="clear" w:color="000000" w:fill="DA9694"/>
            <w:noWrap/>
            <w:vAlign w:val="bottom"/>
          </w:tcPr>
          <w:p w14:paraId="411C3845" w14:textId="38CCE9DF"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-3.4%</w:t>
            </w:r>
          </w:p>
        </w:tc>
        <w:tc>
          <w:tcPr>
            <w:tcW w:w="657" w:type="dxa"/>
            <w:shd w:val="clear" w:color="000000" w:fill="E6B8B7"/>
            <w:noWrap/>
            <w:vAlign w:val="bottom"/>
          </w:tcPr>
          <w:p w14:paraId="72A797AA" w14:textId="2834E56F"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-2.0%</w:t>
            </w:r>
          </w:p>
        </w:tc>
        <w:tc>
          <w:tcPr>
            <w:tcW w:w="657" w:type="dxa"/>
            <w:shd w:val="clear" w:color="000000" w:fill="D8E4BC"/>
            <w:noWrap/>
            <w:vAlign w:val="bottom"/>
          </w:tcPr>
          <w:p w14:paraId="2272447A" w14:textId="10528980"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2.9%</w:t>
            </w:r>
          </w:p>
        </w:tc>
        <w:tc>
          <w:tcPr>
            <w:tcW w:w="720" w:type="dxa"/>
            <w:shd w:val="clear" w:color="000000" w:fill="D8E4BC"/>
            <w:noWrap/>
            <w:vAlign w:val="bottom"/>
          </w:tcPr>
          <w:p w14:paraId="14B9CF92" w14:textId="4971B37D"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1.7%</w:t>
            </w:r>
          </w:p>
        </w:tc>
        <w:tc>
          <w:tcPr>
            <w:tcW w:w="720" w:type="dxa"/>
            <w:shd w:val="clear" w:color="000000" w:fill="D8E4BC"/>
            <w:noWrap/>
            <w:vAlign w:val="bottom"/>
          </w:tcPr>
          <w:p w14:paraId="375CBFF3" w14:textId="29FFA0E5"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0.4%</w:t>
            </w:r>
          </w:p>
        </w:tc>
        <w:tc>
          <w:tcPr>
            <w:tcW w:w="720" w:type="dxa"/>
            <w:shd w:val="clear" w:color="000000" w:fill="C4D79B"/>
            <w:noWrap/>
            <w:vAlign w:val="bottom"/>
          </w:tcPr>
          <w:p w14:paraId="7C3C91AF" w14:textId="4ECC4CE7"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9.4%</w:t>
            </w:r>
          </w:p>
        </w:tc>
        <w:tc>
          <w:tcPr>
            <w:tcW w:w="720" w:type="dxa"/>
            <w:shd w:val="clear" w:color="000000" w:fill="C4D79B"/>
            <w:noWrap/>
            <w:vAlign w:val="bottom"/>
          </w:tcPr>
          <w:p w14:paraId="3AADE08F" w14:textId="0EAF2059"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4.1%</w:t>
            </w:r>
          </w:p>
        </w:tc>
      </w:tr>
      <w:tr w:rsidR="00757C0B" w:rsidRPr="000E0D6B" w14:paraId="5F93CA96" w14:textId="77777777" w:rsidTr="00757C0B">
        <w:trPr>
          <w:trHeight w:val="144"/>
        </w:trPr>
        <w:tc>
          <w:tcPr>
            <w:tcW w:w="1440" w:type="dxa"/>
            <w:shd w:val="clear" w:color="auto" w:fill="auto"/>
            <w:noWrap/>
            <w:vAlign w:val="bottom"/>
          </w:tcPr>
          <w:p w14:paraId="1C645533" w14:textId="6F78B56B" w:rsidR="00757C0B" w:rsidRPr="001A2890" w:rsidRDefault="00757C0B" w:rsidP="00757C0B">
            <w:pPr>
              <w:spacing w:after="0" w:line="240" w:lineRule="auto"/>
              <w:rPr>
                <w:rFonts w:eastAsia="Times New Roman" w:cstheme="minorHAnsi"/>
                <w:color w:val="000000"/>
                <w:sz w:val="16"/>
                <w:szCs w:val="16"/>
              </w:rPr>
            </w:pPr>
            <w:r w:rsidRPr="001A2890">
              <w:rPr>
                <w:rFonts w:cstheme="minorHAnsi"/>
                <w:b/>
                <w:bCs/>
                <w:color w:val="000000"/>
                <w:sz w:val="16"/>
                <w:szCs w:val="16"/>
              </w:rPr>
              <w:t>2019</w:t>
            </w:r>
          </w:p>
        </w:tc>
        <w:tc>
          <w:tcPr>
            <w:tcW w:w="657" w:type="dxa"/>
            <w:shd w:val="clear" w:color="000000" w:fill="C4D79B"/>
            <w:noWrap/>
            <w:vAlign w:val="bottom"/>
          </w:tcPr>
          <w:p w14:paraId="502534A8" w14:textId="04D4C7D4"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6.6%</w:t>
            </w:r>
          </w:p>
        </w:tc>
        <w:tc>
          <w:tcPr>
            <w:tcW w:w="657" w:type="dxa"/>
            <w:shd w:val="clear" w:color="000000" w:fill="DA9694"/>
            <w:noWrap/>
            <w:vAlign w:val="bottom"/>
          </w:tcPr>
          <w:p w14:paraId="3E61F489" w14:textId="7202D087"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-4.4%</w:t>
            </w:r>
          </w:p>
        </w:tc>
        <w:tc>
          <w:tcPr>
            <w:tcW w:w="714" w:type="dxa"/>
            <w:shd w:val="clear" w:color="000000" w:fill="E6B8B7"/>
            <w:noWrap/>
            <w:vAlign w:val="bottom"/>
          </w:tcPr>
          <w:p w14:paraId="4EEF0E00" w14:textId="7106B3F1"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-2.9%</w:t>
            </w:r>
          </w:p>
        </w:tc>
        <w:tc>
          <w:tcPr>
            <w:tcW w:w="657" w:type="dxa"/>
            <w:shd w:val="clear" w:color="000000" w:fill="E6B8B7"/>
            <w:noWrap/>
            <w:vAlign w:val="bottom"/>
          </w:tcPr>
          <w:p w14:paraId="43F8F4DC" w14:textId="293209C8"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-1.1%</w:t>
            </w:r>
          </w:p>
        </w:tc>
        <w:tc>
          <w:tcPr>
            <w:tcW w:w="657" w:type="dxa"/>
            <w:shd w:val="clear" w:color="000000" w:fill="DA9694"/>
            <w:noWrap/>
            <w:vAlign w:val="bottom"/>
          </w:tcPr>
          <w:p w14:paraId="40D6741D" w14:textId="7FAE006A"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-2.9%</w:t>
            </w:r>
          </w:p>
        </w:tc>
        <w:tc>
          <w:tcPr>
            <w:tcW w:w="657" w:type="dxa"/>
            <w:shd w:val="clear" w:color="000000" w:fill="DA9694"/>
            <w:noWrap/>
            <w:vAlign w:val="bottom"/>
          </w:tcPr>
          <w:p w14:paraId="7E314E5A" w14:textId="5152DCA4"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-3.1%</w:t>
            </w:r>
          </w:p>
        </w:tc>
        <w:tc>
          <w:tcPr>
            <w:tcW w:w="657" w:type="dxa"/>
            <w:shd w:val="clear" w:color="000000" w:fill="E6B8B7"/>
            <w:noWrap/>
            <w:vAlign w:val="bottom"/>
          </w:tcPr>
          <w:p w14:paraId="4497E062" w14:textId="72E75C69"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-3.9%</w:t>
            </w:r>
          </w:p>
        </w:tc>
        <w:tc>
          <w:tcPr>
            <w:tcW w:w="657" w:type="dxa"/>
            <w:shd w:val="clear" w:color="000000" w:fill="F2DCDB"/>
            <w:noWrap/>
            <w:vAlign w:val="bottom"/>
          </w:tcPr>
          <w:p w14:paraId="1187FC07" w14:textId="30D12A5F"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-2.4%</w:t>
            </w:r>
          </w:p>
        </w:tc>
        <w:tc>
          <w:tcPr>
            <w:tcW w:w="657" w:type="dxa"/>
            <w:shd w:val="clear" w:color="000000" w:fill="D8E4BC"/>
            <w:noWrap/>
            <w:vAlign w:val="bottom"/>
          </w:tcPr>
          <w:p w14:paraId="28DC45A7" w14:textId="63534CA9"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3.4%</w:t>
            </w:r>
          </w:p>
        </w:tc>
        <w:tc>
          <w:tcPr>
            <w:tcW w:w="720" w:type="dxa"/>
            <w:shd w:val="clear" w:color="000000" w:fill="D8E4BC"/>
            <w:noWrap/>
            <w:vAlign w:val="bottom"/>
          </w:tcPr>
          <w:p w14:paraId="2568D87C" w14:textId="0DB0DA8C"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0.9%</w:t>
            </w:r>
          </w:p>
        </w:tc>
        <w:tc>
          <w:tcPr>
            <w:tcW w:w="720" w:type="dxa"/>
            <w:shd w:val="clear" w:color="000000" w:fill="D8E4BC"/>
            <w:noWrap/>
            <w:vAlign w:val="bottom"/>
          </w:tcPr>
          <w:p w14:paraId="4245C518" w14:textId="54BCD698"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0.4%</w:t>
            </w:r>
          </w:p>
        </w:tc>
        <w:tc>
          <w:tcPr>
            <w:tcW w:w="720" w:type="dxa"/>
            <w:shd w:val="clear" w:color="000000" w:fill="C4D79B"/>
            <w:noWrap/>
            <w:vAlign w:val="bottom"/>
          </w:tcPr>
          <w:p w14:paraId="09A6FE77" w14:textId="6B8165B9"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8.1%</w:t>
            </w:r>
          </w:p>
        </w:tc>
        <w:tc>
          <w:tcPr>
            <w:tcW w:w="720" w:type="dxa"/>
            <w:shd w:val="clear" w:color="000000" w:fill="C4D79B"/>
            <w:noWrap/>
            <w:vAlign w:val="bottom"/>
          </w:tcPr>
          <w:p w14:paraId="667CDF6A" w14:textId="5E28689C"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4.6%</w:t>
            </w:r>
          </w:p>
        </w:tc>
      </w:tr>
      <w:tr w:rsidR="00757C0B" w:rsidRPr="000E0D6B" w14:paraId="56075657" w14:textId="77777777" w:rsidTr="00757C0B">
        <w:trPr>
          <w:trHeight w:val="144"/>
        </w:trPr>
        <w:tc>
          <w:tcPr>
            <w:tcW w:w="1440" w:type="dxa"/>
            <w:shd w:val="clear" w:color="auto" w:fill="auto"/>
            <w:noWrap/>
            <w:vAlign w:val="bottom"/>
          </w:tcPr>
          <w:p w14:paraId="43CFB79B" w14:textId="4F4212FF" w:rsidR="00757C0B" w:rsidRPr="001A2890" w:rsidRDefault="00757C0B" w:rsidP="00757C0B">
            <w:pPr>
              <w:spacing w:after="0" w:line="240" w:lineRule="auto"/>
              <w:rPr>
                <w:rFonts w:eastAsia="Times New Roman" w:cstheme="minorHAnsi"/>
                <w:sz w:val="16"/>
                <w:szCs w:val="16"/>
              </w:rPr>
            </w:pPr>
            <w:r w:rsidRPr="001A2890">
              <w:rPr>
                <w:rFonts w:cstheme="minorHAnsi"/>
                <w:sz w:val="16"/>
                <w:szCs w:val="16"/>
              </w:rPr>
              <w:t>2020</w:t>
            </w:r>
          </w:p>
        </w:tc>
        <w:tc>
          <w:tcPr>
            <w:tcW w:w="657" w:type="dxa"/>
            <w:shd w:val="clear" w:color="auto" w:fill="C4D79B"/>
            <w:noWrap/>
            <w:vAlign w:val="bottom"/>
          </w:tcPr>
          <w:p w14:paraId="12C38A5B" w14:textId="34DF90D0"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4.0%</w:t>
            </w:r>
          </w:p>
        </w:tc>
        <w:tc>
          <w:tcPr>
            <w:tcW w:w="657" w:type="dxa"/>
            <w:shd w:val="clear" w:color="000000" w:fill="E6B8B7"/>
            <w:noWrap/>
            <w:vAlign w:val="bottom"/>
          </w:tcPr>
          <w:p w14:paraId="729F7EC0" w14:textId="7FC33CAC"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-2.5%</w:t>
            </w:r>
          </w:p>
        </w:tc>
        <w:tc>
          <w:tcPr>
            <w:tcW w:w="714" w:type="dxa"/>
            <w:shd w:val="clear" w:color="000000" w:fill="76933C"/>
            <w:noWrap/>
            <w:vAlign w:val="bottom"/>
          </w:tcPr>
          <w:p w14:paraId="6BCE86B4" w14:textId="7FFB8CC4"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12.1%</w:t>
            </w:r>
          </w:p>
        </w:tc>
        <w:tc>
          <w:tcPr>
            <w:tcW w:w="657" w:type="dxa"/>
            <w:shd w:val="clear" w:color="000000" w:fill="D8E4BC"/>
            <w:noWrap/>
            <w:vAlign w:val="bottom"/>
          </w:tcPr>
          <w:p w14:paraId="6D12AA70" w14:textId="705425D3"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4.2%</w:t>
            </w:r>
          </w:p>
        </w:tc>
        <w:tc>
          <w:tcPr>
            <w:tcW w:w="657" w:type="dxa"/>
            <w:shd w:val="clear" w:color="000000" w:fill="C4D79B"/>
            <w:noWrap/>
            <w:vAlign w:val="bottom"/>
          </w:tcPr>
          <w:p w14:paraId="00217F0E" w14:textId="673BFBC6"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1.8%</w:t>
            </w:r>
          </w:p>
        </w:tc>
        <w:tc>
          <w:tcPr>
            <w:tcW w:w="657" w:type="dxa"/>
            <w:shd w:val="clear" w:color="000000" w:fill="DA9694"/>
            <w:noWrap/>
            <w:vAlign w:val="bottom"/>
          </w:tcPr>
          <w:p w14:paraId="2013F303" w14:textId="0336B8F8"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-8.3%</w:t>
            </w:r>
          </w:p>
        </w:tc>
        <w:tc>
          <w:tcPr>
            <w:tcW w:w="657" w:type="dxa"/>
            <w:shd w:val="clear" w:color="000000" w:fill="DA9694"/>
            <w:noWrap/>
            <w:vAlign w:val="bottom"/>
          </w:tcPr>
          <w:p w14:paraId="385E730A" w14:textId="6562B3FE"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-4.1%</w:t>
            </w:r>
          </w:p>
        </w:tc>
        <w:tc>
          <w:tcPr>
            <w:tcW w:w="657" w:type="dxa"/>
            <w:shd w:val="clear" w:color="000000" w:fill="E6B8B7"/>
            <w:noWrap/>
            <w:vAlign w:val="bottom"/>
          </w:tcPr>
          <w:p w14:paraId="1A700A4C" w14:textId="16A0166F"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-2.8%</w:t>
            </w:r>
          </w:p>
        </w:tc>
        <w:tc>
          <w:tcPr>
            <w:tcW w:w="657" w:type="dxa"/>
            <w:shd w:val="clear" w:color="000000" w:fill="F2DCDB"/>
            <w:noWrap/>
            <w:vAlign w:val="bottom"/>
          </w:tcPr>
          <w:p w14:paraId="5747B9E9" w14:textId="16894DCF"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-0.5%</w:t>
            </w:r>
          </w:p>
        </w:tc>
        <w:tc>
          <w:tcPr>
            <w:tcW w:w="720" w:type="dxa"/>
            <w:shd w:val="clear" w:color="000000" w:fill="EBF1DE"/>
            <w:noWrap/>
            <w:vAlign w:val="bottom"/>
          </w:tcPr>
          <w:p w14:paraId="75B3F13D" w14:textId="2C7ABB7E"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0.3%</w:t>
            </w:r>
          </w:p>
        </w:tc>
        <w:tc>
          <w:tcPr>
            <w:tcW w:w="720" w:type="dxa"/>
            <w:shd w:val="clear" w:color="000000" w:fill="EBF1DE"/>
            <w:noWrap/>
            <w:vAlign w:val="bottom"/>
          </w:tcPr>
          <w:p w14:paraId="133AA9F3" w14:textId="7B779A93"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2.5%</w:t>
            </w:r>
          </w:p>
        </w:tc>
        <w:tc>
          <w:tcPr>
            <w:tcW w:w="720" w:type="dxa"/>
            <w:shd w:val="clear" w:color="000000" w:fill="C4D79B"/>
            <w:noWrap/>
            <w:vAlign w:val="bottom"/>
          </w:tcPr>
          <w:p w14:paraId="4C967B43" w14:textId="3671F662"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4.2%</w:t>
            </w:r>
          </w:p>
        </w:tc>
        <w:tc>
          <w:tcPr>
            <w:tcW w:w="720" w:type="dxa"/>
            <w:shd w:val="clear" w:color="000000" w:fill="C4D79B"/>
            <w:noWrap/>
            <w:vAlign w:val="bottom"/>
          </w:tcPr>
          <w:p w14:paraId="440384B8" w14:textId="4D05E68A"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4.2%</w:t>
            </w:r>
          </w:p>
        </w:tc>
      </w:tr>
      <w:tr w:rsidR="00757C0B" w:rsidRPr="000E0D6B" w14:paraId="273BB044" w14:textId="77777777" w:rsidTr="00757C0B">
        <w:trPr>
          <w:trHeight w:val="144"/>
        </w:trPr>
        <w:tc>
          <w:tcPr>
            <w:tcW w:w="1440" w:type="dxa"/>
            <w:shd w:val="clear" w:color="auto" w:fill="auto"/>
            <w:noWrap/>
            <w:vAlign w:val="bottom"/>
          </w:tcPr>
          <w:p w14:paraId="72883D17" w14:textId="766A2D46" w:rsidR="00757C0B" w:rsidRPr="001A2890" w:rsidRDefault="00757C0B" w:rsidP="00757C0B">
            <w:pPr>
              <w:spacing w:after="0" w:line="240" w:lineRule="auto"/>
              <w:rPr>
                <w:rFonts w:eastAsia="Times New Roman" w:cstheme="minorHAnsi"/>
                <w:sz w:val="16"/>
                <w:szCs w:val="16"/>
              </w:rPr>
            </w:pPr>
            <w:r w:rsidRPr="001A2890">
              <w:rPr>
                <w:rFonts w:cstheme="minorHAnsi"/>
                <w:sz w:val="16"/>
                <w:szCs w:val="16"/>
              </w:rPr>
              <w:t>2021</w:t>
            </w:r>
          </w:p>
        </w:tc>
        <w:tc>
          <w:tcPr>
            <w:tcW w:w="657" w:type="dxa"/>
            <w:shd w:val="clear" w:color="000000" w:fill="C4D79B"/>
            <w:noWrap/>
            <w:vAlign w:val="bottom"/>
          </w:tcPr>
          <w:p w14:paraId="6F9C945D" w14:textId="6257BAE8"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5.4%</w:t>
            </w:r>
          </w:p>
        </w:tc>
        <w:tc>
          <w:tcPr>
            <w:tcW w:w="657" w:type="dxa"/>
            <w:shd w:val="clear" w:color="000000" w:fill="DA9694"/>
            <w:noWrap/>
            <w:vAlign w:val="bottom"/>
          </w:tcPr>
          <w:p w14:paraId="64F49B1C" w14:textId="5AAA4673"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-5.9%</w:t>
            </w:r>
          </w:p>
        </w:tc>
        <w:tc>
          <w:tcPr>
            <w:tcW w:w="714" w:type="dxa"/>
            <w:shd w:val="clear" w:color="000000" w:fill="DA9694"/>
            <w:noWrap/>
            <w:vAlign w:val="bottom"/>
          </w:tcPr>
          <w:p w14:paraId="16EF6D99" w14:textId="515D8065"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-4.8%</w:t>
            </w:r>
          </w:p>
        </w:tc>
        <w:tc>
          <w:tcPr>
            <w:tcW w:w="657" w:type="dxa"/>
            <w:shd w:val="clear" w:color="000000" w:fill="E6B8B7"/>
            <w:noWrap/>
            <w:vAlign w:val="bottom"/>
          </w:tcPr>
          <w:p w14:paraId="7A4C33B0" w14:textId="0B137BA3"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-0.6%</w:t>
            </w:r>
          </w:p>
        </w:tc>
        <w:tc>
          <w:tcPr>
            <w:tcW w:w="657" w:type="dxa"/>
            <w:shd w:val="clear" w:color="000000" w:fill="DA9694"/>
            <w:noWrap/>
            <w:vAlign w:val="bottom"/>
          </w:tcPr>
          <w:p w14:paraId="5867CE1D" w14:textId="057AC0A2"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-4.3%</w:t>
            </w:r>
          </w:p>
        </w:tc>
        <w:tc>
          <w:tcPr>
            <w:tcW w:w="657" w:type="dxa"/>
            <w:shd w:val="clear" w:color="000000" w:fill="E6B8B7"/>
            <w:noWrap/>
            <w:vAlign w:val="bottom"/>
          </w:tcPr>
          <w:p w14:paraId="215B0D06" w14:textId="513CC4F7"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-3.3%</w:t>
            </w:r>
          </w:p>
        </w:tc>
        <w:tc>
          <w:tcPr>
            <w:tcW w:w="657" w:type="dxa"/>
            <w:shd w:val="clear" w:color="000000" w:fill="DA9694"/>
            <w:noWrap/>
            <w:vAlign w:val="bottom"/>
          </w:tcPr>
          <w:p w14:paraId="3D0F5487" w14:textId="235D27D3"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-5.7%</w:t>
            </w:r>
          </w:p>
        </w:tc>
        <w:tc>
          <w:tcPr>
            <w:tcW w:w="657" w:type="dxa"/>
            <w:shd w:val="clear" w:color="000000" w:fill="E6B8B7"/>
            <w:noWrap/>
            <w:vAlign w:val="bottom"/>
          </w:tcPr>
          <w:p w14:paraId="102AA579" w14:textId="47CD994D"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-1.0%</w:t>
            </w:r>
          </w:p>
        </w:tc>
        <w:tc>
          <w:tcPr>
            <w:tcW w:w="657" w:type="dxa"/>
            <w:shd w:val="clear" w:color="000000" w:fill="C4D79B"/>
            <w:noWrap/>
            <w:vAlign w:val="bottom"/>
          </w:tcPr>
          <w:p w14:paraId="4F1AD20C" w14:textId="357EFC09"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2.1%</w:t>
            </w:r>
          </w:p>
        </w:tc>
        <w:tc>
          <w:tcPr>
            <w:tcW w:w="720" w:type="dxa"/>
            <w:shd w:val="clear" w:color="000000" w:fill="F2DCDB"/>
            <w:noWrap/>
            <w:vAlign w:val="bottom"/>
          </w:tcPr>
          <w:p w14:paraId="52F8EDF3" w14:textId="6397AFAC"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-0.7%</w:t>
            </w:r>
          </w:p>
        </w:tc>
        <w:tc>
          <w:tcPr>
            <w:tcW w:w="720" w:type="dxa"/>
            <w:shd w:val="clear" w:color="000000" w:fill="EBF1DE"/>
            <w:noWrap/>
            <w:vAlign w:val="bottom"/>
          </w:tcPr>
          <w:p w14:paraId="32CD6A15" w14:textId="4D3B417C"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1.8%</w:t>
            </w:r>
          </w:p>
        </w:tc>
        <w:tc>
          <w:tcPr>
            <w:tcW w:w="720" w:type="dxa"/>
            <w:shd w:val="clear" w:color="000000" w:fill="C4D79B"/>
            <w:noWrap/>
            <w:vAlign w:val="bottom"/>
          </w:tcPr>
          <w:p w14:paraId="0D6B6333" w14:textId="754C1061"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4.8%</w:t>
            </w:r>
          </w:p>
        </w:tc>
        <w:tc>
          <w:tcPr>
            <w:tcW w:w="720" w:type="dxa"/>
            <w:shd w:val="clear" w:color="000000" w:fill="C4D79B"/>
            <w:noWrap/>
            <w:vAlign w:val="bottom"/>
          </w:tcPr>
          <w:p w14:paraId="6BC95E83" w14:textId="021D4D62"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2.8%</w:t>
            </w:r>
          </w:p>
        </w:tc>
      </w:tr>
      <w:tr w:rsidR="00757C0B" w:rsidRPr="000E0D6B" w14:paraId="40AFE043" w14:textId="77777777" w:rsidTr="00757C0B">
        <w:trPr>
          <w:trHeight w:val="144"/>
        </w:trPr>
        <w:tc>
          <w:tcPr>
            <w:tcW w:w="1440" w:type="dxa"/>
            <w:shd w:val="clear" w:color="auto" w:fill="auto"/>
            <w:noWrap/>
            <w:vAlign w:val="bottom"/>
          </w:tcPr>
          <w:p w14:paraId="37E5F11A" w14:textId="392E4AB2" w:rsidR="00757C0B" w:rsidRPr="001A2890" w:rsidRDefault="00757C0B" w:rsidP="00757C0B">
            <w:pPr>
              <w:spacing w:after="0" w:line="240" w:lineRule="auto"/>
              <w:rPr>
                <w:rFonts w:eastAsia="Times New Roman" w:cstheme="minorHAnsi"/>
                <w:sz w:val="16"/>
                <w:szCs w:val="16"/>
              </w:rPr>
            </w:pPr>
            <w:r w:rsidRPr="001A2890">
              <w:rPr>
                <w:rFonts w:cstheme="minorHAnsi"/>
                <w:sz w:val="16"/>
                <w:szCs w:val="16"/>
              </w:rPr>
              <w:t>2022</w:t>
            </w:r>
          </w:p>
        </w:tc>
        <w:tc>
          <w:tcPr>
            <w:tcW w:w="657" w:type="dxa"/>
            <w:shd w:val="clear" w:color="000000" w:fill="C4D79B"/>
            <w:noWrap/>
            <w:vAlign w:val="bottom"/>
          </w:tcPr>
          <w:p w14:paraId="0B5F4877" w14:textId="3FF45AF2"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3.4%</w:t>
            </w:r>
          </w:p>
        </w:tc>
        <w:tc>
          <w:tcPr>
            <w:tcW w:w="657" w:type="dxa"/>
            <w:shd w:val="clear" w:color="000000" w:fill="DA9694"/>
            <w:noWrap/>
            <w:vAlign w:val="bottom"/>
          </w:tcPr>
          <w:p w14:paraId="616BC4C9" w14:textId="1C51BCF3"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-4.9%</w:t>
            </w:r>
          </w:p>
        </w:tc>
        <w:tc>
          <w:tcPr>
            <w:tcW w:w="714" w:type="dxa"/>
            <w:shd w:val="clear" w:color="000000" w:fill="E6B8B7"/>
            <w:noWrap/>
            <w:vAlign w:val="bottom"/>
          </w:tcPr>
          <w:p w14:paraId="7E693EC3" w14:textId="06CA7140"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-2.4%</w:t>
            </w:r>
          </w:p>
        </w:tc>
        <w:tc>
          <w:tcPr>
            <w:tcW w:w="657" w:type="dxa"/>
            <w:shd w:val="clear" w:color="000000" w:fill="DA9694"/>
            <w:noWrap/>
            <w:vAlign w:val="bottom"/>
          </w:tcPr>
          <w:p w14:paraId="2699C6B0" w14:textId="1F6755DB"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-3.0%</w:t>
            </w:r>
          </w:p>
        </w:tc>
        <w:tc>
          <w:tcPr>
            <w:tcW w:w="657" w:type="dxa"/>
            <w:shd w:val="clear" w:color="000000" w:fill="DA9694"/>
            <w:noWrap/>
            <w:vAlign w:val="bottom"/>
          </w:tcPr>
          <w:p w14:paraId="74680D8C" w14:textId="5A556F79"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-2.9%</w:t>
            </w:r>
          </w:p>
        </w:tc>
        <w:tc>
          <w:tcPr>
            <w:tcW w:w="657" w:type="dxa"/>
            <w:shd w:val="clear" w:color="000000" w:fill="DA9694"/>
            <w:noWrap/>
            <w:vAlign w:val="bottom"/>
          </w:tcPr>
          <w:p w14:paraId="56DCBC3A" w14:textId="1AA268A6"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-4.4%</w:t>
            </w:r>
          </w:p>
        </w:tc>
        <w:tc>
          <w:tcPr>
            <w:tcW w:w="657" w:type="dxa"/>
            <w:shd w:val="clear" w:color="000000" w:fill="E6B8B7"/>
            <w:noWrap/>
            <w:vAlign w:val="bottom"/>
          </w:tcPr>
          <w:p w14:paraId="6D2DED63" w14:textId="63956D29"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-3.4%</w:t>
            </w:r>
          </w:p>
        </w:tc>
        <w:tc>
          <w:tcPr>
            <w:tcW w:w="657" w:type="dxa"/>
            <w:shd w:val="clear" w:color="000000" w:fill="E6B8B7"/>
            <w:noWrap/>
            <w:vAlign w:val="bottom"/>
          </w:tcPr>
          <w:p w14:paraId="15F8D386" w14:textId="7689BB52"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-1.1%</w:t>
            </w:r>
          </w:p>
        </w:tc>
        <w:tc>
          <w:tcPr>
            <w:tcW w:w="657" w:type="dxa"/>
            <w:shd w:val="clear" w:color="000000" w:fill="D8E4BC"/>
            <w:noWrap/>
            <w:vAlign w:val="bottom"/>
          </w:tcPr>
          <w:p w14:paraId="05D7662B" w14:textId="1CE43B8B"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0.9%</w:t>
            </w:r>
          </w:p>
        </w:tc>
        <w:tc>
          <w:tcPr>
            <w:tcW w:w="720" w:type="dxa"/>
            <w:shd w:val="clear" w:color="000000" w:fill="D8E4BC"/>
            <w:noWrap/>
            <w:vAlign w:val="bottom"/>
          </w:tcPr>
          <w:p w14:paraId="337732B9" w14:textId="7ACCF59F"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0.5%</w:t>
            </w:r>
          </w:p>
        </w:tc>
        <w:tc>
          <w:tcPr>
            <w:tcW w:w="720" w:type="dxa"/>
            <w:shd w:val="clear" w:color="000000" w:fill="C4D79B"/>
            <w:noWrap/>
            <w:vAlign w:val="bottom"/>
          </w:tcPr>
          <w:p w14:paraId="7EE1B866" w14:textId="23F7C275"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4.0%</w:t>
            </w:r>
          </w:p>
        </w:tc>
        <w:tc>
          <w:tcPr>
            <w:tcW w:w="720" w:type="dxa"/>
            <w:shd w:val="clear" w:color="000000" w:fill="C4D79B"/>
            <w:noWrap/>
            <w:vAlign w:val="bottom"/>
          </w:tcPr>
          <w:p w14:paraId="346C0F0D" w14:textId="72EBD958"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6.6%</w:t>
            </w:r>
          </w:p>
        </w:tc>
        <w:tc>
          <w:tcPr>
            <w:tcW w:w="720" w:type="dxa"/>
            <w:shd w:val="clear" w:color="auto" w:fill="D8E4BC"/>
            <w:noWrap/>
            <w:vAlign w:val="bottom"/>
          </w:tcPr>
          <w:p w14:paraId="308A3213" w14:textId="5CFDF2D0"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1.6%</w:t>
            </w:r>
          </w:p>
        </w:tc>
      </w:tr>
      <w:tr w:rsidR="00757C0B" w:rsidRPr="000E0D6B" w14:paraId="7F8D09D9" w14:textId="77777777" w:rsidTr="001A2890">
        <w:trPr>
          <w:trHeight w:val="144"/>
        </w:trPr>
        <w:tc>
          <w:tcPr>
            <w:tcW w:w="1440" w:type="dxa"/>
            <w:shd w:val="clear" w:color="auto" w:fill="auto"/>
            <w:noWrap/>
            <w:vAlign w:val="bottom"/>
          </w:tcPr>
          <w:p w14:paraId="363B509E" w14:textId="1558FA7E" w:rsidR="00757C0B" w:rsidRPr="001A2890" w:rsidRDefault="00757C0B" w:rsidP="00757C0B">
            <w:pPr>
              <w:spacing w:after="0" w:line="240" w:lineRule="auto"/>
              <w:rPr>
                <w:rFonts w:eastAsia="Times New Roman" w:cstheme="minorHAnsi"/>
                <w:sz w:val="16"/>
                <w:szCs w:val="16"/>
              </w:rPr>
            </w:pPr>
            <w:r w:rsidRPr="001A2890">
              <w:rPr>
                <w:rFonts w:cstheme="minorHAnsi"/>
                <w:sz w:val="16"/>
                <w:szCs w:val="16"/>
              </w:rPr>
              <w:t>2023</w:t>
            </w:r>
          </w:p>
        </w:tc>
        <w:tc>
          <w:tcPr>
            <w:tcW w:w="657" w:type="dxa"/>
            <w:shd w:val="clear" w:color="000000" w:fill="EBF1DE"/>
            <w:noWrap/>
            <w:vAlign w:val="bottom"/>
          </w:tcPr>
          <w:p w14:paraId="1C9094EB" w14:textId="118E80F4"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2.7%</w:t>
            </w:r>
          </w:p>
        </w:tc>
        <w:tc>
          <w:tcPr>
            <w:tcW w:w="657" w:type="dxa"/>
            <w:shd w:val="clear" w:color="auto" w:fill="DA9694"/>
            <w:noWrap/>
            <w:vAlign w:val="bottom"/>
          </w:tcPr>
          <w:p w14:paraId="71ADB4D7" w14:textId="22F5C791"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-3.9%</w:t>
            </w:r>
          </w:p>
        </w:tc>
        <w:tc>
          <w:tcPr>
            <w:tcW w:w="714" w:type="dxa"/>
            <w:shd w:val="clear" w:color="auto" w:fill="E6B8B7"/>
            <w:noWrap/>
            <w:vAlign w:val="bottom"/>
          </w:tcPr>
          <w:p w14:paraId="2FFF8229" w14:textId="49F5BE9F"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-2.0%</w:t>
            </w:r>
          </w:p>
        </w:tc>
        <w:tc>
          <w:tcPr>
            <w:tcW w:w="657" w:type="dxa"/>
            <w:shd w:val="clear" w:color="auto" w:fill="F2DCDB"/>
            <w:noWrap/>
            <w:vAlign w:val="bottom"/>
          </w:tcPr>
          <w:p w14:paraId="783121A7" w14:textId="739EB565"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-0.9%</w:t>
            </w:r>
          </w:p>
        </w:tc>
        <w:tc>
          <w:tcPr>
            <w:tcW w:w="657" w:type="dxa"/>
            <w:shd w:val="clear" w:color="000000" w:fill="E6B8B7"/>
            <w:noWrap/>
            <w:vAlign w:val="bottom"/>
          </w:tcPr>
          <w:p w14:paraId="0FE4FDCE" w14:textId="2AA1E984"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-2.2%</w:t>
            </w:r>
          </w:p>
        </w:tc>
        <w:tc>
          <w:tcPr>
            <w:tcW w:w="657" w:type="dxa"/>
            <w:shd w:val="clear" w:color="000000" w:fill="DA9694"/>
            <w:noWrap/>
            <w:vAlign w:val="bottom"/>
          </w:tcPr>
          <w:p w14:paraId="5EE97E4F" w14:textId="20883051"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-3.9%</w:t>
            </w:r>
          </w:p>
        </w:tc>
        <w:tc>
          <w:tcPr>
            <w:tcW w:w="657" w:type="dxa"/>
            <w:shd w:val="clear" w:color="000000" w:fill="E6B8B7"/>
            <w:noWrap/>
            <w:vAlign w:val="bottom"/>
          </w:tcPr>
          <w:p w14:paraId="3E9F7890" w14:textId="23B25238"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-3.8%</w:t>
            </w:r>
          </w:p>
        </w:tc>
        <w:tc>
          <w:tcPr>
            <w:tcW w:w="657" w:type="dxa"/>
            <w:shd w:val="clear" w:color="000000" w:fill="E6B8B7"/>
            <w:noWrap/>
            <w:vAlign w:val="bottom"/>
          </w:tcPr>
          <w:p w14:paraId="06E0FA51" w14:textId="0B08EA11"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-1.8%</w:t>
            </w:r>
          </w:p>
        </w:tc>
        <w:tc>
          <w:tcPr>
            <w:tcW w:w="657" w:type="dxa"/>
            <w:shd w:val="clear" w:color="000000" w:fill="EBF1DE"/>
            <w:noWrap/>
            <w:vAlign w:val="bottom"/>
          </w:tcPr>
          <w:p w14:paraId="7FEFAC45" w14:textId="700838BC"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0.6%</w:t>
            </w:r>
          </w:p>
        </w:tc>
        <w:tc>
          <w:tcPr>
            <w:tcW w:w="720" w:type="dxa"/>
            <w:shd w:val="clear" w:color="auto" w:fill="D8E4BC"/>
            <w:noWrap/>
            <w:vAlign w:val="bottom"/>
          </w:tcPr>
          <w:p w14:paraId="28B0D1C6" w14:textId="067564BC"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1.9%</w:t>
            </w:r>
          </w:p>
        </w:tc>
        <w:tc>
          <w:tcPr>
            <w:tcW w:w="720" w:type="dxa"/>
            <w:shd w:val="clear" w:color="auto" w:fill="D8E4BC"/>
            <w:noWrap/>
            <w:vAlign w:val="bottom"/>
          </w:tcPr>
          <w:p w14:paraId="226C5267" w14:textId="60A62B14"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2.3%</w:t>
            </w:r>
          </w:p>
        </w:tc>
        <w:tc>
          <w:tcPr>
            <w:tcW w:w="720" w:type="dxa"/>
            <w:shd w:val="clear" w:color="auto" w:fill="CFE0AE"/>
            <w:noWrap/>
            <w:vAlign w:val="bottom"/>
          </w:tcPr>
          <w:p w14:paraId="30A1F91C" w14:textId="61CF939A"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8.0%</w:t>
            </w:r>
          </w:p>
        </w:tc>
        <w:tc>
          <w:tcPr>
            <w:tcW w:w="720" w:type="dxa"/>
            <w:shd w:val="clear" w:color="auto" w:fill="D8E4BC"/>
            <w:noWrap/>
            <w:vAlign w:val="bottom"/>
          </w:tcPr>
          <w:p w14:paraId="50DE69C8" w14:textId="735E6604" w:rsidR="00757C0B" w:rsidRPr="001A2890" w:rsidRDefault="00757C0B" w:rsidP="00757C0B">
            <w:pPr>
              <w:spacing w:after="0" w:line="240" w:lineRule="auto"/>
              <w:jc w:val="right"/>
              <w:rPr>
                <w:rFonts w:eastAsia="Times New Roman" w:cstheme="minorHAnsi"/>
                <w:sz w:val="16"/>
                <w:szCs w:val="16"/>
              </w:rPr>
            </w:pPr>
            <w:r w:rsidRPr="001A2890">
              <w:rPr>
                <w:rFonts w:cstheme="minorHAnsi"/>
                <w:sz w:val="16"/>
                <w:szCs w:val="16"/>
              </w:rPr>
              <w:t>0.2%</w:t>
            </w:r>
          </w:p>
        </w:tc>
      </w:tr>
      <w:tr w:rsidR="001A2890" w:rsidRPr="000E0D6B" w14:paraId="7B47B861" w14:textId="77777777" w:rsidTr="001A2890">
        <w:trPr>
          <w:trHeight w:val="144"/>
        </w:trPr>
        <w:tc>
          <w:tcPr>
            <w:tcW w:w="1440" w:type="dxa"/>
            <w:shd w:val="clear" w:color="auto" w:fill="auto"/>
            <w:noWrap/>
            <w:vAlign w:val="bottom"/>
          </w:tcPr>
          <w:p w14:paraId="1D977EE7" w14:textId="077C96F3" w:rsidR="001A2890" w:rsidRPr="001A2890" w:rsidRDefault="001A2890" w:rsidP="001A2890">
            <w:pPr>
              <w:spacing w:after="0" w:line="240" w:lineRule="auto"/>
              <w:rPr>
                <w:rFonts w:eastAsia="Times New Roman" w:cstheme="minorHAnsi"/>
                <w:sz w:val="16"/>
                <w:szCs w:val="16"/>
              </w:rPr>
            </w:pPr>
            <w:r w:rsidRPr="001A2890">
              <w:rPr>
                <w:rFonts w:cstheme="minorHAnsi"/>
                <w:sz w:val="16"/>
                <w:szCs w:val="16"/>
              </w:rPr>
              <w:t>2024</w:t>
            </w:r>
          </w:p>
        </w:tc>
        <w:tc>
          <w:tcPr>
            <w:tcW w:w="657" w:type="dxa"/>
            <w:shd w:val="clear" w:color="auto" w:fill="D8E4BC"/>
            <w:noWrap/>
            <w:vAlign w:val="bottom"/>
          </w:tcPr>
          <w:p w14:paraId="57EC2CD2" w14:textId="526000CD" w:rsidR="001A2890" w:rsidRPr="001A2890" w:rsidRDefault="001A2890" w:rsidP="001A2890">
            <w:pPr>
              <w:spacing w:after="0" w:line="240" w:lineRule="auto"/>
              <w:jc w:val="right"/>
              <w:rPr>
                <w:rFonts w:eastAsia="Times New Roman" w:cstheme="minorHAnsi"/>
                <w:sz w:val="16"/>
                <w:szCs w:val="16"/>
              </w:rPr>
            </w:pPr>
            <w:r w:rsidRPr="001A2890">
              <w:rPr>
                <w:rFonts w:cstheme="minorHAnsi"/>
                <w:sz w:val="16"/>
                <w:szCs w:val="16"/>
              </w:rPr>
              <w:t>1.9%</w:t>
            </w:r>
          </w:p>
        </w:tc>
        <w:tc>
          <w:tcPr>
            <w:tcW w:w="657" w:type="dxa"/>
            <w:shd w:val="clear" w:color="auto" w:fill="DA9694"/>
            <w:noWrap/>
            <w:vAlign w:val="bottom"/>
          </w:tcPr>
          <w:p w14:paraId="1A806A61" w14:textId="0120BFE8" w:rsidR="001A2890" w:rsidRPr="001A2890" w:rsidRDefault="001A2890" w:rsidP="001A2890">
            <w:pPr>
              <w:spacing w:after="0" w:line="240" w:lineRule="auto"/>
              <w:jc w:val="right"/>
              <w:rPr>
                <w:rFonts w:eastAsia="Times New Roman" w:cstheme="minorHAnsi"/>
                <w:sz w:val="16"/>
                <w:szCs w:val="16"/>
              </w:rPr>
            </w:pPr>
            <w:r w:rsidRPr="001A2890">
              <w:rPr>
                <w:rFonts w:cstheme="minorHAnsi"/>
                <w:sz w:val="16"/>
                <w:szCs w:val="16"/>
              </w:rPr>
              <w:t>-3.7%</w:t>
            </w:r>
          </w:p>
        </w:tc>
        <w:tc>
          <w:tcPr>
            <w:tcW w:w="714" w:type="dxa"/>
            <w:shd w:val="clear" w:color="auto" w:fill="E6B8B7"/>
            <w:noWrap/>
            <w:vAlign w:val="bottom"/>
          </w:tcPr>
          <w:p w14:paraId="4B7DC8E7" w14:textId="606EE8B1" w:rsidR="001A2890" w:rsidRPr="001A2890" w:rsidRDefault="001A2890" w:rsidP="001A2890">
            <w:pPr>
              <w:spacing w:after="0" w:line="240" w:lineRule="auto"/>
              <w:jc w:val="right"/>
              <w:rPr>
                <w:rFonts w:eastAsia="Times New Roman" w:cstheme="minorHAnsi"/>
                <w:sz w:val="16"/>
                <w:szCs w:val="16"/>
              </w:rPr>
            </w:pPr>
            <w:r w:rsidRPr="001A2890">
              <w:rPr>
                <w:rFonts w:cstheme="minorHAnsi"/>
                <w:sz w:val="16"/>
                <w:szCs w:val="16"/>
              </w:rPr>
              <w:t>-1.6%</w:t>
            </w:r>
          </w:p>
        </w:tc>
        <w:tc>
          <w:tcPr>
            <w:tcW w:w="657" w:type="dxa"/>
            <w:shd w:val="clear" w:color="auto" w:fill="F2DCDB"/>
            <w:noWrap/>
            <w:vAlign w:val="bottom"/>
          </w:tcPr>
          <w:p w14:paraId="33913291" w14:textId="5D499882" w:rsidR="001A2890" w:rsidRPr="001A2890" w:rsidRDefault="001A2890" w:rsidP="001A2890">
            <w:pPr>
              <w:spacing w:after="0" w:line="240" w:lineRule="auto"/>
              <w:jc w:val="right"/>
              <w:rPr>
                <w:rFonts w:eastAsia="Times New Roman" w:cstheme="minorHAnsi"/>
                <w:sz w:val="16"/>
                <w:szCs w:val="16"/>
              </w:rPr>
            </w:pPr>
            <w:r w:rsidRPr="001A2890">
              <w:rPr>
                <w:rFonts w:cstheme="minorHAnsi"/>
                <w:sz w:val="16"/>
                <w:szCs w:val="16"/>
              </w:rPr>
              <w:t>-0.7%</w:t>
            </w:r>
          </w:p>
        </w:tc>
        <w:tc>
          <w:tcPr>
            <w:tcW w:w="657" w:type="dxa"/>
            <w:shd w:val="clear" w:color="auto" w:fill="auto"/>
            <w:noWrap/>
            <w:vAlign w:val="bottom"/>
          </w:tcPr>
          <w:p w14:paraId="644DA6B0" w14:textId="77777777" w:rsidR="001A2890" w:rsidRPr="001A2890" w:rsidRDefault="001A2890" w:rsidP="001A2890">
            <w:pPr>
              <w:spacing w:after="0" w:line="240" w:lineRule="auto"/>
              <w:jc w:val="right"/>
              <w:rPr>
                <w:rFonts w:eastAsia="Times New Roman" w:cstheme="minorHAnsi"/>
                <w:sz w:val="16"/>
                <w:szCs w:val="16"/>
              </w:rPr>
            </w:pPr>
          </w:p>
        </w:tc>
        <w:tc>
          <w:tcPr>
            <w:tcW w:w="657" w:type="dxa"/>
            <w:shd w:val="clear" w:color="auto" w:fill="auto"/>
            <w:noWrap/>
            <w:vAlign w:val="bottom"/>
          </w:tcPr>
          <w:p w14:paraId="120088C1" w14:textId="77777777" w:rsidR="001A2890" w:rsidRPr="001A2890" w:rsidRDefault="001A2890" w:rsidP="001A2890">
            <w:pPr>
              <w:spacing w:after="0" w:line="240" w:lineRule="auto"/>
              <w:jc w:val="right"/>
              <w:rPr>
                <w:rFonts w:eastAsia="Times New Roman" w:cstheme="minorHAnsi"/>
                <w:sz w:val="16"/>
                <w:szCs w:val="16"/>
              </w:rPr>
            </w:pPr>
          </w:p>
        </w:tc>
        <w:tc>
          <w:tcPr>
            <w:tcW w:w="657" w:type="dxa"/>
            <w:shd w:val="clear" w:color="auto" w:fill="auto"/>
            <w:noWrap/>
            <w:vAlign w:val="bottom"/>
          </w:tcPr>
          <w:p w14:paraId="398B0D49" w14:textId="77777777" w:rsidR="001A2890" w:rsidRPr="001A2890" w:rsidRDefault="001A2890" w:rsidP="001A2890">
            <w:pPr>
              <w:spacing w:after="0" w:line="240" w:lineRule="auto"/>
              <w:jc w:val="right"/>
              <w:rPr>
                <w:rFonts w:eastAsia="Times New Roman" w:cstheme="minorHAnsi"/>
                <w:sz w:val="16"/>
                <w:szCs w:val="16"/>
              </w:rPr>
            </w:pPr>
          </w:p>
        </w:tc>
        <w:tc>
          <w:tcPr>
            <w:tcW w:w="657" w:type="dxa"/>
            <w:shd w:val="clear" w:color="auto" w:fill="auto"/>
            <w:noWrap/>
            <w:vAlign w:val="bottom"/>
          </w:tcPr>
          <w:p w14:paraId="268973B3" w14:textId="77777777" w:rsidR="001A2890" w:rsidRPr="001A2890" w:rsidRDefault="001A2890" w:rsidP="001A2890">
            <w:pPr>
              <w:spacing w:after="0" w:line="240" w:lineRule="auto"/>
              <w:jc w:val="right"/>
              <w:rPr>
                <w:rFonts w:eastAsia="Times New Roman" w:cstheme="minorHAnsi"/>
                <w:sz w:val="16"/>
                <w:szCs w:val="16"/>
              </w:rPr>
            </w:pPr>
          </w:p>
        </w:tc>
        <w:tc>
          <w:tcPr>
            <w:tcW w:w="657" w:type="dxa"/>
            <w:shd w:val="clear" w:color="auto" w:fill="auto"/>
            <w:noWrap/>
            <w:vAlign w:val="bottom"/>
          </w:tcPr>
          <w:p w14:paraId="02286D20" w14:textId="77777777" w:rsidR="001A2890" w:rsidRPr="001A2890" w:rsidRDefault="001A2890" w:rsidP="001A2890">
            <w:pPr>
              <w:spacing w:after="0" w:line="240" w:lineRule="auto"/>
              <w:jc w:val="right"/>
              <w:rPr>
                <w:rFonts w:eastAsia="Times New Roman" w:cstheme="minorHAnsi"/>
                <w:sz w:val="16"/>
                <w:szCs w:val="16"/>
              </w:rPr>
            </w:pPr>
          </w:p>
        </w:tc>
        <w:tc>
          <w:tcPr>
            <w:tcW w:w="720" w:type="dxa"/>
            <w:shd w:val="clear" w:color="auto" w:fill="auto"/>
            <w:noWrap/>
            <w:vAlign w:val="bottom"/>
          </w:tcPr>
          <w:p w14:paraId="63EF28F5" w14:textId="77777777" w:rsidR="001A2890" w:rsidRPr="001A2890" w:rsidRDefault="001A2890" w:rsidP="001A2890">
            <w:pPr>
              <w:spacing w:after="0" w:line="240" w:lineRule="auto"/>
              <w:jc w:val="right"/>
              <w:rPr>
                <w:rFonts w:eastAsia="Times New Roman" w:cstheme="minorHAnsi"/>
                <w:sz w:val="16"/>
                <w:szCs w:val="16"/>
              </w:rPr>
            </w:pPr>
          </w:p>
        </w:tc>
        <w:tc>
          <w:tcPr>
            <w:tcW w:w="720" w:type="dxa"/>
            <w:shd w:val="clear" w:color="auto" w:fill="auto"/>
            <w:noWrap/>
            <w:vAlign w:val="bottom"/>
          </w:tcPr>
          <w:p w14:paraId="69033205" w14:textId="77777777" w:rsidR="001A2890" w:rsidRPr="001A2890" w:rsidRDefault="001A2890" w:rsidP="001A2890">
            <w:pPr>
              <w:spacing w:after="0" w:line="240" w:lineRule="auto"/>
              <w:jc w:val="right"/>
              <w:rPr>
                <w:rFonts w:eastAsia="Times New Roman" w:cstheme="minorHAnsi"/>
                <w:sz w:val="16"/>
                <w:szCs w:val="16"/>
              </w:rPr>
            </w:pPr>
          </w:p>
        </w:tc>
        <w:tc>
          <w:tcPr>
            <w:tcW w:w="720" w:type="dxa"/>
            <w:shd w:val="clear" w:color="auto" w:fill="auto"/>
            <w:noWrap/>
            <w:vAlign w:val="bottom"/>
          </w:tcPr>
          <w:p w14:paraId="3AA2D3B1" w14:textId="77777777" w:rsidR="001A2890" w:rsidRPr="001A2890" w:rsidRDefault="001A2890" w:rsidP="001A2890">
            <w:pPr>
              <w:spacing w:after="0" w:line="240" w:lineRule="auto"/>
              <w:jc w:val="right"/>
              <w:rPr>
                <w:rFonts w:eastAsia="Times New Roman" w:cstheme="minorHAnsi"/>
                <w:sz w:val="16"/>
                <w:szCs w:val="16"/>
              </w:rPr>
            </w:pPr>
          </w:p>
        </w:tc>
        <w:tc>
          <w:tcPr>
            <w:tcW w:w="720" w:type="dxa"/>
            <w:shd w:val="clear" w:color="auto" w:fill="auto"/>
            <w:noWrap/>
            <w:vAlign w:val="bottom"/>
          </w:tcPr>
          <w:p w14:paraId="139FFA08" w14:textId="77777777" w:rsidR="001A2890" w:rsidRPr="001A2890" w:rsidRDefault="001A2890" w:rsidP="001A2890">
            <w:pPr>
              <w:spacing w:after="0" w:line="240" w:lineRule="auto"/>
              <w:jc w:val="right"/>
              <w:rPr>
                <w:rFonts w:eastAsia="Times New Roman" w:cstheme="minorHAnsi"/>
                <w:sz w:val="16"/>
                <w:szCs w:val="16"/>
              </w:rPr>
            </w:pPr>
          </w:p>
        </w:tc>
      </w:tr>
    </w:tbl>
    <w:p w14:paraId="14458122" w14:textId="4B781D92" w:rsidR="000E0D6B" w:rsidRDefault="000E0D6B" w:rsidP="000E0D6B">
      <w:pPr>
        <w:pStyle w:val="NoSpacing"/>
        <w:spacing w:before="120"/>
        <w:rPr>
          <w:color w:val="7F7F7F" w:themeColor="text1" w:themeTint="80"/>
          <w:sz w:val="16"/>
          <w:szCs w:val="16"/>
        </w:rPr>
      </w:pPr>
      <w:r w:rsidRPr="000E0D6B">
        <w:t xml:space="preserve"> </w:t>
      </w:r>
      <w:r w:rsidRPr="00555250">
        <w:rPr>
          <w:color w:val="7F7F7F" w:themeColor="text1" w:themeTint="80"/>
          <w:sz w:val="16"/>
          <w:szCs w:val="16"/>
        </w:rPr>
        <w:t xml:space="preserve">Source: </w:t>
      </w:r>
      <w:proofErr w:type="spellStart"/>
      <w:r>
        <w:rPr>
          <w:color w:val="7F7F7F" w:themeColor="text1" w:themeTint="80"/>
          <w:sz w:val="16"/>
          <w:szCs w:val="16"/>
        </w:rPr>
        <w:t>Circana</w:t>
      </w:r>
      <w:proofErr w:type="spellEnd"/>
      <w:r w:rsidRPr="00555250">
        <w:rPr>
          <w:color w:val="7F7F7F" w:themeColor="text1" w:themeTint="80"/>
          <w:sz w:val="16"/>
          <w:szCs w:val="16"/>
        </w:rPr>
        <w:t xml:space="preserve">, Integrated Fresh, MULO, </w:t>
      </w:r>
      <w:r>
        <w:rPr>
          <w:color w:val="7F7F7F" w:themeColor="text1" w:themeTint="80"/>
          <w:sz w:val="16"/>
          <w:szCs w:val="16"/>
        </w:rPr>
        <w:t>quad weeks 2017-202</w:t>
      </w:r>
      <w:r w:rsidR="00432D1F">
        <w:rPr>
          <w:color w:val="7F7F7F" w:themeColor="text1" w:themeTint="80"/>
          <w:sz w:val="16"/>
          <w:szCs w:val="16"/>
        </w:rPr>
        <w:t>4</w:t>
      </w:r>
    </w:p>
    <w:p w14:paraId="517A6985" w14:textId="77777777" w:rsidR="00F20BAF" w:rsidRPr="000E0D6B" w:rsidRDefault="00F20BAF" w:rsidP="000E0D6B">
      <w:pPr>
        <w:pStyle w:val="NoSpacing"/>
      </w:pPr>
    </w:p>
    <w:p w14:paraId="2A45DBD8" w14:textId="04A1650F" w:rsidR="00666D40" w:rsidRPr="00927EAC" w:rsidRDefault="00666D40" w:rsidP="00927EAC">
      <w:pPr>
        <w:pStyle w:val="Heading2"/>
        <w:rPr>
          <w:b/>
          <w:bCs/>
          <w:color w:val="ED7D31" w:themeColor="accent2"/>
        </w:rPr>
      </w:pPr>
      <w:r w:rsidRPr="00927EAC">
        <w:rPr>
          <w:b/>
          <w:bCs/>
          <w:color w:val="ED7D31" w:themeColor="accent2"/>
        </w:rPr>
        <w:t>Inflation</w:t>
      </w:r>
    </w:p>
    <w:p w14:paraId="4A3C02BB" w14:textId="6F5209E6" w:rsidR="00666D40" w:rsidRDefault="00030ABF" w:rsidP="00472B02">
      <w:pPr>
        <w:pStyle w:val="NoSpacing"/>
      </w:pPr>
      <w:r>
        <w:t>M</w:t>
      </w:r>
      <w:r w:rsidR="000E2A1D">
        <w:t xml:space="preserve">ushroom prices </w:t>
      </w:r>
      <w:r w:rsidR="00157136">
        <w:t>decreased</w:t>
      </w:r>
      <w:r w:rsidR="00024D78">
        <w:t xml:space="preserve"> over the past year</w:t>
      </w:r>
      <w:r w:rsidR="00157136">
        <w:t>, both on a per unit and per pound basis</w:t>
      </w:r>
      <w:r w:rsidR="006A1766">
        <w:t xml:space="preserve">. </w:t>
      </w:r>
      <w:r w:rsidR="00024D78">
        <w:t xml:space="preserve">During the quad week, prices were mostly flat. </w:t>
      </w:r>
      <w:r w:rsidR="000E2A1D">
        <w:t xml:space="preserve"> </w:t>
      </w:r>
    </w:p>
    <w:p w14:paraId="484C35C9" w14:textId="2EB83AFC" w:rsidR="0094219B" w:rsidRDefault="0094219B" w:rsidP="00472B02">
      <w:pPr>
        <w:pStyle w:val="NoSpacing"/>
      </w:pPr>
    </w:p>
    <w:tbl>
      <w:tblPr>
        <w:tblStyle w:val="ListTable3-Accent2"/>
        <w:tblW w:w="10075" w:type="dxa"/>
        <w:tblLook w:val="04A0" w:firstRow="1" w:lastRow="0" w:firstColumn="1" w:lastColumn="0" w:noHBand="0" w:noVBand="1"/>
      </w:tblPr>
      <w:tblGrid>
        <w:gridCol w:w="2875"/>
        <w:gridCol w:w="304"/>
        <w:gridCol w:w="1146"/>
        <w:gridCol w:w="973"/>
        <w:gridCol w:w="909"/>
        <w:gridCol w:w="1776"/>
        <w:gridCol w:w="817"/>
        <w:gridCol w:w="1275"/>
      </w:tblGrid>
      <w:tr w:rsidR="000C3CC4" w:rsidRPr="00124CB7" w14:paraId="6E9D1AEF" w14:textId="162D7E86" w:rsidTr="002F442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75" w:type="dxa"/>
          </w:tcPr>
          <w:p w14:paraId="74759AF7" w14:textId="77777777" w:rsidR="000C3CC4" w:rsidRPr="00124CB7" w:rsidRDefault="000C3CC4" w:rsidP="000C3CC4">
            <w:pPr>
              <w:pStyle w:val="NoSpacing"/>
            </w:pPr>
            <w:r w:rsidRPr="00124CB7">
              <w:t>Fresh mushrooms</w:t>
            </w:r>
          </w:p>
        </w:tc>
        <w:tc>
          <w:tcPr>
            <w:tcW w:w="1450" w:type="dxa"/>
            <w:gridSpan w:val="2"/>
          </w:tcPr>
          <w:p w14:paraId="5EC6EFF0" w14:textId="2355FDE6" w:rsidR="000C3CC4" w:rsidRPr="00124CB7" w:rsidRDefault="000C3CC4" w:rsidP="00B03343">
            <w:pPr>
              <w:pStyle w:val="NoSpacing"/>
              <w:jc w:val="right"/>
              <w:cnfStyle w:val="100000000000" w:firstRow="1" w:lastRow="0" w:firstColumn="0" w:lastColumn="0" w:oddVBand="0" w:evenVBand="0" w:oddHBand="0" w:evenHBand="0" w:firstRowFirstColumn="0" w:firstRowLastColumn="0" w:lastRowFirstColumn="0" w:lastRowLastColumn="0"/>
            </w:pPr>
            <w:r>
              <w:t xml:space="preserve">4 </w:t>
            </w:r>
            <w:proofErr w:type="spellStart"/>
            <w:r>
              <w:t>w.e</w:t>
            </w:r>
            <w:proofErr w:type="spellEnd"/>
            <w:r>
              <w:t xml:space="preserve">. </w:t>
            </w:r>
            <w:r w:rsidR="001A2890">
              <w:t>4/21/2024</w:t>
            </w:r>
          </w:p>
        </w:tc>
        <w:tc>
          <w:tcPr>
            <w:tcW w:w="973" w:type="dxa"/>
          </w:tcPr>
          <w:p w14:paraId="10EFADEC" w14:textId="1DD0A0E2" w:rsidR="000C3CC4" w:rsidRPr="00124CB7" w:rsidRDefault="000C3CC4" w:rsidP="000C3CC4">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rsidR="001E7C8B">
              <w:t>2023</w:t>
            </w:r>
          </w:p>
        </w:tc>
        <w:tc>
          <w:tcPr>
            <w:tcW w:w="909" w:type="dxa"/>
            <w:tcBorders>
              <w:right w:val="single" w:sz="4" w:space="0" w:color="ED7D31"/>
            </w:tcBorders>
          </w:tcPr>
          <w:p w14:paraId="55EFE125" w14:textId="0403CD98" w:rsidR="000C3CC4" w:rsidRPr="00124CB7" w:rsidRDefault="000C3CC4" w:rsidP="000C3CC4">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rsidR="001E7C8B">
              <w:t>202</w:t>
            </w:r>
            <w:r w:rsidR="00024D78">
              <w:t>2</w:t>
            </w:r>
          </w:p>
        </w:tc>
        <w:tc>
          <w:tcPr>
            <w:tcW w:w="1776" w:type="dxa"/>
            <w:tcBorders>
              <w:left w:val="single" w:sz="4" w:space="0" w:color="ED7D31"/>
            </w:tcBorders>
          </w:tcPr>
          <w:p w14:paraId="6A5B944C" w14:textId="7B85AA0E" w:rsidR="000C3CC4" w:rsidRPr="00124CB7" w:rsidRDefault="00694050" w:rsidP="00B03343">
            <w:pPr>
              <w:pStyle w:val="NoSpacing"/>
              <w:jc w:val="right"/>
              <w:cnfStyle w:val="100000000000" w:firstRow="1" w:lastRow="0" w:firstColumn="0" w:lastColumn="0" w:oddVBand="0" w:evenVBand="0" w:oddHBand="0" w:evenHBand="0" w:firstRowFirstColumn="0" w:firstRowLastColumn="0" w:lastRowFirstColumn="0" w:lastRowLastColumn="0"/>
            </w:pPr>
            <w:r>
              <w:t xml:space="preserve">Latest 52 </w:t>
            </w:r>
            <w:proofErr w:type="spellStart"/>
            <w:r>
              <w:t>w.e</w:t>
            </w:r>
            <w:proofErr w:type="spellEnd"/>
            <w:r>
              <w:t>.</w:t>
            </w:r>
            <w:r w:rsidR="000C3CC4">
              <w:t xml:space="preserve"> </w:t>
            </w:r>
            <w:r w:rsidR="001A2890">
              <w:t>4/21/2024</w:t>
            </w:r>
          </w:p>
        </w:tc>
        <w:tc>
          <w:tcPr>
            <w:tcW w:w="817" w:type="dxa"/>
          </w:tcPr>
          <w:p w14:paraId="56551B99" w14:textId="30E2875D" w:rsidR="000C3CC4" w:rsidRPr="00124CB7" w:rsidRDefault="000C3CC4" w:rsidP="000C3CC4">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rsidR="001E7C8B">
              <w:t>2023</w:t>
            </w:r>
          </w:p>
        </w:tc>
        <w:tc>
          <w:tcPr>
            <w:tcW w:w="1275" w:type="dxa"/>
          </w:tcPr>
          <w:p w14:paraId="1A109D51" w14:textId="09D97E89" w:rsidR="000C3CC4" w:rsidRPr="00124CB7" w:rsidRDefault="000C3CC4" w:rsidP="001E7C8B">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rsidR="00024D78">
              <w:br/>
            </w:r>
            <w:r w:rsidR="00251BBC">
              <w:t>202</w:t>
            </w:r>
            <w:r w:rsidR="00024D78">
              <w:t>2</w:t>
            </w:r>
          </w:p>
        </w:tc>
      </w:tr>
      <w:tr w:rsidR="000C3CC4" w14:paraId="2B35BE12" w14:textId="0A6FF303" w:rsidTr="002F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9" w:type="dxa"/>
            <w:gridSpan w:val="2"/>
          </w:tcPr>
          <w:p w14:paraId="5B4CB702" w14:textId="77777777" w:rsidR="000C3CC4" w:rsidRPr="00124CB7" w:rsidRDefault="000C3CC4" w:rsidP="000C3CC4">
            <w:pPr>
              <w:pStyle w:val="NoSpacing"/>
              <w:rPr>
                <w:b w:val="0"/>
                <w:bCs w:val="0"/>
              </w:rPr>
            </w:pPr>
            <w:r>
              <w:rPr>
                <w:b w:val="0"/>
                <w:bCs w:val="0"/>
              </w:rPr>
              <w:t>Price/unit</w:t>
            </w:r>
          </w:p>
        </w:tc>
        <w:tc>
          <w:tcPr>
            <w:tcW w:w="1146" w:type="dxa"/>
          </w:tcPr>
          <w:p w14:paraId="2915A28B" w14:textId="493D5B94" w:rsidR="000C3CC4" w:rsidRDefault="000C3CC4" w:rsidP="000C3CC4">
            <w:pPr>
              <w:pStyle w:val="NoSpacing"/>
              <w:jc w:val="right"/>
              <w:cnfStyle w:val="000000100000" w:firstRow="0" w:lastRow="0" w:firstColumn="0" w:lastColumn="0" w:oddVBand="0" w:evenVBand="0" w:oddHBand="1" w:evenHBand="0" w:firstRowFirstColumn="0" w:firstRowLastColumn="0" w:lastRowFirstColumn="0" w:lastRowLastColumn="0"/>
            </w:pPr>
            <w:r>
              <w:t>$</w:t>
            </w:r>
            <w:r w:rsidR="00024D78">
              <w:t>2.80</w:t>
            </w:r>
          </w:p>
        </w:tc>
        <w:tc>
          <w:tcPr>
            <w:tcW w:w="973" w:type="dxa"/>
          </w:tcPr>
          <w:p w14:paraId="3E0967AB" w14:textId="35654F97" w:rsidR="000C3CC4" w:rsidRDefault="00024D78" w:rsidP="00EA0CB5">
            <w:pPr>
              <w:pStyle w:val="NoSpacing"/>
              <w:jc w:val="right"/>
              <w:cnfStyle w:val="000000100000" w:firstRow="0" w:lastRow="0" w:firstColumn="0" w:lastColumn="0" w:oddVBand="0" w:evenVBand="0" w:oddHBand="1" w:evenHBand="0" w:firstRowFirstColumn="0" w:firstRowLastColumn="0" w:lastRowFirstColumn="0" w:lastRowLastColumn="0"/>
            </w:pPr>
            <w:r>
              <w:t>+0.2</w:t>
            </w:r>
            <w:r w:rsidR="000C3CC4">
              <w:t>%</w:t>
            </w:r>
          </w:p>
        </w:tc>
        <w:tc>
          <w:tcPr>
            <w:tcW w:w="909" w:type="dxa"/>
            <w:tcBorders>
              <w:right w:val="single" w:sz="4" w:space="0" w:color="ED7D31"/>
            </w:tcBorders>
          </w:tcPr>
          <w:p w14:paraId="09DAD54E" w14:textId="11B4ECA8" w:rsidR="000C3CC4" w:rsidRDefault="00663846" w:rsidP="000C3CC4">
            <w:pPr>
              <w:pStyle w:val="NoSpacing"/>
              <w:jc w:val="right"/>
              <w:cnfStyle w:val="000000100000" w:firstRow="0" w:lastRow="0" w:firstColumn="0" w:lastColumn="0" w:oddVBand="0" w:evenVBand="0" w:oddHBand="1" w:evenHBand="0" w:firstRowFirstColumn="0" w:firstRowLastColumn="0" w:lastRowFirstColumn="0" w:lastRowLastColumn="0"/>
            </w:pPr>
            <w:r>
              <w:t>+</w:t>
            </w:r>
            <w:r w:rsidR="00024D78">
              <w:t>2.5</w:t>
            </w:r>
            <w:r w:rsidR="000C3CC4">
              <w:t>%</w:t>
            </w:r>
          </w:p>
        </w:tc>
        <w:tc>
          <w:tcPr>
            <w:tcW w:w="1776" w:type="dxa"/>
            <w:tcBorders>
              <w:left w:val="single" w:sz="4" w:space="0" w:color="ED7D31"/>
            </w:tcBorders>
          </w:tcPr>
          <w:p w14:paraId="03CA719E" w14:textId="4A05396C" w:rsidR="000C3CC4" w:rsidRDefault="000C3CC4" w:rsidP="00AB019A">
            <w:pPr>
              <w:pStyle w:val="NoSpacing"/>
              <w:jc w:val="right"/>
              <w:cnfStyle w:val="000000100000" w:firstRow="0" w:lastRow="0" w:firstColumn="0" w:lastColumn="0" w:oddVBand="0" w:evenVBand="0" w:oddHBand="1" w:evenHBand="0" w:firstRowFirstColumn="0" w:firstRowLastColumn="0" w:lastRowFirstColumn="0" w:lastRowLastColumn="0"/>
            </w:pPr>
            <w:r>
              <w:t>$</w:t>
            </w:r>
            <w:r w:rsidR="00E46DB2">
              <w:t>2.81</w:t>
            </w:r>
          </w:p>
        </w:tc>
        <w:tc>
          <w:tcPr>
            <w:tcW w:w="817" w:type="dxa"/>
          </w:tcPr>
          <w:p w14:paraId="08755E5E" w14:textId="37D69B7A" w:rsidR="000C3CC4" w:rsidRDefault="001C7D0B" w:rsidP="000C3CC4">
            <w:pPr>
              <w:pStyle w:val="NoSpacing"/>
              <w:jc w:val="right"/>
              <w:cnfStyle w:val="000000100000" w:firstRow="0" w:lastRow="0" w:firstColumn="0" w:lastColumn="0" w:oddVBand="0" w:evenVBand="0" w:oddHBand="1" w:evenHBand="0" w:firstRowFirstColumn="0" w:firstRowLastColumn="0" w:lastRowFirstColumn="0" w:lastRowLastColumn="0"/>
            </w:pPr>
            <w:r>
              <w:t>-</w:t>
            </w:r>
            <w:r w:rsidR="00E46DB2">
              <w:t>0.</w:t>
            </w:r>
            <w:r w:rsidR="00024D78">
              <w:t>6</w:t>
            </w:r>
            <w:r w:rsidR="000C3CC4">
              <w:t>%</w:t>
            </w:r>
          </w:p>
        </w:tc>
        <w:tc>
          <w:tcPr>
            <w:tcW w:w="1275" w:type="dxa"/>
          </w:tcPr>
          <w:p w14:paraId="19B1F6D2" w14:textId="25BE3D3E" w:rsidR="000C3CC4" w:rsidRDefault="000C3CC4" w:rsidP="00AB019A">
            <w:pPr>
              <w:pStyle w:val="NoSpacing"/>
              <w:jc w:val="right"/>
              <w:cnfStyle w:val="000000100000" w:firstRow="0" w:lastRow="0" w:firstColumn="0" w:lastColumn="0" w:oddVBand="0" w:evenVBand="0" w:oddHBand="1" w:evenHBand="0" w:firstRowFirstColumn="0" w:firstRowLastColumn="0" w:lastRowFirstColumn="0" w:lastRowLastColumn="0"/>
            </w:pPr>
            <w:r>
              <w:t>+</w:t>
            </w:r>
            <w:r w:rsidR="00024D78">
              <w:t>5.5</w:t>
            </w:r>
            <w:r>
              <w:t>%</w:t>
            </w:r>
          </w:p>
        </w:tc>
      </w:tr>
      <w:tr w:rsidR="0004266D" w14:paraId="7C18640F" w14:textId="5B569261" w:rsidTr="002F442E">
        <w:tc>
          <w:tcPr>
            <w:cnfStyle w:val="001000000000" w:firstRow="0" w:lastRow="0" w:firstColumn="1" w:lastColumn="0" w:oddVBand="0" w:evenVBand="0" w:oddHBand="0" w:evenHBand="0" w:firstRowFirstColumn="0" w:firstRowLastColumn="0" w:lastRowFirstColumn="0" w:lastRowLastColumn="0"/>
            <w:tcW w:w="3179" w:type="dxa"/>
            <w:gridSpan w:val="2"/>
          </w:tcPr>
          <w:p w14:paraId="47C97CE0" w14:textId="77777777" w:rsidR="0004266D" w:rsidRPr="00124CB7" w:rsidRDefault="0004266D" w:rsidP="0004266D">
            <w:pPr>
              <w:pStyle w:val="NoSpacing"/>
              <w:rPr>
                <w:b w:val="0"/>
                <w:bCs w:val="0"/>
              </w:rPr>
            </w:pPr>
            <w:r>
              <w:rPr>
                <w:b w:val="0"/>
                <w:bCs w:val="0"/>
              </w:rPr>
              <w:t>Price/volume</w:t>
            </w:r>
          </w:p>
        </w:tc>
        <w:tc>
          <w:tcPr>
            <w:tcW w:w="1146" w:type="dxa"/>
          </w:tcPr>
          <w:p w14:paraId="17C86A08" w14:textId="22F92995" w:rsidR="0004266D" w:rsidRDefault="0004266D" w:rsidP="0004266D">
            <w:pPr>
              <w:pStyle w:val="NoSpacing"/>
              <w:jc w:val="right"/>
              <w:cnfStyle w:val="000000000000" w:firstRow="0" w:lastRow="0" w:firstColumn="0" w:lastColumn="0" w:oddVBand="0" w:evenVBand="0" w:oddHBand="0" w:evenHBand="0" w:firstRowFirstColumn="0" w:firstRowLastColumn="0" w:lastRowFirstColumn="0" w:lastRowLastColumn="0"/>
            </w:pPr>
            <w:r>
              <w:t>$</w:t>
            </w:r>
            <w:r w:rsidR="00253F46">
              <w:t>4.</w:t>
            </w:r>
            <w:r w:rsidR="00157136">
              <w:t>5</w:t>
            </w:r>
            <w:r w:rsidR="00024D78">
              <w:t>3</w:t>
            </w:r>
          </w:p>
        </w:tc>
        <w:tc>
          <w:tcPr>
            <w:tcW w:w="973" w:type="dxa"/>
          </w:tcPr>
          <w:p w14:paraId="7E986169" w14:textId="7376E6D2" w:rsidR="0004266D" w:rsidRDefault="00024D78" w:rsidP="0004266D">
            <w:pPr>
              <w:pStyle w:val="NoSpacing"/>
              <w:jc w:val="right"/>
              <w:cnfStyle w:val="000000000000" w:firstRow="0" w:lastRow="0" w:firstColumn="0" w:lastColumn="0" w:oddVBand="0" w:evenVBand="0" w:oddHBand="0" w:evenHBand="0" w:firstRowFirstColumn="0" w:firstRowLastColumn="0" w:lastRowFirstColumn="0" w:lastRowLastColumn="0"/>
            </w:pPr>
            <w:r>
              <w:t>+0.7</w:t>
            </w:r>
            <w:r w:rsidR="0004266D">
              <w:t>%</w:t>
            </w:r>
          </w:p>
        </w:tc>
        <w:tc>
          <w:tcPr>
            <w:tcW w:w="909" w:type="dxa"/>
            <w:tcBorders>
              <w:right w:val="single" w:sz="4" w:space="0" w:color="ED7D31"/>
            </w:tcBorders>
          </w:tcPr>
          <w:p w14:paraId="36DDF54D" w14:textId="03210852" w:rsidR="0004266D" w:rsidRDefault="0004266D" w:rsidP="00483711">
            <w:pPr>
              <w:pStyle w:val="NoSpacing"/>
              <w:jc w:val="right"/>
              <w:cnfStyle w:val="000000000000" w:firstRow="0" w:lastRow="0" w:firstColumn="0" w:lastColumn="0" w:oddVBand="0" w:evenVBand="0" w:oddHBand="0" w:evenHBand="0" w:firstRowFirstColumn="0" w:firstRowLastColumn="0" w:lastRowFirstColumn="0" w:lastRowLastColumn="0"/>
            </w:pPr>
            <w:r>
              <w:t>+</w:t>
            </w:r>
            <w:r w:rsidR="00024D78">
              <w:t>2.0</w:t>
            </w:r>
            <w:r>
              <w:t>%</w:t>
            </w:r>
          </w:p>
        </w:tc>
        <w:tc>
          <w:tcPr>
            <w:tcW w:w="1776" w:type="dxa"/>
            <w:tcBorders>
              <w:left w:val="single" w:sz="4" w:space="0" w:color="ED7D31"/>
            </w:tcBorders>
          </w:tcPr>
          <w:p w14:paraId="233A8701" w14:textId="5B9C10FB" w:rsidR="0004266D" w:rsidRDefault="0004266D" w:rsidP="0004266D">
            <w:pPr>
              <w:pStyle w:val="NoSpacing"/>
              <w:jc w:val="right"/>
              <w:cnfStyle w:val="000000000000" w:firstRow="0" w:lastRow="0" w:firstColumn="0" w:lastColumn="0" w:oddVBand="0" w:evenVBand="0" w:oddHBand="0" w:evenHBand="0" w:firstRowFirstColumn="0" w:firstRowLastColumn="0" w:lastRowFirstColumn="0" w:lastRowLastColumn="0"/>
            </w:pPr>
            <w:r>
              <w:t>$</w:t>
            </w:r>
            <w:r w:rsidR="00024D78">
              <w:t>4.58</w:t>
            </w:r>
          </w:p>
        </w:tc>
        <w:tc>
          <w:tcPr>
            <w:tcW w:w="817" w:type="dxa"/>
          </w:tcPr>
          <w:p w14:paraId="1759FD32" w14:textId="1959C736" w:rsidR="0004266D" w:rsidRDefault="00157136" w:rsidP="00AB019A">
            <w:pPr>
              <w:pStyle w:val="NoSpacing"/>
              <w:jc w:val="right"/>
              <w:cnfStyle w:val="000000000000" w:firstRow="0" w:lastRow="0" w:firstColumn="0" w:lastColumn="0" w:oddVBand="0" w:evenVBand="0" w:oddHBand="0" w:evenHBand="0" w:firstRowFirstColumn="0" w:firstRowLastColumn="0" w:lastRowFirstColumn="0" w:lastRowLastColumn="0"/>
            </w:pPr>
            <w:r>
              <w:t>-</w:t>
            </w:r>
            <w:r w:rsidR="00253F46">
              <w:t>0.2</w:t>
            </w:r>
            <w:r w:rsidR="0004266D">
              <w:t>%</w:t>
            </w:r>
          </w:p>
        </w:tc>
        <w:tc>
          <w:tcPr>
            <w:tcW w:w="1275" w:type="dxa"/>
          </w:tcPr>
          <w:p w14:paraId="725313BE" w14:textId="243A9DAE" w:rsidR="0004266D" w:rsidRDefault="0004266D" w:rsidP="0004266D">
            <w:pPr>
              <w:pStyle w:val="NoSpacing"/>
              <w:jc w:val="right"/>
              <w:cnfStyle w:val="000000000000" w:firstRow="0" w:lastRow="0" w:firstColumn="0" w:lastColumn="0" w:oddVBand="0" w:evenVBand="0" w:oddHBand="0" w:evenHBand="0" w:firstRowFirstColumn="0" w:firstRowLastColumn="0" w:lastRowFirstColumn="0" w:lastRowLastColumn="0"/>
            </w:pPr>
            <w:r>
              <w:t>+</w:t>
            </w:r>
            <w:r w:rsidR="00024D78">
              <w:t>6.1</w:t>
            </w:r>
            <w:r w:rsidR="00483711">
              <w:t>%</w:t>
            </w:r>
          </w:p>
        </w:tc>
      </w:tr>
    </w:tbl>
    <w:p w14:paraId="5CF68DB9" w14:textId="77777777" w:rsidR="00170260" w:rsidRDefault="00170260" w:rsidP="00170260">
      <w:pPr>
        <w:pStyle w:val="NoSpacing"/>
      </w:pPr>
    </w:p>
    <w:p w14:paraId="611C2D9A" w14:textId="719E20F3" w:rsidR="00170260" w:rsidRDefault="00B672D0" w:rsidP="00170260">
      <w:pPr>
        <w:pStyle w:val="NoSpacing"/>
      </w:pPr>
      <w:r>
        <w:t xml:space="preserve">Moderation in price increases </w:t>
      </w:r>
      <w:r w:rsidR="0009067E">
        <w:t xml:space="preserve">went </w:t>
      </w:r>
      <w:r>
        <w:t xml:space="preserve">hand-in-hand with </w:t>
      </w:r>
      <w:r w:rsidR="00432D1F">
        <w:t xml:space="preserve">greater </w:t>
      </w:r>
      <w:r>
        <w:t>p</w:t>
      </w:r>
      <w:r w:rsidR="006636C7">
        <w:t>romotional activity</w:t>
      </w:r>
      <w:r>
        <w:t xml:space="preserve">. </w:t>
      </w:r>
      <w:r w:rsidR="0009067E">
        <w:t xml:space="preserve">During </w:t>
      </w:r>
      <w:r w:rsidR="006636C7">
        <w:t>the latest quad-week period</w:t>
      </w:r>
      <w:r w:rsidR="00A36245">
        <w:t xml:space="preserve"> </w:t>
      </w:r>
      <w:r w:rsidR="00157136">
        <w:t>20.</w:t>
      </w:r>
      <w:r w:rsidR="00024D78">
        <w:t>7</w:t>
      </w:r>
      <w:r w:rsidR="00FF2D4A">
        <w:t xml:space="preserve">% of total </w:t>
      </w:r>
      <w:r w:rsidR="00085508">
        <w:t xml:space="preserve">fresh mushroom </w:t>
      </w:r>
      <w:r w:rsidR="00FF2D4A">
        <w:t>dollars</w:t>
      </w:r>
      <w:r w:rsidR="004C1DB1">
        <w:t xml:space="preserve"> sold</w:t>
      </w:r>
      <w:r>
        <w:t xml:space="preserve"> while on promotion</w:t>
      </w:r>
      <w:r w:rsidR="00E508BB">
        <w:t>.</w:t>
      </w:r>
      <w:r w:rsidR="00663846">
        <w:t xml:space="preserve"> This was up </w:t>
      </w:r>
      <w:r w:rsidR="00157136">
        <w:t>2</w:t>
      </w:r>
      <w:r w:rsidR="00851FDB">
        <w:t>.</w:t>
      </w:r>
      <w:r w:rsidR="00024D78">
        <w:t>4</w:t>
      </w:r>
      <w:r w:rsidR="00432D1F">
        <w:t>%.</w:t>
      </w:r>
      <w:r w:rsidR="00E508BB">
        <w:t xml:space="preserve"> </w:t>
      </w:r>
    </w:p>
    <w:p w14:paraId="363D2F2B" w14:textId="77777777" w:rsidR="00170260" w:rsidRDefault="00170260" w:rsidP="00170260">
      <w:pPr>
        <w:pStyle w:val="NoSpacing"/>
      </w:pPr>
    </w:p>
    <w:tbl>
      <w:tblPr>
        <w:tblStyle w:val="ListTable3-Accent2"/>
        <w:tblW w:w="10070" w:type="dxa"/>
        <w:tblLook w:val="04A0" w:firstRow="1" w:lastRow="0" w:firstColumn="1" w:lastColumn="0" w:noHBand="0" w:noVBand="1"/>
      </w:tblPr>
      <w:tblGrid>
        <w:gridCol w:w="3539"/>
        <w:gridCol w:w="397"/>
        <w:gridCol w:w="1342"/>
        <w:gridCol w:w="1369"/>
        <w:gridCol w:w="2054"/>
        <w:gridCol w:w="1369"/>
      </w:tblGrid>
      <w:tr w:rsidR="00972570" w:rsidRPr="00124CB7" w14:paraId="5DFB9CAB" w14:textId="77777777" w:rsidTr="00694050">
        <w:trPr>
          <w:cnfStyle w:val="100000000000" w:firstRow="1" w:lastRow="0" w:firstColumn="0" w:lastColumn="0" w:oddVBand="0" w:evenVBand="0" w:oddHBand="0" w:evenHBand="0" w:firstRowFirstColumn="0" w:firstRowLastColumn="0" w:lastRowFirstColumn="0" w:lastRowLastColumn="0"/>
          <w:trHeight w:val="534"/>
        </w:trPr>
        <w:tc>
          <w:tcPr>
            <w:cnfStyle w:val="001000000100" w:firstRow="0" w:lastRow="0" w:firstColumn="1" w:lastColumn="0" w:oddVBand="0" w:evenVBand="0" w:oddHBand="0" w:evenHBand="0" w:firstRowFirstColumn="1" w:firstRowLastColumn="0" w:lastRowFirstColumn="0" w:lastRowLastColumn="0"/>
            <w:tcW w:w="3539" w:type="dxa"/>
          </w:tcPr>
          <w:p w14:paraId="4168BC1A" w14:textId="77777777" w:rsidR="00972570" w:rsidRPr="00124CB7" w:rsidRDefault="00972570" w:rsidP="00FF6A85">
            <w:pPr>
              <w:pStyle w:val="NoSpacing"/>
            </w:pPr>
            <w:r w:rsidRPr="00124CB7">
              <w:t>Fresh mushrooms</w:t>
            </w:r>
          </w:p>
        </w:tc>
        <w:tc>
          <w:tcPr>
            <w:tcW w:w="1739" w:type="dxa"/>
            <w:gridSpan w:val="2"/>
          </w:tcPr>
          <w:p w14:paraId="6A0500B8" w14:textId="2BA7CFB0" w:rsidR="00972570" w:rsidRPr="00124CB7" w:rsidRDefault="00972570" w:rsidP="00FF6A85">
            <w:pPr>
              <w:pStyle w:val="NoSpacing"/>
              <w:jc w:val="right"/>
              <w:cnfStyle w:val="100000000000" w:firstRow="1" w:lastRow="0" w:firstColumn="0" w:lastColumn="0" w:oddVBand="0" w:evenVBand="0" w:oddHBand="0" w:evenHBand="0" w:firstRowFirstColumn="0" w:firstRowLastColumn="0" w:lastRowFirstColumn="0" w:lastRowLastColumn="0"/>
            </w:pPr>
            <w:r>
              <w:t xml:space="preserve">4 </w:t>
            </w:r>
            <w:proofErr w:type="spellStart"/>
            <w:r>
              <w:t>w.e</w:t>
            </w:r>
            <w:proofErr w:type="spellEnd"/>
            <w:r>
              <w:t xml:space="preserve">. </w:t>
            </w:r>
            <w:r w:rsidR="001A2890">
              <w:t>4/21/2024</w:t>
            </w:r>
          </w:p>
        </w:tc>
        <w:tc>
          <w:tcPr>
            <w:tcW w:w="1369" w:type="dxa"/>
            <w:tcBorders>
              <w:right w:val="single" w:sz="4" w:space="0" w:color="ED7D31"/>
            </w:tcBorders>
          </w:tcPr>
          <w:p w14:paraId="5CF9736D" w14:textId="631F4E35" w:rsidR="00972570" w:rsidRPr="00124CB7" w:rsidRDefault="00972570" w:rsidP="00FF6A85">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rsidR="001E7C8B">
              <w:t>2023</w:t>
            </w:r>
          </w:p>
        </w:tc>
        <w:tc>
          <w:tcPr>
            <w:tcW w:w="2054" w:type="dxa"/>
            <w:tcBorders>
              <w:left w:val="single" w:sz="4" w:space="0" w:color="ED7D31"/>
            </w:tcBorders>
          </w:tcPr>
          <w:p w14:paraId="413A4F70" w14:textId="61927838" w:rsidR="00972570" w:rsidRPr="00124CB7" w:rsidRDefault="00694050" w:rsidP="00B03343">
            <w:pPr>
              <w:pStyle w:val="NoSpacing"/>
              <w:jc w:val="right"/>
              <w:cnfStyle w:val="100000000000" w:firstRow="1" w:lastRow="0" w:firstColumn="0" w:lastColumn="0" w:oddVBand="0" w:evenVBand="0" w:oddHBand="0" w:evenHBand="0" w:firstRowFirstColumn="0" w:firstRowLastColumn="0" w:lastRowFirstColumn="0" w:lastRowLastColumn="0"/>
            </w:pPr>
            <w:r>
              <w:t xml:space="preserve">Latest 52 </w:t>
            </w:r>
            <w:proofErr w:type="spellStart"/>
            <w:r>
              <w:t>w.e</w:t>
            </w:r>
            <w:proofErr w:type="spellEnd"/>
            <w:r>
              <w:t>.</w:t>
            </w:r>
            <w:r w:rsidR="00972570">
              <w:t xml:space="preserve"> </w:t>
            </w:r>
            <w:r w:rsidR="001A2890">
              <w:t>4/21/2024</w:t>
            </w:r>
          </w:p>
        </w:tc>
        <w:tc>
          <w:tcPr>
            <w:tcW w:w="1369" w:type="dxa"/>
          </w:tcPr>
          <w:p w14:paraId="75064544" w14:textId="2A4167F6" w:rsidR="00972570" w:rsidRPr="00124CB7" w:rsidRDefault="00972570" w:rsidP="00FF6A85">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rsidR="001E7C8B">
              <w:t>2023</w:t>
            </w:r>
          </w:p>
        </w:tc>
      </w:tr>
      <w:tr w:rsidR="004A50D2" w14:paraId="3B76FFA3" w14:textId="78296325" w:rsidTr="00314DA1">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3936" w:type="dxa"/>
            <w:gridSpan w:val="2"/>
          </w:tcPr>
          <w:p w14:paraId="2B5B6C81" w14:textId="6313A9FC" w:rsidR="004A50D2" w:rsidRDefault="004A50D2" w:rsidP="004A50D2">
            <w:pPr>
              <w:pStyle w:val="NoSpacing"/>
              <w:rPr>
                <w:b w:val="0"/>
                <w:bCs w:val="0"/>
              </w:rPr>
            </w:pPr>
            <w:r>
              <w:rPr>
                <w:b w:val="0"/>
                <w:bCs w:val="0"/>
              </w:rPr>
              <w:t>Share of dollars sold on promotion</w:t>
            </w:r>
          </w:p>
        </w:tc>
        <w:tc>
          <w:tcPr>
            <w:tcW w:w="1342" w:type="dxa"/>
            <w:shd w:val="clear" w:color="auto" w:fill="auto"/>
          </w:tcPr>
          <w:p w14:paraId="6D5E5F03" w14:textId="318B64FD" w:rsidR="004A50D2" w:rsidRPr="006617FB" w:rsidRDefault="00157136" w:rsidP="004A50D2">
            <w:pPr>
              <w:pStyle w:val="NoSpacing"/>
              <w:jc w:val="right"/>
              <w:cnfStyle w:val="000000100000" w:firstRow="0" w:lastRow="0" w:firstColumn="0" w:lastColumn="0" w:oddVBand="0" w:evenVBand="0" w:oddHBand="1" w:evenHBand="0" w:firstRowFirstColumn="0" w:firstRowLastColumn="0" w:lastRowFirstColumn="0" w:lastRowLastColumn="0"/>
            </w:pPr>
            <w:r>
              <w:t>20.</w:t>
            </w:r>
            <w:r w:rsidR="00024D78">
              <w:t>7</w:t>
            </w:r>
            <w:r w:rsidR="004A50D2" w:rsidRPr="006617FB">
              <w:t>%</w:t>
            </w:r>
          </w:p>
        </w:tc>
        <w:tc>
          <w:tcPr>
            <w:tcW w:w="1369" w:type="dxa"/>
            <w:tcBorders>
              <w:right w:val="single" w:sz="4" w:space="0" w:color="ED7D31"/>
            </w:tcBorders>
          </w:tcPr>
          <w:p w14:paraId="586FECBD" w14:textId="530788BB" w:rsidR="004A50D2" w:rsidRPr="009B0330" w:rsidRDefault="00511CD0" w:rsidP="004A50D2">
            <w:pPr>
              <w:pStyle w:val="NoSpacing"/>
              <w:jc w:val="right"/>
              <w:cnfStyle w:val="000000100000" w:firstRow="0" w:lastRow="0" w:firstColumn="0" w:lastColumn="0" w:oddVBand="0" w:evenVBand="0" w:oddHBand="1" w:evenHBand="0" w:firstRowFirstColumn="0" w:firstRowLastColumn="0" w:lastRowFirstColumn="0" w:lastRowLastColumn="0"/>
            </w:pPr>
            <w:r>
              <w:t>+</w:t>
            </w:r>
            <w:r w:rsidR="00157136">
              <w:t>2.</w:t>
            </w:r>
            <w:r w:rsidR="00024D78">
              <w:t>4</w:t>
            </w:r>
            <w:r w:rsidR="004A50D2" w:rsidRPr="009B0330">
              <w:t>%</w:t>
            </w:r>
          </w:p>
        </w:tc>
        <w:tc>
          <w:tcPr>
            <w:tcW w:w="2054" w:type="dxa"/>
            <w:tcBorders>
              <w:left w:val="single" w:sz="4" w:space="0" w:color="ED7D31"/>
            </w:tcBorders>
          </w:tcPr>
          <w:p w14:paraId="66CD7DD9" w14:textId="3F9EE451" w:rsidR="004A50D2" w:rsidRPr="009B0330" w:rsidRDefault="003F7D52" w:rsidP="00916DE2">
            <w:pPr>
              <w:pStyle w:val="NoSpacing"/>
              <w:jc w:val="right"/>
              <w:cnfStyle w:val="000000100000" w:firstRow="0" w:lastRow="0" w:firstColumn="0" w:lastColumn="0" w:oddVBand="0" w:evenVBand="0" w:oddHBand="1" w:evenHBand="0" w:firstRowFirstColumn="0" w:firstRowLastColumn="0" w:lastRowFirstColumn="0" w:lastRowLastColumn="0"/>
            </w:pPr>
            <w:r>
              <w:t>19.</w:t>
            </w:r>
            <w:r w:rsidR="00157136">
              <w:t>6</w:t>
            </w:r>
            <w:r w:rsidR="004A50D2" w:rsidRPr="009B0330">
              <w:t>%</w:t>
            </w:r>
          </w:p>
        </w:tc>
        <w:tc>
          <w:tcPr>
            <w:tcW w:w="1369" w:type="dxa"/>
            <w:shd w:val="clear" w:color="auto" w:fill="auto"/>
          </w:tcPr>
          <w:p w14:paraId="7461CDF6" w14:textId="46631B14" w:rsidR="004A50D2" w:rsidRPr="00314DA1" w:rsidRDefault="00FC56B0" w:rsidP="00145E27">
            <w:pPr>
              <w:pStyle w:val="NoSpacing"/>
              <w:jc w:val="right"/>
              <w:cnfStyle w:val="000000100000" w:firstRow="0" w:lastRow="0" w:firstColumn="0" w:lastColumn="0" w:oddVBand="0" w:evenVBand="0" w:oddHBand="1" w:evenHBand="0" w:firstRowFirstColumn="0" w:firstRowLastColumn="0" w:lastRowFirstColumn="0" w:lastRowLastColumn="0"/>
            </w:pPr>
            <w:r>
              <w:t>+</w:t>
            </w:r>
            <w:r w:rsidR="003F7D52">
              <w:t>1</w:t>
            </w:r>
            <w:r w:rsidR="00024D78">
              <w:t>7</w:t>
            </w:r>
            <w:r w:rsidR="00157136">
              <w:t>.3</w:t>
            </w:r>
            <w:r w:rsidR="004A50D2" w:rsidRPr="00314DA1">
              <w:t>%</w:t>
            </w:r>
          </w:p>
        </w:tc>
      </w:tr>
    </w:tbl>
    <w:p w14:paraId="23606064" w14:textId="63B68B48" w:rsidR="00555250" w:rsidRPr="00555250" w:rsidRDefault="00555250" w:rsidP="00555250">
      <w:pPr>
        <w:pStyle w:val="NoSpacing"/>
        <w:spacing w:before="120"/>
        <w:rPr>
          <w:color w:val="7F7F7F" w:themeColor="text1" w:themeTint="80"/>
          <w:sz w:val="16"/>
          <w:szCs w:val="16"/>
        </w:rPr>
      </w:pPr>
      <w:r w:rsidRPr="00555250">
        <w:rPr>
          <w:color w:val="7F7F7F" w:themeColor="text1" w:themeTint="80"/>
          <w:sz w:val="16"/>
          <w:szCs w:val="16"/>
        </w:rPr>
        <w:t xml:space="preserve">Source: </w:t>
      </w:r>
      <w:proofErr w:type="spellStart"/>
      <w:r w:rsidR="004C5B27">
        <w:rPr>
          <w:color w:val="7F7F7F" w:themeColor="text1" w:themeTint="80"/>
          <w:sz w:val="16"/>
          <w:szCs w:val="16"/>
        </w:rPr>
        <w:t>Circana</w:t>
      </w:r>
      <w:proofErr w:type="spellEnd"/>
      <w:r w:rsidR="004C5B27">
        <w:rPr>
          <w:color w:val="7F7F7F" w:themeColor="text1" w:themeTint="80"/>
          <w:sz w:val="16"/>
          <w:szCs w:val="16"/>
        </w:rPr>
        <w:t xml:space="preserve">, </w:t>
      </w:r>
      <w:r w:rsidRPr="00555250">
        <w:rPr>
          <w:color w:val="7F7F7F" w:themeColor="text1" w:themeTint="80"/>
          <w:sz w:val="16"/>
          <w:szCs w:val="16"/>
        </w:rPr>
        <w:t xml:space="preserve">Integrated Fresh, MULO, </w:t>
      </w:r>
      <w:r w:rsidR="00A657C4">
        <w:rPr>
          <w:color w:val="7F7F7F" w:themeColor="text1" w:themeTint="80"/>
          <w:sz w:val="16"/>
          <w:szCs w:val="16"/>
        </w:rPr>
        <w:t xml:space="preserve">YTD and </w:t>
      </w:r>
      <w:r w:rsidR="007D30DA">
        <w:rPr>
          <w:color w:val="7F7F7F" w:themeColor="text1" w:themeTint="80"/>
          <w:sz w:val="16"/>
          <w:szCs w:val="16"/>
        </w:rPr>
        <w:t>4</w:t>
      </w:r>
      <w:r w:rsidRPr="00555250">
        <w:rPr>
          <w:color w:val="7F7F7F" w:themeColor="text1" w:themeTint="80"/>
          <w:sz w:val="16"/>
          <w:szCs w:val="16"/>
        </w:rPr>
        <w:t xml:space="preserve"> weeks ending </w:t>
      </w:r>
      <w:r w:rsidR="001A2890">
        <w:rPr>
          <w:color w:val="7F7F7F" w:themeColor="text1" w:themeTint="80"/>
          <w:sz w:val="16"/>
          <w:szCs w:val="16"/>
        </w:rPr>
        <w:t>4/21/2024</w:t>
      </w:r>
    </w:p>
    <w:p w14:paraId="6CBB9CA7" w14:textId="00F915EB" w:rsidR="0094219B" w:rsidRDefault="0094219B" w:rsidP="00472B02">
      <w:pPr>
        <w:pStyle w:val="NoSpacing"/>
      </w:pPr>
    </w:p>
    <w:p w14:paraId="6ECA980F" w14:textId="1C95F143" w:rsidR="005C6AEE" w:rsidRPr="00927EAC" w:rsidRDefault="005C6AEE" w:rsidP="00927EAC">
      <w:pPr>
        <w:pStyle w:val="Heading2"/>
        <w:rPr>
          <w:b/>
          <w:bCs/>
          <w:color w:val="ED7D31" w:themeColor="accent2"/>
        </w:rPr>
      </w:pPr>
      <w:r w:rsidRPr="00927EAC">
        <w:rPr>
          <w:b/>
          <w:bCs/>
          <w:color w:val="ED7D31" w:themeColor="accent2"/>
        </w:rPr>
        <w:t>Performance by segment</w:t>
      </w:r>
    </w:p>
    <w:p w14:paraId="3F555681" w14:textId="2C86A378" w:rsidR="00927EAC" w:rsidRDefault="004B7951" w:rsidP="00927EAC">
      <w:pPr>
        <w:pStyle w:val="NoSpacing"/>
      </w:pPr>
      <w:r>
        <w:t>W</w:t>
      </w:r>
      <w:r w:rsidR="00927EAC">
        <w:t>hite mushrooms represent</w:t>
      </w:r>
      <w:r w:rsidR="00461D8C">
        <w:t>ed</w:t>
      </w:r>
      <w:r w:rsidR="00927EAC">
        <w:t xml:space="preserve"> </w:t>
      </w:r>
      <w:r w:rsidR="00C3750A">
        <w:t>5</w:t>
      </w:r>
      <w:r w:rsidR="00B67414">
        <w:t>3.0</w:t>
      </w:r>
      <w:r w:rsidR="00927EAC">
        <w:t xml:space="preserve">% of </w:t>
      </w:r>
      <w:r w:rsidR="004C1DB1">
        <w:t>mushroom dollars</w:t>
      </w:r>
      <w:r w:rsidR="00927EAC">
        <w:t xml:space="preserve"> and </w:t>
      </w:r>
      <w:r w:rsidR="00C3750A">
        <w:t>5</w:t>
      </w:r>
      <w:r w:rsidR="00B67414">
        <w:t>9.4</w:t>
      </w:r>
      <w:r w:rsidR="00AB019A">
        <w:t>%</w:t>
      </w:r>
      <w:r w:rsidR="00927EAC">
        <w:t xml:space="preserve"> of pounds</w:t>
      </w:r>
      <w:r w:rsidR="00AC2C09">
        <w:t xml:space="preserve"> in</w:t>
      </w:r>
      <w:r>
        <w:t xml:space="preserve"> the four</w:t>
      </w:r>
      <w:r w:rsidR="00461D8C">
        <w:t>-week period</w:t>
      </w:r>
      <w:r w:rsidR="00927EAC">
        <w:t xml:space="preserve">. </w:t>
      </w:r>
      <w:r w:rsidR="00B67414">
        <w:t xml:space="preserve">These shares are slightly higher than during typical quad weeks. </w:t>
      </w:r>
      <w:proofErr w:type="spellStart"/>
      <w:r w:rsidR="00157136">
        <w:t>Crimini</w:t>
      </w:r>
      <w:proofErr w:type="spellEnd"/>
      <w:r w:rsidR="00157136">
        <w:t xml:space="preserve"> mushrooms are the next largest seller</w:t>
      </w:r>
      <w:r w:rsidR="00B67414">
        <w:t xml:space="preserve"> and had </w:t>
      </w:r>
      <w:r w:rsidR="00157136">
        <w:t xml:space="preserve">a better year-on-year volume performance in comparison to white mushrooms. </w:t>
      </w:r>
      <w:proofErr w:type="spellStart"/>
      <w:r w:rsidR="00B67414">
        <w:t>Crimini</w:t>
      </w:r>
      <w:proofErr w:type="spellEnd"/>
      <w:r w:rsidR="00B67414">
        <w:t xml:space="preserve"> mushrooms experienced an increase in pounds and dollars compared to 2022 sales. </w:t>
      </w:r>
    </w:p>
    <w:p w14:paraId="29B3DB23" w14:textId="73EA9AE3" w:rsidR="00B25DFD" w:rsidRDefault="00B25DFD" w:rsidP="00927EAC">
      <w:pPr>
        <w:pStyle w:val="NoSpacing"/>
      </w:pPr>
    </w:p>
    <w:tbl>
      <w:tblPr>
        <w:tblStyle w:val="ListTable3-Accent2"/>
        <w:tblW w:w="10615" w:type="dxa"/>
        <w:tblLayout w:type="fixed"/>
        <w:tblLook w:val="0400" w:firstRow="0" w:lastRow="0" w:firstColumn="0" w:lastColumn="0" w:noHBand="0" w:noVBand="1"/>
      </w:tblPr>
      <w:tblGrid>
        <w:gridCol w:w="2547"/>
        <w:gridCol w:w="1168"/>
        <w:gridCol w:w="882"/>
        <w:gridCol w:w="991"/>
        <w:gridCol w:w="972"/>
        <w:gridCol w:w="927"/>
        <w:gridCol w:w="1117"/>
        <w:gridCol w:w="1047"/>
        <w:gridCol w:w="964"/>
      </w:tblGrid>
      <w:tr w:rsidR="00A43A45" w:rsidRPr="00B25DFD" w14:paraId="66036A96" w14:textId="09558220" w:rsidTr="003305B1">
        <w:trPr>
          <w:cnfStyle w:val="000000100000" w:firstRow="0" w:lastRow="0" w:firstColumn="0" w:lastColumn="0" w:oddVBand="0" w:evenVBand="0" w:oddHBand="1" w:evenHBand="0" w:firstRowFirstColumn="0" w:firstRowLastColumn="0" w:lastRowFirstColumn="0" w:lastRowLastColumn="0"/>
          <w:trHeight w:val="20"/>
        </w:trPr>
        <w:tc>
          <w:tcPr>
            <w:tcW w:w="2547" w:type="dxa"/>
            <w:shd w:val="clear" w:color="auto" w:fill="ED7D31" w:themeFill="accent2"/>
            <w:vAlign w:val="center"/>
            <w:hideMark/>
          </w:tcPr>
          <w:p w14:paraId="4B138C18" w14:textId="3C2C1CEF" w:rsidR="00461D8C" w:rsidRPr="006A7A6E" w:rsidRDefault="00461D8C" w:rsidP="00CE27CF">
            <w:pPr>
              <w:pStyle w:val="NoSpacing"/>
              <w:rPr>
                <w:rFonts w:cstheme="minorHAnsi"/>
                <w:b/>
                <w:bCs/>
                <w:color w:val="FFFFFF" w:themeColor="background1"/>
              </w:rPr>
            </w:pPr>
            <w:bookmarkStart w:id="0" w:name="_Hlk97115006"/>
            <w:r w:rsidRPr="006A7A6E">
              <w:rPr>
                <w:rFonts w:cstheme="minorHAnsi"/>
                <w:b/>
                <w:bCs/>
                <w:color w:val="FFFFFF" w:themeColor="background1"/>
              </w:rPr>
              <w:t xml:space="preserve">4 weeks ending </w:t>
            </w:r>
            <w:r w:rsidR="001A2890">
              <w:rPr>
                <w:rFonts w:cstheme="minorHAnsi"/>
                <w:b/>
                <w:bCs/>
                <w:color w:val="FFFFFF" w:themeColor="background1"/>
              </w:rPr>
              <w:t>4/21/2024</w:t>
            </w:r>
          </w:p>
        </w:tc>
        <w:tc>
          <w:tcPr>
            <w:tcW w:w="1168" w:type="dxa"/>
            <w:shd w:val="clear" w:color="auto" w:fill="ED7D31" w:themeFill="accent2"/>
            <w:hideMark/>
          </w:tcPr>
          <w:p w14:paraId="47F253CD" w14:textId="6F53405A" w:rsidR="00461D8C" w:rsidRPr="006A7A6E" w:rsidRDefault="00461D8C" w:rsidP="00CE27CF">
            <w:pPr>
              <w:pStyle w:val="NoSpacing"/>
              <w:jc w:val="right"/>
              <w:rPr>
                <w:rFonts w:cstheme="minorHAnsi"/>
                <w:b/>
                <w:bCs/>
                <w:color w:val="FFFFFF" w:themeColor="background1"/>
              </w:rPr>
            </w:pPr>
            <w:r w:rsidRPr="006A7A6E">
              <w:rPr>
                <w:rFonts w:cstheme="minorHAnsi"/>
                <w:b/>
                <w:bCs/>
                <w:color w:val="FFFFFF" w:themeColor="background1"/>
              </w:rPr>
              <w:t>Dollars</w:t>
            </w:r>
          </w:p>
        </w:tc>
        <w:tc>
          <w:tcPr>
            <w:tcW w:w="882" w:type="dxa"/>
            <w:shd w:val="clear" w:color="auto" w:fill="ED7D31" w:themeFill="accent2"/>
          </w:tcPr>
          <w:p w14:paraId="385A94D8" w14:textId="1A4D75AA" w:rsidR="00461D8C" w:rsidRPr="006A7A6E" w:rsidRDefault="00D8225F" w:rsidP="00CE27CF">
            <w:pPr>
              <w:pStyle w:val="NoSpacing"/>
              <w:jc w:val="right"/>
              <w:rPr>
                <w:rFonts w:cstheme="minorHAnsi"/>
                <w:b/>
                <w:bCs/>
                <w:color w:val="FFFFFF" w:themeColor="background1"/>
              </w:rPr>
            </w:pPr>
            <w:r>
              <w:rPr>
                <w:rFonts w:cstheme="minorHAnsi"/>
                <w:b/>
                <w:bCs/>
                <w:color w:val="FFFFFF" w:themeColor="background1"/>
              </w:rPr>
              <w:t>Dollar s</w:t>
            </w:r>
            <w:r w:rsidR="00461D8C">
              <w:rPr>
                <w:rFonts w:cstheme="minorHAnsi"/>
                <w:b/>
                <w:bCs/>
                <w:color w:val="FFFFFF" w:themeColor="background1"/>
              </w:rPr>
              <w:t>hare</w:t>
            </w:r>
          </w:p>
        </w:tc>
        <w:tc>
          <w:tcPr>
            <w:tcW w:w="991" w:type="dxa"/>
            <w:shd w:val="clear" w:color="auto" w:fill="ED7D31" w:themeFill="accent2"/>
            <w:hideMark/>
          </w:tcPr>
          <w:p w14:paraId="3685CC92" w14:textId="447AACD7" w:rsidR="00461D8C" w:rsidRPr="006A7A6E" w:rsidRDefault="00D8225F" w:rsidP="00CE27CF">
            <w:pPr>
              <w:pStyle w:val="NoSpacing"/>
              <w:jc w:val="right"/>
              <w:rPr>
                <w:rFonts w:cstheme="minorHAnsi"/>
                <w:b/>
                <w:bCs/>
                <w:color w:val="FFFFFF" w:themeColor="background1"/>
              </w:rPr>
            </w:pPr>
            <w:r>
              <w:rPr>
                <w:rFonts w:cstheme="minorHAnsi"/>
                <w:b/>
                <w:bCs/>
                <w:color w:val="FFFFFF" w:themeColor="background1"/>
              </w:rPr>
              <w:t>$ sales v</w:t>
            </w:r>
            <w:r w:rsidR="00461D8C" w:rsidRPr="006A7A6E">
              <w:rPr>
                <w:rFonts w:cstheme="minorHAnsi"/>
                <w:b/>
                <w:bCs/>
                <w:color w:val="FFFFFF" w:themeColor="background1"/>
              </w:rPr>
              <w:t xml:space="preserve">s. </w:t>
            </w:r>
            <w:r w:rsidR="001E7C8B">
              <w:rPr>
                <w:rFonts w:cstheme="minorHAnsi"/>
                <w:b/>
                <w:bCs/>
                <w:color w:val="FFFFFF" w:themeColor="background1"/>
              </w:rPr>
              <w:t>2023</w:t>
            </w:r>
          </w:p>
        </w:tc>
        <w:tc>
          <w:tcPr>
            <w:tcW w:w="972" w:type="dxa"/>
            <w:tcBorders>
              <w:right w:val="single" w:sz="4" w:space="0" w:color="ED7D31"/>
            </w:tcBorders>
            <w:shd w:val="clear" w:color="auto" w:fill="ED7D31" w:themeFill="accent2"/>
            <w:hideMark/>
          </w:tcPr>
          <w:p w14:paraId="4605C27F" w14:textId="085E6CF3" w:rsidR="00461D8C" w:rsidRPr="006A7A6E" w:rsidRDefault="00D8225F" w:rsidP="00CE27CF">
            <w:pPr>
              <w:pStyle w:val="NoSpacing"/>
              <w:jc w:val="right"/>
              <w:rPr>
                <w:rFonts w:cstheme="minorHAnsi"/>
                <w:b/>
                <w:bCs/>
                <w:color w:val="FFFFFF" w:themeColor="background1"/>
              </w:rPr>
            </w:pPr>
            <w:r>
              <w:rPr>
                <w:rFonts w:cstheme="minorHAnsi"/>
                <w:b/>
                <w:bCs/>
                <w:color w:val="FFFFFF" w:themeColor="background1"/>
              </w:rPr>
              <w:t>$ sales v</w:t>
            </w:r>
            <w:r w:rsidR="00461D8C" w:rsidRPr="006A7A6E">
              <w:rPr>
                <w:rFonts w:cstheme="minorHAnsi"/>
                <w:b/>
                <w:bCs/>
                <w:color w:val="FFFFFF" w:themeColor="background1"/>
              </w:rPr>
              <w:t xml:space="preserve">s. </w:t>
            </w:r>
            <w:r w:rsidR="001E7C8B">
              <w:rPr>
                <w:rFonts w:cstheme="minorHAnsi"/>
                <w:b/>
                <w:bCs/>
                <w:color w:val="FFFFFF" w:themeColor="background1"/>
              </w:rPr>
              <w:t>202</w:t>
            </w:r>
            <w:r w:rsidR="00B67414">
              <w:rPr>
                <w:rFonts w:cstheme="minorHAnsi"/>
                <w:b/>
                <w:bCs/>
                <w:color w:val="FFFFFF" w:themeColor="background1"/>
              </w:rPr>
              <w:t>2</w:t>
            </w:r>
          </w:p>
        </w:tc>
        <w:tc>
          <w:tcPr>
            <w:tcW w:w="927" w:type="dxa"/>
            <w:tcBorders>
              <w:left w:val="single" w:sz="4" w:space="0" w:color="ED7D31"/>
            </w:tcBorders>
            <w:shd w:val="clear" w:color="auto" w:fill="ED7D31" w:themeFill="accent2"/>
          </w:tcPr>
          <w:p w14:paraId="306DC338" w14:textId="78470F88" w:rsidR="00461D8C" w:rsidRPr="006A7A6E" w:rsidRDefault="00461D8C" w:rsidP="00CE27CF">
            <w:pPr>
              <w:pStyle w:val="NoSpacing"/>
              <w:jc w:val="right"/>
              <w:rPr>
                <w:rFonts w:cstheme="minorHAnsi"/>
                <w:b/>
                <w:bCs/>
                <w:color w:val="FFFFFF" w:themeColor="background1"/>
              </w:rPr>
            </w:pPr>
            <w:r w:rsidRPr="006A7A6E">
              <w:rPr>
                <w:rFonts w:cstheme="minorHAnsi"/>
                <w:b/>
                <w:bCs/>
                <w:color w:val="FFFFFF" w:themeColor="background1"/>
              </w:rPr>
              <w:t>Volume</w:t>
            </w:r>
            <w:r w:rsidR="00D8225F">
              <w:rPr>
                <w:rFonts w:cstheme="minorHAnsi"/>
                <w:b/>
                <w:bCs/>
                <w:color w:val="FFFFFF" w:themeColor="background1"/>
              </w:rPr>
              <w:t xml:space="preserve"> (</w:t>
            </w:r>
            <w:proofErr w:type="spellStart"/>
            <w:r w:rsidR="00D8225F">
              <w:rPr>
                <w:rFonts w:cstheme="minorHAnsi"/>
                <w:b/>
                <w:bCs/>
                <w:color w:val="FFFFFF" w:themeColor="background1"/>
              </w:rPr>
              <w:t>lbs</w:t>
            </w:r>
            <w:proofErr w:type="spellEnd"/>
            <w:r w:rsidR="00D8225F">
              <w:rPr>
                <w:rFonts w:cstheme="minorHAnsi"/>
                <w:b/>
                <w:bCs/>
                <w:color w:val="FFFFFF" w:themeColor="background1"/>
              </w:rPr>
              <w:t>)</w:t>
            </w:r>
          </w:p>
        </w:tc>
        <w:tc>
          <w:tcPr>
            <w:tcW w:w="1117" w:type="dxa"/>
            <w:shd w:val="clear" w:color="auto" w:fill="ED7D31" w:themeFill="accent2"/>
          </w:tcPr>
          <w:p w14:paraId="782C6C5A" w14:textId="3EB1CA01" w:rsidR="00D8225F" w:rsidRDefault="00D8225F" w:rsidP="00CE27CF">
            <w:pPr>
              <w:pStyle w:val="NoSpacing"/>
              <w:jc w:val="right"/>
              <w:rPr>
                <w:rFonts w:cstheme="minorHAnsi"/>
                <w:b/>
                <w:bCs/>
                <w:color w:val="FFFFFF" w:themeColor="background1"/>
              </w:rPr>
            </w:pPr>
            <w:proofErr w:type="spellStart"/>
            <w:r>
              <w:rPr>
                <w:rFonts w:cstheme="minorHAnsi"/>
                <w:b/>
                <w:bCs/>
                <w:color w:val="FFFFFF" w:themeColor="background1"/>
              </w:rPr>
              <w:t>Lbs</w:t>
            </w:r>
            <w:proofErr w:type="spellEnd"/>
          </w:p>
          <w:p w14:paraId="60FA614A" w14:textId="53D11403" w:rsidR="00461D8C" w:rsidRPr="006A7A6E" w:rsidRDefault="00D8225F" w:rsidP="00CE27CF">
            <w:pPr>
              <w:pStyle w:val="NoSpacing"/>
              <w:jc w:val="right"/>
              <w:rPr>
                <w:rFonts w:cstheme="minorHAnsi"/>
                <w:b/>
                <w:bCs/>
                <w:color w:val="FFFFFF" w:themeColor="background1"/>
              </w:rPr>
            </w:pPr>
            <w:r>
              <w:rPr>
                <w:rFonts w:cstheme="minorHAnsi"/>
                <w:b/>
                <w:bCs/>
                <w:color w:val="FFFFFF" w:themeColor="background1"/>
              </w:rPr>
              <w:t>s</w:t>
            </w:r>
            <w:r w:rsidR="00461D8C">
              <w:rPr>
                <w:rFonts w:cstheme="minorHAnsi"/>
                <w:b/>
                <w:bCs/>
                <w:color w:val="FFFFFF" w:themeColor="background1"/>
              </w:rPr>
              <w:t>hare</w:t>
            </w:r>
          </w:p>
        </w:tc>
        <w:tc>
          <w:tcPr>
            <w:tcW w:w="1047" w:type="dxa"/>
            <w:shd w:val="clear" w:color="auto" w:fill="ED7D31" w:themeFill="accent2"/>
          </w:tcPr>
          <w:p w14:paraId="7DE6FAA8" w14:textId="0F8EE215" w:rsidR="00461D8C" w:rsidRPr="006A7A6E" w:rsidRDefault="00D8225F" w:rsidP="00CE27CF">
            <w:pPr>
              <w:pStyle w:val="NoSpacing"/>
              <w:jc w:val="right"/>
              <w:rPr>
                <w:rFonts w:cstheme="minorHAnsi"/>
                <w:b/>
                <w:bCs/>
                <w:color w:val="FFFFFF" w:themeColor="background1"/>
              </w:rPr>
            </w:pPr>
            <w:proofErr w:type="spellStart"/>
            <w:r>
              <w:rPr>
                <w:rFonts w:cstheme="minorHAnsi"/>
                <w:b/>
                <w:bCs/>
                <w:color w:val="FFFFFF" w:themeColor="background1"/>
              </w:rPr>
              <w:t>Lbs</w:t>
            </w:r>
            <w:proofErr w:type="spellEnd"/>
            <w:r>
              <w:rPr>
                <w:rFonts w:cstheme="minorHAnsi"/>
                <w:b/>
                <w:bCs/>
                <w:color w:val="FFFFFF" w:themeColor="background1"/>
              </w:rPr>
              <w:t xml:space="preserve"> </w:t>
            </w:r>
            <w:r>
              <w:rPr>
                <w:rFonts w:cstheme="minorHAnsi"/>
                <w:b/>
                <w:bCs/>
                <w:color w:val="FFFFFF" w:themeColor="background1"/>
              </w:rPr>
              <w:br/>
              <w:t>v</w:t>
            </w:r>
            <w:r w:rsidR="00461D8C" w:rsidRPr="006A7A6E">
              <w:rPr>
                <w:rFonts w:cstheme="minorHAnsi"/>
                <w:b/>
                <w:bCs/>
                <w:color w:val="FFFFFF" w:themeColor="background1"/>
              </w:rPr>
              <w:t xml:space="preserve">s. </w:t>
            </w:r>
            <w:r w:rsidR="001E7C8B">
              <w:rPr>
                <w:rFonts w:cstheme="minorHAnsi"/>
                <w:b/>
                <w:bCs/>
                <w:color w:val="FFFFFF" w:themeColor="background1"/>
              </w:rPr>
              <w:t>2023</w:t>
            </w:r>
          </w:p>
        </w:tc>
        <w:tc>
          <w:tcPr>
            <w:tcW w:w="964" w:type="dxa"/>
            <w:shd w:val="clear" w:color="auto" w:fill="ED7D31" w:themeFill="accent2"/>
          </w:tcPr>
          <w:p w14:paraId="212AEB88" w14:textId="2467392E" w:rsidR="00461D8C" w:rsidRPr="006A7A6E" w:rsidRDefault="00D8225F" w:rsidP="00CE27CF">
            <w:pPr>
              <w:pStyle w:val="NoSpacing"/>
              <w:jc w:val="right"/>
              <w:rPr>
                <w:rFonts w:cstheme="minorHAnsi"/>
                <w:b/>
                <w:bCs/>
                <w:color w:val="FFFFFF" w:themeColor="background1"/>
              </w:rPr>
            </w:pPr>
            <w:proofErr w:type="spellStart"/>
            <w:r>
              <w:rPr>
                <w:rFonts w:cstheme="minorHAnsi"/>
                <w:b/>
                <w:bCs/>
                <w:color w:val="FFFFFF" w:themeColor="background1"/>
              </w:rPr>
              <w:t>Lbs</w:t>
            </w:r>
            <w:proofErr w:type="spellEnd"/>
            <w:r>
              <w:rPr>
                <w:rFonts w:cstheme="minorHAnsi"/>
                <w:b/>
                <w:bCs/>
                <w:color w:val="FFFFFF" w:themeColor="background1"/>
              </w:rPr>
              <w:t xml:space="preserve"> v</w:t>
            </w:r>
            <w:r w:rsidR="00461D8C" w:rsidRPr="006A7A6E">
              <w:rPr>
                <w:rFonts w:cstheme="minorHAnsi"/>
                <w:b/>
                <w:bCs/>
                <w:color w:val="FFFFFF" w:themeColor="background1"/>
              </w:rPr>
              <w:t xml:space="preserve">s. </w:t>
            </w:r>
            <w:r w:rsidR="001E7C8B">
              <w:rPr>
                <w:rFonts w:cstheme="minorHAnsi"/>
                <w:b/>
                <w:bCs/>
                <w:color w:val="FFFFFF" w:themeColor="background1"/>
              </w:rPr>
              <w:t>202</w:t>
            </w:r>
            <w:r w:rsidR="00B67414">
              <w:rPr>
                <w:rFonts w:cstheme="minorHAnsi"/>
                <w:b/>
                <w:bCs/>
                <w:color w:val="FFFFFF" w:themeColor="background1"/>
              </w:rPr>
              <w:t>2</w:t>
            </w:r>
          </w:p>
        </w:tc>
      </w:tr>
      <w:tr w:rsidR="00024D78" w:rsidRPr="00B25DFD" w14:paraId="69D4AA5B" w14:textId="069A747C" w:rsidTr="00BC2163">
        <w:trPr>
          <w:trHeight w:val="20"/>
        </w:trPr>
        <w:tc>
          <w:tcPr>
            <w:tcW w:w="2547" w:type="dxa"/>
            <w:vAlign w:val="center"/>
            <w:hideMark/>
          </w:tcPr>
          <w:p w14:paraId="2C1CDE46" w14:textId="178D4679" w:rsidR="00024D78" w:rsidRPr="006A7A6E" w:rsidRDefault="00024D78" w:rsidP="00024D78">
            <w:pPr>
              <w:rPr>
                <w:rFonts w:cstheme="minorHAnsi"/>
                <w:b/>
                <w:bCs/>
              </w:rPr>
            </w:pPr>
            <w:r>
              <w:rPr>
                <w:rFonts w:cstheme="minorHAnsi"/>
                <w:b/>
                <w:bCs/>
              </w:rPr>
              <w:t>Total f</w:t>
            </w:r>
            <w:r w:rsidRPr="006A7A6E">
              <w:rPr>
                <w:rFonts w:cstheme="minorHAnsi"/>
                <w:b/>
                <w:bCs/>
              </w:rPr>
              <w:t>resh mushrooms</w:t>
            </w:r>
          </w:p>
        </w:tc>
        <w:tc>
          <w:tcPr>
            <w:tcW w:w="1168" w:type="dxa"/>
            <w:vAlign w:val="center"/>
            <w:hideMark/>
          </w:tcPr>
          <w:p w14:paraId="6A87FED7" w14:textId="1D4776E7" w:rsidR="00024D78" w:rsidRPr="00B67414" w:rsidRDefault="00024D78" w:rsidP="00024D78">
            <w:pPr>
              <w:pStyle w:val="NoSpacing"/>
              <w:jc w:val="right"/>
              <w:rPr>
                <w:rFonts w:cstheme="minorHAnsi"/>
                <w:b/>
                <w:bCs/>
              </w:rPr>
            </w:pPr>
            <w:r w:rsidRPr="00B67414">
              <w:rPr>
                <w:rFonts w:cstheme="minorHAnsi"/>
                <w:b/>
                <w:bCs/>
                <w:sz w:val="20"/>
                <w:szCs w:val="20"/>
              </w:rPr>
              <w:t>$103.0M</w:t>
            </w:r>
          </w:p>
        </w:tc>
        <w:tc>
          <w:tcPr>
            <w:tcW w:w="882" w:type="dxa"/>
            <w:vAlign w:val="center"/>
          </w:tcPr>
          <w:p w14:paraId="3A01C257" w14:textId="61076550" w:rsidR="00024D78" w:rsidRPr="00B67414" w:rsidRDefault="00024D78" w:rsidP="00024D78">
            <w:pPr>
              <w:pStyle w:val="NoSpacing"/>
              <w:jc w:val="right"/>
              <w:rPr>
                <w:rFonts w:cstheme="minorHAnsi"/>
                <w:b/>
                <w:bCs/>
                <w:color w:val="000000" w:themeColor="text1"/>
              </w:rPr>
            </w:pPr>
            <w:r w:rsidRPr="00B67414">
              <w:rPr>
                <w:rFonts w:cstheme="minorHAnsi"/>
                <w:b/>
                <w:bCs/>
                <w:sz w:val="20"/>
                <w:szCs w:val="20"/>
              </w:rPr>
              <w:t>100.0%</w:t>
            </w:r>
          </w:p>
        </w:tc>
        <w:tc>
          <w:tcPr>
            <w:tcW w:w="991" w:type="dxa"/>
            <w:vAlign w:val="center"/>
            <w:hideMark/>
          </w:tcPr>
          <w:p w14:paraId="7E486F05" w14:textId="7A943B56" w:rsidR="00024D78" w:rsidRPr="00B67414" w:rsidRDefault="00024D78" w:rsidP="00024D78">
            <w:pPr>
              <w:pStyle w:val="NoSpacing"/>
              <w:jc w:val="right"/>
              <w:rPr>
                <w:rFonts w:cstheme="minorHAnsi"/>
                <w:b/>
                <w:bCs/>
              </w:rPr>
            </w:pPr>
            <w:r w:rsidRPr="00B67414">
              <w:rPr>
                <w:rFonts w:cstheme="minorHAnsi"/>
                <w:b/>
                <w:bCs/>
                <w:sz w:val="20"/>
                <w:szCs w:val="20"/>
              </w:rPr>
              <w:t>-2.8%</w:t>
            </w:r>
          </w:p>
        </w:tc>
        <w:tc>
          <w:tcPr>
            <w:tcW w:w="972" w:type="dxa"/>
            <w:tcBorders>
              <w:right w:val="single" w:sz="4" w:space="0" w:color="ED7D31"/>
            </w:tcBorders>
            <w:vAlign w:val="center"/>
            <w:hideMark/>
          </w:tcPr>
          <w:p w14:paraId="3BD808C1" w14:textId="6626CF53" w:rsidR="00024D78" w:rsidRPr="00B67414" w:rsidRDefault="00024D78" w:rsidP="00024D78">
            <w:pPr>
              <w:pStyle w:val="NoSpacing"/>
              <w:jc w:val="right"/>
              <w:rPr>
                <w:rFonts w:cstheme="minorHAnsi"/>
                <w:b/>
                <w:bCs/>
              </w:rPr>
            </w:pPr>
            <w:r w:rsidRPr="00B67414">
              <w:rPr>
                <w:rFonts w:cstheme="minorHAnsi"/>
                <w:b/>
                <w:bCs/>
                <w:sz w:val="20"/>
                <w:szCs w:val="20"/>
              </w:rPr>
              <w:t>-</w:t>
            </w:r>
            <w:r w:rsidR="00B67414" w:rsidRPr="00B67414">
              <w:rPr>
                <w:rFonts w:cstheme="minorHAnsi"/>
                <w:b/>
                <w:bCs/>
                <w:sz w:val="20"/>
                <w:szCs w:val="20"/>
              </w:rPr>
              <w:t>4.5</w:t>
            </w:r>
            <w:r w:rsidRPr="00B67414">
              <w:rPr>
                <w:rFonts w:cstheme="minorHAnsi"/>
                <w:b/>
                <w:bCs/>
                <w:sz w:val="20"/>
                <w:szCs w:val="20"/>
              </w:rPr>
              <w:t>%</w:t>
            </w:r>
          </w:p>
        </w:tc>
        <w:tc>
          <w:tcPr>
            <w:tcW w:w="927" w:type="dxa"/>
            <w:tcBorders>
              <w:left w:val="single" w:sz="4" w:space="0" w:color="ED7D31"/>
            </w:tcBorders>
            <w:vAlign w:val="center"/>
          </w:tcPr>
          <w:p w14:paraId="6E7375BC" w14:textId="163BC7EA" w:rsidR="00024D78" w:rsidRPr="00B67414" w:rsidRDefault="00B67414" w:rsidP="00024D78">
            <w:pPr>
              <w:pStyle w:val="NoSpacing"/>
              <w:jc w:val="right"/>
              <w:rPr>
                <w:rFonts w:cstheme="minorHAnsi"/>
                <w:b/>
                <w:bCs/>
              </w:rPr>
            </w:pPr>
            <w:r w:rsidRPr="00B67414">
              <w:rPr>
                <w:rFonts w:cstheme="minorHAnsi"/>
                <w:b/>
                <w:bCs/>
                <w:sz w:val="20"/>
                <w:szCs w:val="20"/>
              </w:rPr>
              <w:t>22.7</w:t>
            </w:r>
            <w:r w:rsidR="00024D78" w:rsidRPr="00B67414">
              <w:rPr>
                <w:rFonts w:cstheme="minorHAnsi"/>
                <w:b/>
                <w:bCs/>
                <w:sz w:val="20"/>
                <w:szCs w:val="20"/>
              </w:rPr>
              <w:t>M</w:t>
            </w:r>
          </w:p>
        </w:tc>
        <w:tc>
          <w:tcPr>
            <w:tcW w:w="1117" w:type="dxa"/>
            <w:vAlign w:val="center"/>
          </w:tcPr>
          <w:p w14:paraId="62317D86" w14:textId="461952A8" w:rsidR="00024D78" w:rsidRPr="00B67414" w:rsidRDefault="00B67414" w:rsidP="00024D78">
            <w:pPr>
              <w:pStyle w:val="NoSpacing"/>
              <w:jc w:val="right"/>
              <w:rPr>
                <w:rFonts w:cstheme="minorHAnsi"/>
                <w:b/>
                <w:bCs/>
                <w:color w:val="000000" w:themeColor="text1"/>
              </w:rPr>
            </w:pPr>
            <w:r w:rsidRPr="00B67414">
              <w:rPr>
                <w:rFonts w:cstheme="minorHAnsi"/>
                <w:b/>
                <w:bCs/>
                <w:sz w:val="20"/>
                <w:szCs w:val="20"/>
              </w:rPr>
              <w:t>100.0</w:t>
            </w:r>
            <w:r w:rsidR="00024D78" w:rsidRPr="00B67414">
              <w:rPr>
                <w:rFonts w:cstheme="minorHAnsi"/>
                <w:b/>
                <w:bCs/>
                <w:sz w:val="20"/>
                <w:szCs w:val="20"/>
              </w:rPr>
              <w:t>%</w:t>
            </w:r>
          </w:p>
        </w:tc>
        <w:tc>
          <w:tcPr>
            <w:tcW w:w="1047" w:type="dxa"/>
            <w:vAlign w:val="center"/>
          </w:tcPr>
          <w:p w14:paraId="5E78B271" w14:textId="277EA91D" w:rsidR="00024D78" w:rsidRPr="00B67414" w:rsidRDefault="00024D78" w:rsidP="00024D78">
            <w:pPr>
              <w:pStyle w:val="NoSpacing"/>
              <w:jc w:val="right"/>
              <w:rPr>
                <w:rFonts w:cstheme="minorHAnsi"/>
                <w:b/>
                <w:bCs/>
              </w:rPr>
            </w:pPr>
            <w:r w:rsidRPr="00B67414">
              <w:rPr>
                <w:rFonts w:cstheme="minorHAnsi"/>
                <w:b/>
                <w:bCs/>
                <w:sz w:val="20"/>
                <w:szCs w:val="20"/>
              </w:rPr>
              <w:t>-</w:t>
            </w:r>
            <w:r w:rsidR="00B67414" w:rsidRPr="00B67414">
              <w:rPr>
                <w:rFonts w:cstheme="minorHAnsi"/>
                <w:b/>
                <w:bCs/>
                <w:sz w:val="20"/>
                <w:szCs w:val="20"/>
              </w:rPr>
              <w:t>3.5</w:t>
            </w:r>
            <w:r w:rsidRPr="00B67414">
              <w:rPr>
                <w:rFonts w:cstheme="minorHAnsi"/>
                <w:b/>
                <w:bCs/>
                <w:sz w:val="20"/>
                <w:szCs w:val="20"/>
              </w:rPr>
              <w:t>%</w:t>
            </w:r>
          </w:p>
        </w:tc>
        <w:tc>
          <w:tcPr>
            <w:tcW w:w="964" w:type="dxa"/>
            <w:vAlign w:val="center"/>
          </w:tcPr>
          <w:p w14:paraId="576290B6" w14:textId="4757B93C" w:rsidR="00024D78" w:rsidRPr="00B67414" w:rsidRDefault="00024D78" w:rsidP="00024D78">
            <w:pPr>
              <w:pStyle w:val="NoSpacing"/>
              <w:jc w:val="right"/>
              <w:rPr>
                <w:rFonts w:cstheme="minorHAnsi"/>
                <w:b/>
                <w:bCs/>
              </w:rPr>
            </w:pPr>
            <w:r w:rsidRPr="00B67414">
              <w:rPr>
                <w:rFonts w:cstheme="minorHAnsi"/>
                <w:b/>
                <w:bCs/>
                <w:sz w:val="20"/>
                <w:szCs w:val="20"/>
              </w:rPr>
              <w:t>-</w:t>
            </w:r>
            <w:r w:rsidR="00B67414" w:rsidRPr="00B67414">
              <w:rPr>
                <w:rFonts w:cstheme="minorHAnsi"/>
                <w:b/>
                <w:bCs/>
                <w:sz w:val="20"/>
                <w:szCs w:val="20"/>
              </w:rPr>
              <w:t>6.4</w:t>
            </w:r>
            <w:r w:rsidRPr="00B67414">
              <w:rPr>
                <w:rFonts w:cstheme="minorHAnsi"/>
                <w:b/>
                <w:bCs/>
                <w:sz w:val="20"/>
                <w:szCs w:val="20"/>
              </w:rPr>
              <w:t>%</w:t>
            </w:r>
          </w:p>
        </w:tc>
      </w:tr>
      <w:tr w:rsidR="00024D78" w:rsidRPr="00B25DFD" w14:paraId="20B4A675" w14:textId="7B567306" w:rsidTr="00BC2163">
        <w:trPr>
          <w:cnfStyle w:val="000000100000" w:firstRow="0" w:lastRow="0" w:firstColumn="0" w:lastColumn="0" w:oddVBand="0" w:evenVBand="0" w:oddHBand="1" w:evenHBand="0" w:firstRowFirstColumn="0" w:firstRowLastColumn="0" w:lastRowFirstColumn="0" w:lastRowLastColumn="0"/>
          <w:trHeight w:val="20"/>
        </w:trPr>
        <w:tc>
          <w:tcPr>
            <w:tcW w:w="2547" w:type="dxa"/>
            <w:vAlign w:val="center"/>
            <w:hideMark/>
          </w:tcPr>
          <w:p w14:paraId="0674F69D" w14:textId="21733F06" w:rsidR="00024D78" w:rsidRPr="006A7A6E" w:rsidRDefault="00024D78" w:rsidP="00024D78">
            <w:pPr>
              <w:rPr>
                <w:rFonts w:cstheme="minorHAnsi"/>
              </w:rPr>
            </w:pPr>
            <w:r w:rsidRPr="006A7A6E">
              <w:rPr>
                <w:rFonts w:cstheme="minorHAnsi"/>
              </w:rPr>
              <w:t>White mushrooms</w:t>
            </w:r>
          </w:p>
        </w:tc>
        <w:tc>
          <w:tcPr>
            <w:tcW w:w="1168" w:type="dxa"/>
            <w:vAlign w:val="center"/>
            <w:hideMark/>
          </w:tcPr>
          <w:p w14:paraId="502595AA" w14:textId="3D970216" w:rsidR="00024D78" w:rsidRPr="00157136" w:rsidRDefault="00024D78" w:rsidP="00024D78">
            <w:pPr>
              <w:pStyle w:val="NoSpacing"/>
              <w:jc w:val="right"/>
              <w:rPr>
                <w:rFonts w:cstheme="minorHAnsi"/>
              </w:rPr>
            </w:pPr>
            <w:r w:rsidRPr="00157136">
              <w:rPr>
                <w:rFonts w:cstheme="minorHAnsi"/>
                <w:sz w:val="20"/>
                <w:szCs w:val="20"/>
              </w:rPr>
              <w:t>$</w:t>
            </w:r>
            <w:r>
              <w:rPr>
                <w:rFonts w:cstheme="minorHAnsi"/>
                <w:sz w:val="20"/>
                <w:szCs w:val="20"/>
              </w:rPr>
              <w:t>54.5M</w:t>
            </w:r>
          </w:p>
        </w:tc>
        <w:tc>
          <w:tcPr>
            <w:tcW w:w="882" w:type="dxa"/>
            <w:vAlign w:val="center"/>
          </w:tcPr>
          <w:p w14:paraId="5E770B3E" w14:textId="48A10094" w:rsidR="00024D78" w:rsidRPr="00157136" w:rsidRDefault="00B67414" w:rsidP="00024D78">
            <w:pPr>
              <w:pStyle w:val="NoSpacing"/>
              <w:jc w:val="right"/>
              <w:rPr>
                <w:rFonts w:cstheme="minorHAnsi"/>
              </w:rPr>
            </w:pPr>
            <w:r>
              <w:rPr>
                <w:rFonts w:cstheme="minorHAnsi"/>
                <w:sz w:val="20"/>
                <w:szCs w:val="20"/>
              </w:rPr>
              <w:t>53.0</w:t>
            </w:r>
            <w:r w:rsidR="00024D78" w:rsidRPr="00157136">
              <w:rPr>
                <w:rFonts w:cstheme="minorHAnsi"/>
                <w:sz w:val="20"/>
                <w:szCs w:val="20"/>
              </w:rPr>
              <w:t>%</w:t>
            </w:r>
          </w:p>
        </w:tc>
        <w:tc>
          <w:tcPr>
            <w:tcW w:w="991" w:type="dxa"/>
            <w:vAlign w:val="center"/>
            <w:hideMark/>
          </w:tcPr>
          <w:p w14:paraId="4CEB702D" w14:textId="7E1A51E1" w:rsidR="00024D78" w:rsidRPr="00157136" w:rsidRDefault="00024D78" w:rsidP="00024D78">
            <w:pPr>
              <w:pStyle w:val="NoSpacing"/>
              <w:jc w:val="right"/>
              <w:rPr>
                <w:rFonts w:cstheme="minorHAnsi"/>
              </w:rPr>
            </w:pPr>
            <w:r>
              <w:rPr>
                <w:rFonts w:cstheme="minorHAnsi"/>
                <w:sz w:val="20"/>
                <w:szCs w:val="20"/>
              </w:rPr>
              <w:t>-2.4</w:t>
            </w:r>
            <w:r w:rsidRPr="00157136">
              <w:rPr>
                <w:rFonts w:cstheme="minorHAnsi"/>
                <w:sz w:val="20"/>
                <w:szCs w:val="20"/>
              </w:rPr>
              <w:t>%</w:t>
            </w:r>
          </w:p>
        </w:tc>
        <w:tc>
          <w:tcPr>
            <w:tcW w:w="972" w:type="dxa"/>
            <w:tcBorders>
              <w:right w:val="single" w:sz="4" w:space="0" w:color="ED7D31"/>
            </w:tcBorders>
            <w:vAlign w:val="center"/>
            <w:hideMark/>
          </w:tcPr>
          <w:p w14:paraId="7F3B4AE1" w14:textId="0F47D817" w:rsidR="00024D78" w:rsidRPr="00157136" w:rsidRDefault="00024D78" w:rsidP="00024D78">
            <w:pPr>
              <w:pStyle w:val="NoSpacing"/>
              <w:jc w:val="right"/>
              <w:rPr>
                <w:rFonts w:cstheme="minorHAnsi"/>
              </w:rPr>
            </w:pPr>
            <w:r w:rsidRPr="00157136">
              <w:rPr>
                <w:rFonts w:cstheme="minorHAnsi"/>
                <w:sz w:val="20"/>
                <w:szCs w:val="20"/>
              </w:rPr>
              <w:t>-</w:t>
            </w:r>
            <w:r w:rsidR="00B67414">
              <w:rPr>
                <w:rFonts w:cstheme="minorHAnsi"/>
                <w:sz w:val="20"/>
                <w:szCs w:val="20"/>
              </w:rPr>
              <w:t>5.5</w:t>
            </w:r>
            <w:r w:rsidRPr="00157136">
              <w:rPr>
                <w:rFonts w:cstheme="minorHAnsi"/>
                <w:sz w:val="20"/>
                <w:szCs w:val="20"/>
              </w:rPr>
              <w:t>%</w:t>
            </w:r>
          </w:p>
        </w:tc>
        <w:tc>
          <w:tcPr>
            <w:tcW w:w="927" w:type="dxa"/>
            <w:tcBorders>
              <w:left w:val="single" w:sz="4" w:space="0" w:color="ED7D31"/>
            </w:tcBorders>
            <w:vAlign w:val="center"/>
          </w:tcPr>
          <w:p w14:paraId="3E87B660" w14:textId="24C9E354" w:rsidR="00024D78" w:rsidRPr="00157136" w:rsidRDefault="00B67414" w:rsidP="00024D78">
            <w:pPr>
              <w:pStyle w:val="NoSpacing"/>
              <w:jc w:val="right"/>
              <w:rPr>
                <w:rFonts w:cstheme="minorHAnsi"/>
              </w:rPr>
            </w:pPr>
            <w:r>
              <w:rPr>
                <w:rFonts w:cstheme="minorHAnsi"/>
                <w:sz w:val="20"/>
                <w:szCs w:val="20"/>
              </w:rPr>
              <w:t>13.5</w:t>
            </w:r>
            <w:r w:rsidR="00024D78">
              <w:rPr>
                <w:rFonts w:cstheme="minorHAnsi"/>
                <w:sz w:val="20"/>
                <w:szCs w:val="20"/>
              </w:rPr>
              <w:t>M</w:t>
            </w:r>
          </w:p>
        </w:tc>
        <w:tc>
          <w:tcPr>
            <w:tcW w:w="1117" w:type="dxa"/>
            <w:vAlign w:val="center"/>
          </w:tcPr>
          <w:p w14:paraId="4385ED4A" w14:textId="3457FE30" w:rsidR="00024D78" w:rsidRPr="00157136" w:rsidRDefault="00B67414" w:rsidP="00024D78">
            <w:pPr>
              <w:pStyle w:val="NoSpacing"/>
              <w:tabs>
                <w:tab w:val="left" w:pos="510"/>
                <w:tab w:val="right" w:pos="674"/>
              </w:tabs>
              <w:jc w:val="right"/>
              <w:rPr>
                <w:rFonts w:cstheme="minorHAnsi"/>
              </w:rPr>
            </w:pPr>
            <w:r>
              <w:rPr>
                <w:rFonts w:cstheme="minorHAnsi"/>
                <w:sz w:val="20"/>
                <w:szCs w:val="20"/>
              </w:rPr>
              <w:t>59.4</w:t>
            </w:r>
            <w:r w:rsidR="00024D78" w:rsidRPr="00157136">
              <w:rPr>
                <w:rFonts w:cstheme="minorHAnsi"/>
                <w:sz w:val="20"/>
                <w:szCs w:val="20"/>
              </w:rPr>
              <w:t>%</w:t>
            </w:r>
          </w:p>
        </w:tc>
        <w:tc>
          <w:tcPr>
            <w:tcW w:w="1047" w:type="dxa"/>
            <w:vAlign w:val="center"/>
          </w:tcPr>
          <w:p w14:paraId="776C4AD3" w14:textId="66399093" w:rsidR="00024D78" w:rsidRPr="00157136" w:rsidRDefault="00024D78" w:rsidP="00024D78">
            <w:pPr>
              <w:pStyle w:val="NoSpacing"/>
              <w:jc w:val="right"/>
              <w:rPr>
                <w:rFonts w:cstheme="minorHAnsi"/>
              </w:rPr>
            </w:pPr>
            <w:r w:rsidRPr="00157136">
              <w:rPr>
                <w:rFonts w:cstheme="minorHAnsi"/>
                <w:sz w:val="20"/>
                <w:szCs w:val="20"/>
              </w:rPr>
              <w:t>-</w:t>
            </w:r>
            <w:r w:rsidR="00B67414">
              <w:rPr>
                <w:rFonts w:cstheme="minorHAnsi"/>
                <w:sz w:val="20"/>
                <w:szCs w:val="20"/>
              </w:rPr>
              <w:t>4.6</w:t>
            </w:r>
            <w:r w:rsidRPr="00157136">
              <w:rPr>
                <w:rFonts w:cstheme="minorHAnsi"/>
                <w:sz w:val="20"/>
                <w:szCs w:val="20"/>
              </w:rPr>
              <w:t>%</w:t>
            </w:r>
          </w:p>
        </w:tc>
        <w:tc>
          <w:tcPr>
            <w:tcW w:w="964" w:type="dxa"/>
            <w:vAlign w:val="center"/>
          </w:tcPr>
          <w:p w14:paraId="107F8B93" w14:textId="1426318D" w:rsidR="00024D78" w:rsidRPr="00157136" w:rsidRDefault="00024D78" w:rsidP="00024D78">
            <w:pPr>
              <w:pStyle w:val="NoSpacing"/>
              <w:jc w:val="right"/>
              <w:rPr>
                <w:rFonts w:cstheme="minorHAnsi"/>
              </w:rPr>
            </w:pPr>
            <w:r w:rsidRPr="00157136">
              <w:rPr>
                <w:rFonts w:cstheme="minorHAnsi"/>
                <w:sz w:val="20"/>
                <w:szCs w:val="20"/>
              </w:rPr>
              <w:t>-</w:t>
            </w:r>
            <w:r w:rsidR="00B67414">
              <w:rPr>
                <w:rFonts w:cstheme="minorHAnsi"/>
                <w:sz w:val="20"/>
                <w:szCs w:val="20"/>
              </w:rPr>
              <w:t>8.6</w:t>
            </w:r>
            <w:r w:rsidRPr="00157136">
              <w:rPr>
                <w:rFonts w:cstheme="minorHAnsi"/>
                <w:sz w:val="20"/>
                <w:szCs w:val="20"/>
              </w:rPr>
              <w:t>%</w:t>
            </w:r>
          </w:p>
        </w:tc>
      </w:tr>
      <w:tr w:rsidR="00024D78" w:rsidRPr="00B25DFD" w14:paraId="6060C93B" w14:textId="081A30E4" w:rsidTr="008D18C9">
        <w:trPr>
          <w:trHeight w:val="20"/>
        </w:trPr>
        <w:tc>
          <w:tcPr>
            <w:tcW w:w="2547" w:type="dxa"/>
            <w:vAlign w:val="center"/>
            <w:hideMark/>
          </w:tcPr>
          <w:p w14:paraId="4D628EC6" w14:textId="0859328D" w:rsidR="00024D78" w:rsidRPr="006A7A6E" w:rsidRDefault="00024D78" w:rsidP="00024D78">
            <w:pPr>
              <w:rPr>
                <w:rFonts w:cstheme="minorHAnsi"/>
              </w:rPr>
            </w:pPr>
            <w:proofErr w:type="spellStart"/>
            <w:r>
              <w:rPr>
                <w:rFonts w:cstheme="minorHAnsi"/>
              </w:rPr>
              <w:t>Crimini</w:t>
            </w:r>
            <w:proofErr w:type="spellEnd"/>
            <w:r w:rsidRPr="006A7A6E">
              <w:rPr>
                <w:rFonts w:cstheme="minorHAnsi"/>
              </w:rPr>
              <w:t xml:space="preserve"> mushrooms</w:t>
            </w:r>
          </w:p>
        </w:tc>
        <w:tc>
          <w:tcPr>
            <w:tcW w:w="1168" w:type="dxa"/>
            <w:vAlign w:val="center"/>
            <w:hideMark/>
          </w:tcPr>
          <w:p w14:paraId="590C2B94" w14:textId="288EC6C8" w:rsidR="00024D78" w:rsidRPr="00157136" w:rsidRDefault="00024D78" w:rsidP="00024D78">
            <w:pPr>
              <w:pStyle w:val="NoSpacing"/>
              <w:jc w:val="right"/>
              <w:rPr>
                <w:rFonts w:cstheme="minorHAnsi"/>
              </w:rPr>
            </w:pPr>
            <w:r w:rsidRPr="00157136">
              <w:rPr>
                <w:rFonts w:cstheme="minorHAnsi"/>
                <w:sz w:val="20"/>
                <w:szCs w:val="20"/>
              </w:rPr>
              <w:t>$</w:t>
            </w:r>
            <w:r>
              <w:rPr>
                <w:rFonts w:cstheme="minorHAnsi"/>
                <w:sz w:val="20"/>
                <w:szCs w:val="20"/>
              </w:rPr>
              <w:t>34.6M</w:t>
            </w:r>
          </w:p>
        </w:tc>
        <w:tc>
          <w:tcPr>
            <w:tcW w:w="882" w:type="dxa"/>
          </w:tcPr>
          <w:p w14:paraId="02395440" w14:textId="185B8EC4" w:rsidR="00024D78" w:rsidRPr="00157136" w:rsidRDefault="00B67414" w:rsidP="00024D78">
            <w:pPr>
              <w:pStyle w:val="NoSpacing"/>
              <w:jc w:val="right"/>
              <w:rPr>
                <w:rFonts w:cstheme="minorHAnsi"/>
              </w:rPr>
            </w:pPr>
            <w:r>
              <w:rPr>
                <w:rFonts w:cstheme="minorHAnsi"/>
                <w:sz w:val="20"/>
                <w:szCs w:val="20"/>
              </w:rPr>
              <w:t>33.6</w:t>
            </w:r>
            <w:r w:rsidR="00024D78" w:rsidRPr="003D78CE">
              <w:rPr>
                <w:rFonts w:cstheme="minorHAnsi"/>
                <w:sz w:val="20"/>
                <w:szCs w:val="20"/>
              </w:rPr>
              <w:t>%</w:t>
            </w:r>
          </w:p>
        </w:tc>
        <w:tc>
          <w:tcPr>
            <w:tcW w:w="991" w:type="dxa"/>
            <w:vAlign w:val="center"/>
            <w:hideMark/>
          </w:tcPr>
          <w:p w14:paraId="42F0AAF3" w14:textId="49262ABE" w:rsidR="00024D78" w:rsidRPr="00157136" w:rsidRDefault="00024D78" w:rsidP="00024D78">
            <w:pPr>
              <w:pStyle w:val="NoSpacing"/>
              <w:jc w:val="right"/>
              <w:rPr>
                <w:rFonts w:cstheme="minorHAnsi"/>
              </w:rPr>
            </w:pPr>
            <w:r>
              <w:rPr>
                <w:rFonts w:cstheme="minorHAnsi"/>
                <w:sz w:val="20"/>
                <w:szCs w:val="20"/>
              </w:rPr>
              <w:t>-2.1</w:t>
            </w:r>
            <w:r w:rsidRPr="00157136">
              <w:rPr>
                <w:rFonts w:cstheme="minorHAnsi"/>
                <w:sz w:val="20"/>
                <w:szCs w:val="20"/>
              </w:rPr>
              <w:t>%</w:t>
            </w:r>
          </w:p>
        </w:tc>
        <w:tc>
          <w:tcPr>
            <w:tcW w:w="972" w:type="dxa"/>
            <w:tcBorders>
              <w:right w:val="single" w:sz="4" w:space="0" w:color="ED7D31"/>
            </w:tcBorders>
            <w:vAlign w:val="center"/>
            <w:hideMark/>
          </w:tcPr>
          <w:p w14:paraId="25DB127B" w14:textId="6EF2E6F0" w:rsidR="00024D78" w:rsidRPr="00157136" w:rsidRDefault="00B67414" w:rsidP="00024D78">
            <w:pPr>
              <w:pStyle w:val="NoSpacing"/>
              <w:jc w:val="right"/>
              <w:rPr>
                <w:rFonts w:cstheme="minorHAnsi"/>
              </w:rPr>
            </w:pPr>
            <w:r>
              <w:rPr>
                <w:rFonts w:cstheme="minorHAnsi"/>
                <w:sz w:val="20"/>
                <w:szCs w:val="20"/>
              </w:rPr>
              <w:t>+3.7</w:t>
            </w:r>
            <w:r w:rsidR="00024D78" w:rsidRPr="00157136">
              <w:rPr>
                <w:rFonts w:cstheme="minorHAnsi"/>
                <w:sz w:val="20"/>
                <w:szCs w:val="20"/>
              </w:rPr>
              <w:t>%</w:t>
            </w:r>
          </w:p>
        </w:tc>
        <w:tc>
          <w:tcPr>
            <w:tcW w:w="927" w:type="dxa"/>
            <w:tcBorders>
              <w:left w:val="single" w:sz="4" w:space="0" w:color="ED7D31"/>
            </w:tcBorders>
            <w:vAlign w:val="center"/>
          </w:tcPr>
          <w:p w14:paraId="6FD24DED" w14:textId="69D664AB" w:rsidR="00024D78" w:rsidRPr="00157136" w:rsidRDefault="00B67414" w:rsidP="00024D78">
            <w:pPr>
              <w:pStyle w:val="NoSpacing"/>
              <w:jc w:val="right"/>
              <w:rPr>
                <w:rFonts w:cstheme="minorHAnsi"/>
              </w:rPr>
            </w:pPr>
            <w:r>
              <w:rPr>
                <w:rFonts w:cstheme="minorHAnsi"/>
                <w:sz w:val="20"/>
                <w:szCs w:val="20"/>
              </w:rPr>
              <w:t>7.2</w:t>
            </w:r>
            <w:r w:rsidR="00024D78">
              <w:rPr>
                <w:rFonts w:cstheme="minorHAnsi"/>
                <w:sz w:val="20"/>
                <w:szCs w:val="20"/>
              </w:rPr>
              <w:t>M</w:t>
            </w:r>
          </w:p>
        </w:tc>
        <w:tc>
          <w:tcPr>
            <w:tcW w:w="1117" w:type="dxa"/>
            <w:vAlign w:val="center"/>
          </w:tcPr>
          <w:p w14:paraId="39529C18" w14:textId="69D30ABE" w:rsidR="00024D78" w:rsidRPr="00157136" w:rsidRDefault="00B67414" w:rsidP="00024D78">
            <w:pPr>
              <w:pStyle w:val="NoSpacing"/>
              <w:jc w:val="right"/>
              <w:rPr>
                <w:rFonts w:cstheme="minorHAnsi"/>
              </w:rPr>
            </w:pPr>
            <w:r>
              <w:rPr>
                <w:rFonts w:cstheme="minorHAnsi"/>
                <w:sz w:val="20"/>
                <w:szCs w:val="20"/>
              </w:rPr>
              <w:t>31.7</w:t>
            </w:r>
            <w:r w:rsidR="00024D78" w:rsidRPr="00157136">
              <w:rPr>
                <w:rFonts w:cstheme="minorHAnsi"/>
                <w:sz w:val="20"/>
                <w:szCs w:val="20"/>
              </w:rPr>
              <w:t>%</w:t>
            </w:r>
          </w:p>
        </w:tc>
        <w:tc>
          <w:tcPr>
            <w:tcW w:w="1047" w:type="dxa"/>
            <w:vAlign w:val="center"/>
          </w:tcPr>
          <w:p w14:paraId="720478A7" w14:textId="435B35CD" w:rsidR="00024D78" w:rsidRPr="00157136" w:rsidRDefault="00024D78" w:rsidP="00024D78">
            <w:pPr>
              <w:pStyle w:val="NoSpacing"/>
              <w:jc w:val="right"/>
              <w:rPr>
                <w:rFonts w:cstheme="minorHAnsi"/>
              </w:rPr>
            </w:pPr>
            <w:r w:rsidRPr="00157136">
              <w:rPr>
                <w:rFonts w:cstheme="minorHAnsi"/>
                <w:sz w:val="20"/>
                <w:szCs w:val="20"/>
              </w:rPr>
              <w:t>-</w:t>
            </w:r>
            <w:r w:rsidR="00B67414">
              <w:rPr>
                <w:rFonts w:cstheme="minorHAnsi"/>
                <w:sz w:val="20"/>
                <w:szCs w:val="20"/>
              </w:rPr>
              <w:t>1.6</w:t>
            </w:r>
            <w:r w:rsidRPr="00157136">
              <w:rPr>
                <w:rFonts w:cstheme="minorHAnsi"/>
                <w:sz w:val="20"/>
                <w:szCs w:val="20"/>
              </w:rPr>
              <w:t>%</w:t>
            </w:r>
          </w:p>
        </w:tc>
        <w:tc>
          <w:tcPr>
            <w:tcW w:w="964" w:type="dxa"/>
            <w:vAlign w:val="center"/>
          </w:tcPr>
          <w:p w14:paraId="30958CBD" w14:textId="09B7CFF6" w:rsidR="00024D78" w:rsidRPr="00157136" w:rsidRDefault="00B67414" w:rsidP="00024D78">
            <w:pPr>
              <w:pStyle w:val="NoSpacing"/>
              <w:jc w:val="right"/>
              <w:rPr>
                <w:rFonts w:cstheme="minorHAnsi"/>
              </w:rPr>
            </w:pPr>
            <w:r>
              <w:rPr>
                <w:rFonts w:cstheme="minorHAnsi"/>
                <w:sz w:val="20"/>
                <w:szCs w:val="20"/>
              </w:rPr>
              <w:t>+2.7</w:t>
            </w:r>
            <w:r w:rsidR="00024D78" w:rsidRPr="00157136">
              <w:rPr>
                <w:rFonts w:cstheme="minorHAnsi"/>
                <w:sz w:val="20"/>
                <w:szCs w:val="20"/>
              </w:rPr>
              <w:t>%</w:t>
            </w:r>
          </w:p>
        </w:tc>
      </w:tr>
      <w:tr w:rsidR="00024D78" w:rsidRPr="00B25DFD" w14:paraId="165F121D" w14:textId="77777777" w:rsidTr="008D18C9">
        <w:trPr>
          <w:cnfStyle w:val="000000100000" w:firstRow="0" w:lastRow="0" w:firstColumn="0" w:lastColumn="0" w:oddVBand="0" w:evenVBand="0" w:oddHBand="1" w:evenHBand="0" w:firstRowFirstColumn="0" w:firstRowLastColumn="0" w:lastRowFirstColumn="0" w:lastRowLastColumn="0"/>
          <w:trHeight w:val="20"/>
        </w:trPr>
        <w:tc>
          <w:tcPr>
            <w:tcW w:w="2547" w:type="dxa"/>
            <w:vAlign w:val="center"/>
          </w:tcPr>
          <w:p w14:paraId="3B3680F4" w14:textId="0FEB8C16" w:rsidR="00024D78" w:rsidRPr="006A7A6E" w:rsidRDefault="00024D78" w:rsidP="00024D78">
            <w:pPr>
              <w:rPr>
                <w:rFonts w:cstheme="minorHAnsi"/>
              </w:rPr>
            </w:pPr>
            <w:r>
              <w:rPr>
                <w:rFonts w:cstheme="minorHAnsi"/>
              </w:rPr>
              <w:t>Portabella mushrooms</w:t>
            </w:r>
          </w:p>
        </w:tc>
        <w:tc>
          <w:tcPr>
            <w:tcW w:w="1168" w:type="dxa"/>
            <w:vAlign w:val="center"/>
          </w:tcPr>
          <w:p w14:paraId="34FDD2F4" w14:textId="209E5EBC" w:rsidR="00024D78" w:rsidRPr="00157136" w:rsidRDefault="00024D78" w:rsidP="00024D78">
            <w:pPr>
              <w:pStyle w:val="NoSpacing"/>
              <w:jc w:val="right"/>
              <w:rPr>
                <w:rFonts w:cstheme="minorHAnsi"/>
                <w:color w:val="000000" w:themeColor="text1"/>
              </w:rPr>
            </w:pPr>
            <w:r w:rsidRPr="00157136">
              <w:rPr>
                <w:rFonts w:cstheme="minorHAnsi"/>
                <w:sz w:val="20"/>
                <w:szCs w:val="20"/>
              </w:rPr>
              <w:t>$</w:t>
            </w:r>
            <w:r>
              <w:rPr>
                <w:rFonts w:cstheme="minorHAnsi"/>
                <w:sz w:val="20"/>
                <w:szCs w:val="20"/>
              </w:rPr>
              <w:t>8.8M</w:t>
            </w:r>
          </w:p>
        </w:tc>
        <w:tc>
          <w:tcPr>
            <w:tcW w:w="882" w:type="dxa"/>
          </w:tcPr>
          <w:p w14:paraId="0892AAF8" w14:textId="5ED5908B" w:rsidR="00024D78" w:rsidRPr="00157136" w:rsidRDefault="00B67414" w:rsidP="00024D78">
            <w:pPr>
              <w:pStyle w:val="NoSpacing"/>
              <w:jc w:val="right"/>
              <w:rPr>
                <w:rFonts w:cstheme="minorHAnsi"/>
              </w:rPr>
            </w:pPr>
            <w:r>
              <w:rPr>
                <w:rFonts w:cstheme="minorHAnsi"/>
                <w:sz w:val="20"/>
                <w:szCs w:val="20"/>
              </w:rPr>
              <w:t>8.5</w:t>
            </w:r>
            <w:r w:rsidR="00024D78" w:rsidRPr="003D78CE">
              <w:rPr>
                <w:rFonts w:cstheme="minorHAnsi"/>
                <w:sz w:val="20"/>
                <w:szCs w:val="20"/>
              </w:rPr>
              <w:t>%</w:t>
            </w:r>
          </w:p>
        </w:tc>
        <w:tc>
          <w:tcPr>
            <w:tcW w:w="991" w:type="dxa"/>
            <w:vAlign w:val="center"/>
          </w:tcPr>
          <w:p w14:paraId="7DB594C7" w14:textId="10103489" w:rsidR="00024D78" w:rsidRPr="00157136" w:rsidRDefault="00024D78" w:rsidP="00024D78">
            <w:pPr>
              <w:pStyle w:val="NoSpacing"/>
              <w:jc w:val="right"/>
              <w:rPr>
                <w:rFonts w:cstheme="minorHAnsi"/>
                <w:color w:val="000000" w:themeColor="text1"/>
              </w:rPr>
            </w:pPr>
            <w:r>
              <w:rPr>
                <w:rFonts w:cstheme="minorHAnsi"/>
                <w:sz w:val="20"/>
                <w:szCs w:val="20"/>
              </w:rPr>
              <w:t>-3.5</w:t>
            </w:r>
            <w:r w:rsidRPr="00157136">
              <w:rPr>
                <w:rFonts w:cstheme="minorHAnsi"/>
                <w:sz w:val="20"/>
                <w:szCs w:val="20"/>
              </w:rPr>
              <w:t>%</w:t>
            </w:r>
          </w:p>
        </w:tc>
        <w:tc>
          <w:tcPr>
            <w:tcW w:w="972" w:type="dxa"/>
            <w:tcBorders>
              <w:right w:val="single" w:sz="4" w:space="0" w:color="ED7D31"/>
            </w:tcBorders>
            <w:vAlign w:val="center"/>
          </w:tcPr>
          <w:p w14:paraId="3A198856" w14:textId="26EF382B" w:rsidR="00024D78" w:rsidRPr="00157136" w:rsidRDefault="00024D78" w:rsidP="00024D78">
            <w:pPr>
              <w:pStyle w:val="NoSpacing"/>
              <w:jc w:val="right"/>
              <w:rPr>
                <w:rFonts w:cstheme="minorHAnsi"/>
                <w:color w:val="000000" w:themeColor="text1"/>
              </w:rPr>
            </w:pPr>
            <w:r w:rsidRPr="00157136">
              <w:rPr>
                <w:rFonts w:cstheme="minorHAnsi"/>
                <w:sz w:val="20"/>
                <w:szCs w:val="20"/>
              </w:rPr>
              <w:t>-</w:t>
            </w:r>
            <w:r w:rsidR="00B67414">
              <w:rPr>
                <w:rFonts w:cstheme="minorHAnsi"/>
                <w:sz w:val="20"/>
                <w:szCs w:val="20"/>
              </w:rPr>
              <w:t>22.1</w:t>
            </w:r>
            <w:r w:rsidRPr="00157136">
              <w:rPr>
                <w:rFonts w:cstheme="minorHAnsi"/>
                <w:sz w:val="20"/>
                <w:szCs w:val="20"/>
              </w:rPr>
              <w:t>%</w:t>
            </w:r>
          </w:p>
        </w:tc>
        <w:tc>
          <w:tcPr>
            <w:tcW w:w="927" w:type="dxa"/>
            <w:tcBorders>
              <w:left w:val="single" w:sz="4" w:space="0" w:color="ED7D31"/>
            </w:tcBorders>
            <w:vAlign w:val="center"/>
          </w:tcPr>
          <w:p w14:paraId="00901068" w14:textId="445B7F2A" w:rsidR="00024D78" w:rsidRPr="00157136" w:rsidRDefault="00B67414" w:rsidP="00024D78">
            <w:pPr>
              <w:pStyle w:val="NoSpacing"/>
              <w:jc w:val="right"/>
              <w:rPr>
                <w:rFonts w:cstheme="minorHAnsi"/>
                <w:color w:val="000000" w:themeColor="text1"/>
              </w:rPr>
            </w:pPr>
            <w:r>
              <w:rPr>
                <w:rFonts w:cstheme="minorHAnsi"/>
                <w:sz w:val="20"/>
                <w:szCs w:val="20"/>
              </w:rPr>
              <w:t>1.6</w:t>
            </w:r>
            <w:r w:rsidR="00024D78">
              <w:rPr>
                <w:rFonts w:cstheme="minorHAnsi"/>
                <w:sz w:val="20"/>
                <w:szCs w:val="20"/>
              </w:rPr>
              <w:t>M</w:t>
            </w:r>
          </w:p>
        </w:tc>
        <w:tc>
          <w:tcPr>
            <w:tcW w:w="1117" w:type="dxa"/>
            <w:vAlign w:val="center"/>
          </w:tcPr>
          <w:p w14:paraId="31D20BFF" w14:textId="1262CA26" w:rsidR="00024D78" w:rsidRPr="00157136" w:rsidRDefault="00B67414" w:rsidP="00024D78">
            <w:pPr>
              <w:pStyle w:val="NoSpacing"/>
              <w:jc w:val="right"/>
              <w:rPr>
                <w:rFonts w:cstheme="minorHAnsi"/>
              </w:rPr>
            </w:pPr>
            <w:r>
              <w:rPr>
                <w:rFonts w:cstheme="minorHAnsi"/>
                <w:sz w:val="20"/>
                <w:szCs w:val="20"/>
              </w:rPr>
              <w:t>7.2</w:t>
            </w:r>
            <w:r w:rsidR="00024D78" w:rsidRPr="00157136">
              <w:rPr>
                <w:rFonts w:cstheme="minorHAnsi"/>
                <w:sz w:val="20"/>
                <w:szCs w:val="20"/>
              </w:rPr>
              <w:t>%</w:t>
            </w:r>
          </w:p>
        </w:tc>
        <w:tc>
          <w:tcPr>
            <w:tcW w:w="1047" w:type="dxa"/>
            <w:vAlign w:val="center"/>
          </w:tcPr>
          <w:p w14:paraId="6223018A" w14:textId="19FAFD67" w:rsidR="00024D78" w:rsidRPr="00157136" w:rsidRDefault="00024D78" w:rsidP="00024D78">
            <w:pPr>
              <w:pStyle w:val="NoSpacing"/>
              <w:jc w:val="right"/>
              <w:rPr>
                <w:rFonts w:cstheme="minorHAnsi"/>
                <w:color w:val="000000" w:themeColor="text1"/>
              </w:rPr>
            </w:pPr>
            <w:r w:rsidRPr="00157136">
              <w:rPr>
                <w:rFonts w:cstheme="minorHAnsi"/>
                <w:sz w:val="20"/>
                <w:szCs w:val="20"/>
              </w:rPr>
              <w:t>-</w:t>
            </w:r>
            <w:r w:rsidR="00B67414">
              <w:rPr>
                <w:rFonts w:cstheme="minorHAnsi"/>
                <w:sz w:val="20"/>
                <w:szCs w:val="20"/>
              </w:rPr>
              <w:t>1.8</w:t>
            </w:r>
            <w:r w:rsidRPr="00157136">
              <w:rPr>
                <w:rFonts w:cstheme="minorHAnsi"/>
                <w:sz w:val="20"/>
                <w:szCs w:val="20"/>
              </w:rPr>
              <w:t>%</w:t>
            </w:r>
          </w:p>
        </w:tc>
        <w:tc>
          <w:tcPr>
            <w:tcW w:w="964" w:type="dxa"/>
            <w:vAlign w:val="center"/>
          </w:tcPr>
          <w:p w14:paraId="73FEF08C" w14:textId="58970E0B" w:rsidR="00024D78" w:rsidRPr="00157136" w:rsidRDefault="00024D78" w:rsidP="00024D78">
            <w:pPr>
              <w:pStyle w:val="NoSpacing"/>
              <w:jc w:val="right"/>
              <w:rPr>
                <w:rFonts w:cstheme="minorHAnsi"/>
                <w:color w:val="000000" w:themeColor="text1"/>
              </w:rPr>
            </w:pPr>
            <w:r w:rsidRPr="00157136">
              <w:rPr>
                <w:rFonts w:cstheme="minorHAnsi"/>
                <w:sz w:val="20"/>
                <w:szCs w:val="20"/>
              </w:rPr>
              <w:t>-</w:t>
            </w:r>
            <w:r w:rsidR="00B67414">
              <w:rPr>
                <w:rFonts w:cstheme="minorHAnsi"/>
                <w:sz w:val="20"/>
                <w:szCs w:val="20"/>
              </w:rPr>
              <w:t>20.7</w:t>
            </w:r>
            <w:r w:rsidRPr="00157136">
              <w:rPr>
                <w:rFonts w:cstheme="minorHAnsi"/>
                <w:sz w:val="20"/>
                <w:szCs w:val="20"/>
              </w:rPr>
              <w:t>%</w:t>
            </w:r>
          </w:p>
        </w:tc>
      </w:tr>
      <w:tr w:rsidR="00024D78" w:rsidRPr="00B25DFD" w14:paraId="2B6B448E" w14:textId="7445020D" w:rsidTr="008D18C9">
        <w:trPr>
          <w:trHeight w:val="20"/>
        </w:trPr>
        <w:tc>
          <w:tcPr>
            <w:tcW w:w="2547" w:type="dxa"/>
            <w:vAlign w:val="center"/>
            <w:hideMark/>
          </w:tcPr>
          <w:p w14:paraId="7C14C062" w14:textId="0BCE1D26" w:rsidR="00024D78" w:rsidRPr="006A7A6E" w:rsidRDefault="00024D78" w:rsidP="00024D78">
            <w:pPr>
              <w:rPr>
                <w:rFonts w:cstheme="minorHAnsi"/>
              </w:rPr>
            </w:pPr>
            <w:r>
              <w:rPr>
                <w:rFonts w:cstheme="minorHAnsi"/>
              </w:rPr>
              <w:t xml:space="preserve">Specialty </w:t>
            </w:r>
            <w:r w:rsidRPr="006A7A6E">
              <w:rPr>
                <w:rFonts w:cstheme="minorHAnsi"/>
              </w:rPr>
              <w:t>mushrooms</w:t>
            </w:r>
          </w:p>
        </w:tc>
        <w:tc>
          <w:tcPr>
            <w:tcW w:w="1168" w:type="dxa"/>
            <w:vAlign w:val="center"/>
            <w:hideMark/>
          </w:tcPr>
          <w:p w14:paraId="43257BA5" w14:textId="5DB7DE26" w:rsidR="00024D78" w:rsidRPr="00157136" w:rsidRDefault="00024D78" w:rsidP="00024D78">
            <w:pPr>
              <w:pStyle w:val="NoSpacing"/>
              <w:jc w:val="right"/>
              <w:rPr>
                <w:rFonts w:cstheme="minorHAnsi"/>
              </w:rPr>
            </w:pPr>
            <w:r w:rsidRPr="00157136">
              <w:rPr>
                <w:rFonts w:cstheme="minorHAnsi"/>
                <w:sz w:val="20"/>
                <w:szCs w:val="20"/>
              </w:rPr>
              <w:t>$</w:t>
            </w:r>
            <w:r>
              <w:rPr>
                <w:rFonts w:cstheme="minorHAnsi"/>
                <w:sz w:val="20"/>
                <w:szCs w:val="20"/>
              </w:rPr>
              <w:t>5.1M</w:t>
            </w:r>
          </w:p>
        </w:tc>
        <w:tc>
          <w:tcPr>
            <w:tcW w:w="882" w:type="dxa"/>
          </w:tcPr>
          <w:p w14:paraId="7EC04D31" w14:textId="253475D4" w:rsidR="00024D78" w:rsidRPr="00157136" w:rsidRDefault="00B67414" w:rsidP="00024D78">
            <w:pPr>
              <w:pStyle w:val="NoSpacing"/>
              <w:jc w:val="right"/>
              <w:rPr>
                <w:rFonts w:cstheme="minorHAnsi"/>
              </w:rPr>
            </w:pPr>
            <w:r>
              <w:rPr>
                <w:rFonts w:cstheme="minorHAnsi"/>
                <w:sz w:val="20"/>
                <w:szCs w:val="20"/>
              </w:rPr>
              <w:t>4.9</w:t>
            </w:r>
            <w:r w:rsidR="00024D78" w:rsidRPr="003D78CE">
              <w:rPr>
                <w:rFonts w:cstheme="minorHAnsi"/>
                <w:sz w:val="20"/>
                <w:szCs w:val="20"/>
              </w:rPr>
              <w:t>%</w:t>
            </w:r>
          </w:p>
        </w:tc>
        <w:tc>
          <w:tcPr>
            <w:tcW w:w="991" w:type="dxa"/>
            <w:vAlign w:val="center"/>
            <w:hideMark/>
          </w:tcPr>
          <w:p w14:paraId="10052F27" w14:textId="435DED30" w:rsidR="00024D78" w:rsidRPr="00157136" w:rsidRDefault="00024D78" w:rsidP="00024D78">
            <w:pPr>
              <w:pStyle w:val="NoSpacing"/>
              <w:jc w:val="right"/>
              <w:rPr>
                <w:rFonts w:cstheme="minorHAnsi"/>
              </w:rPr>
            </w:pPr>
            <w:r>
              <w:rPr>
                <w:rFonts w:cstheme="minorHAnsi"/>
                <w:sz w:val="20"/>
                <w:szCs w:val="20"/>
              </w:rPr>
              <w:t>-9.7</w:t>
            </w:r>
            <w:r w:rsidRPr="00157136">
              <w:rPr>
                <w:rFonts w:cstheme="minorHAnsi"/>
                <w:sz w:val="20"/>
                <w:szCs w:val="20"/>
              </w:rPr>
              <w:t>%</w:t>
            </w:r>
          </w:p>
        </w:tc>
        <w:tc>
          <w:tcPr>
            <w:tcW w:w="972" w:type="dxa"/>
            <w:tcBorders>
              <w:right w:val="single" w:sz="4" w:space="0" w:color="ED7D31"/>
            </w:tcBorders>
            <w:vAlign w:val="center"/>
            <w:hideMark/>
          </w:tcPr>
          <w:p w14:paraId="31EEA636" w14:textId="7F71CAB3" w:rsidR="00024D78" w:rsidRPr="00157136" w:rsidRDefault="00024D78" w:rsidP="00024D78">
            <w:pPr>
              <w:pStyle w:val="NoSpacing"/>
              <w:jc w:val="right"/>
              <w:rPr>
                <w:rFonts w:cstheme="minorHAnsi"/>
              </w:rPr>
            </w:pPr>
            <w:r w:rsidRPr="00157136">
              <w:rPr>
                <w:rFonts w:cstheme="minorHAnsi"/>
                <w:sz w:val="20"/>
                <w:szCs w:val="20"/>
              </w:rPr>
              <w:t>-</w:t>
            </w:r>
            <w:r w:rsidR="00B67414">
              <w:rPr>
                <w:rFonts w:cstheme="minorHAnsi"/>
                <w:sz w:val="20"/>
                <w:szCs w:val="20"/>
              </w:rPr>
              <w:t>8.2</w:t>
            </w:r>
            <w:r w:rsidRPr="00157136">
              <w:rPr>
                <w:rFonts w:cstheme="minorHAnsi"/>
                <w:sz w:val="20"/>
                <w:szCs w:val="20"/>
              </w:rPr>
              <w:t>%</w:t>
            </w:r>
          </w:p>
        </w:tc>
        <w:tc>
          <w:tcPr>
            <w:tcW w:w="927" w:type="dxa"/>
            <w:tcBorders>
              <w:left w:val="single" w:sz="4" w:space="0" w:color="ED7D31"/>
            </w:tcBorders>
            <w:vAlign w:val="center"/>
          </w:tcPr>
          <w:p w14:paraId="166CB34C" w14:textId="52F0F8D7" w:rsidR="00024D78" w:rsidRPr="00157136" w:rsidRDefault="00B67414" w:rsidP="00024D78">
            <w:pPr>
              <w:pStyle w:val="NoSpacing"/>
              <w:jc w:val="right"/>
              <w:rPr>
                <w:rFonts w:cstheme="minorHAnsi"/>
              </w:rPr>
            </w:pPr>
            <w:r>
              <w:rPr>
                <w:rFonts w:cstheme="minorHAnsi"/>
                <w:sz w:val="20"/>
                <w:szCs w:val="20"/>
              </w:rPr>
              <w:t>0.4</w:t>
            </w:r>
            <w:r w:rsidR="00024D78">
              <w:rPr>
                <w:rFonts w:cstheme="minorHAnsi"/>
                <w:sz w:val="20"/>
                <w:szCs w:val="20"/>
              </w:rPr>
              <w:t>M</w:t>
            </w:r>
          </w:p>
        </w:tc>
        <w:tc>
          <w:tcPr>
            <w:tcW w:w="1117" w:type="dxa"/>
            <w:vAlign w:val="center"/>
          </w:tcPr>
          <w:p w14:paraId="417DE33D" w14:textId="4579FB73" w:rsidR="00024D78" w:rsidRPr="00157136" w:rsidRDefault="00B67414" w:rsidP="00024D78">
            <w:pPr>
              <w:pStyle w:val="NoSpacing"/>
              <w:jc w:val="right"/>
              <w:rPr>
                <w:rFonts w:cstheme="minorHAnsi"/>
              </w:rPr>
            </w:pPr>
            <w:r>
              <w:rPr>
                <w:rFonts w:cstheme="minorHAnsi"/>
                <w:sz w:val="20"/>
                <w:szCs w:val="20"/>
              </w:rPr>
              <w:t>1.7</w:t>
            </w:r>
            <w:r w:rsidR="00024D78" w:rsidRPr="00157136">
              <w:rPr>
                <w:rFonts w:cstheme="minorHAnsi"/>
                <w:sz w:val="20"/>
                <w:szCs w:val="20"/>
              </w:rPr>
              <w:t>%</w:t>
            </w:r>
          </w:p>
        </w:tc>
        <w:tc>
          <w:tcPr>
            <w:tcW w:w="1047" w:type="dxa"/>
            <w:vAlign w:val="center"/>
          </w:tcPr>
          <w:p w14:paraId="632726C6" w14:textId="420AF66F" w:rsidR="00024D78" w:rsidRPr="00157136" w:rsidRDefault="00024D78" w:rsidP="00024D78">
            <w:pPr>
              <w:pStyle w:val="NoSpacing"/>
              <w:jc w:val="right"/>
              <w:rPr>
                <w:rFonts w:cstheme="minorHAnsi"/>
              </w:rPr>
            </w:pPr>
            <w:r w:rsidRPr="00157136">
              <w:rPr>
                <w:rFonts w:cstheme="minorHAnsi"/>
                <w:sz w:val="20"/>
                <w:szCs w:val="20"/>
              </w:rPr>
              <w:t>-</w:t>
            </w:r>
            <w:r w:rsidR="00B67414">
              <w:rPr>
                <w:rFonts w:cstheme="minorHAnsi"/>
                <w:sz w:val="20"/>
                <w:szCs w:val="20"/>
              </w:rPr>
              <w:t>8.1</w:t>
            </w:r>
            <w:r w:rsidRPr="00157136">
              <w:rPr>
                <w:rFonts w:cstheme="minorHAnsi"/>
                <w:sz w:val="20"/>
                <w:szCs w:val="20"/>
              </w:rPr>
              <w:t>%</w:t>
            </w:r>
          </w:p>
        </w:tc>
        <w:tc>
          <w:tcPr>
            <w:tcW w:w="964" w:type="dxa"/>
            <w:vAlign w:val="center"/>
          </w:tcPr>
          <w:p w14:paraId="700774A9" w14:textId="7CD1E8F7" w:rsidR="00024D78" w:rsidRPr="00157136" w:rsidRDefault="00024D78" w:rsidP="00024D78">
            <w:pPr>
              <w:pStyle w:val="NoSpacing"/>
              <w:jc w:val="right"/>
              <w:rPr>
                <w:rFonts w:cstheme="minorHAnsi"/>
              </w:rPr>
            </w:pPr>
            <w:r w:rsidRPr="00157136">
              <w:rPr>
                <w:rFonts w:cstheme="minorHAnsi"/>
                <w:sz w:val="20"/>
                <w:szCs w:val="20"/>
              </w:rPr>
              <w:t>-</w:t>
            </w:r>
            <w:r w:rsidR="00B67414">
              <w:rPr>
                <w:rFonts w:cstheme="minorHAnsi"/>
                <w:sz w:val="20"/>
                <w:szCs w:val="20"/>
              </w:rPr>
              <w:t>7.3</w:t>
            </w:r>
            <w:r w:rsidRPr="00157136">
              <w:rPr>
                <w:rFonts w:cstheme="minorHAnsi"/>
                <w:sz w:val="20"/>
                <w:szCs w:val="20"/>
              </w:rPr>
              <w:t>%</w:t>
            </w:r>
          </w:p>
        </w:tc>
      </w:tr>
    </w:tbl>
    <w:bookmarkEnd w:id="0"/>
    <w:p w14:paraId="45617577" w14:textId="69C86727" w:rsidR="00555250" w:rsidRPr="00555250" w:rsidRDefault="00555250" w:rsidP="00782D09">
      <w:pPr>
        <w:pStyle w:val="NoSpacing"/>
        <w:spacing w:before="120"/>
        <w:rPr>
          <w:color w:val="7F7F7F" w:themeColor="text1" w:themeTint="80"/>
          <w:sz w:val="16"/>
          <w:szCs w:val="16"/>
        </w:rPr>
      </w:pPr>
      <w:r w:rsidRPr="00555250">
        <w:rPr>
          <w:color w:val="7F7F7F" w:themeColor="text1" w:themeTint="80"/>
          <w:sz w:val="16"/>
          <w:szCs w:val="16"/>
        </w:rPr>
        <w:t xml:space="preserve">Source: </w:t>
      </w:r>
      <w:proofErr w:type="spellStart"/>
      <w:r w:rsidR="004C5B27">
        <w:rPr>
          <w:color w:val="7F7F7F" w:themeColor="text1" w:themeTint="80"/>
          <w:sz w:val="16"/>
          <w:szCs w:val="16"/>
        </w:rPr>
        <w:t>Circana</w:t>
      </w:r>
      <w:proofErr w:type="spellEnd"/>
      <w:r w:rsidRPr="00555250">
        <w:rPr>
          <w:color w:val="7F7F7F" w:themeColor="text1" w:themeTint="80"/>
          <w:sz w:val="16"/>
          <w:szCs w:val="16"/>
        </w:rPr>
        <w:t xml:space="preserve">, Integrated Fresh, MULO, </w:t>
      </w:r>
      <w:r w:rsidR="007D30DA">
        <w:rPr>
          <w:color w:val="7F7F7F" w:themeColor="text1" w:themeTint="80"/>
          <w:sz w:val="16"/>
          <w:szCs w:val="16"/>
        </w:rPr>
        <w:t>4</w:t>
      </w:r>
      <w:r w:rsidRPr="00555250">
        <w:rPr>
          <w:color w:val="7F7F7F" w:themeColor="text1" w:themeTint="80"/>
          <w:sz w:val="16"/>
          <w:szCs w:val="16"/>
        </w:rPr>
        <w:t xml:space="preserve"> weeks ending </w:t>
      </w:r>
      <w:r w:rsidR="001A2890">
        <w:rPr>
          <w:color w:val="7F7F7F" w:themeColor="text1" w:themeTint="80"/>
          <w:sz w:val="16"/>
          <w:szCs w:val="16"/>
        </w:rPr>
        <w:t>4/21/2024</w:t>
      </w:r>
    </w:p>
    <w:p w14:paraId="0804BC52" w14:textId="568E8254" w:rsidR="0092088E" w:rsidRDefault="0092088E" w:rsidP="00472B02">
      <w:pPr>
        <w:pStyle w:val="NoSpacing"/>
      </w:pPr>
    </w:p>
    <w:p w14:paraId="59E70896" w14:textId="52CB107E" w:rsidR="004C2808" w:rsidRPr="004462C1" w:rsidRDefault="004C2808" w:rsidP="004462C1">
      <w:pPr>
        <w:pStyle w:val="Heading2"/>
        <w:rPr>
          <w:b/>
          <w:bCs/>
          <w:color w:val="ED7D31" w:themeColor="accent2"/>
        </w:rPr>
      </w:pPr>
      <w:r w:rsidRPr="004462C1">
        <w:rPr>
          <w:b/>
          <w:bCs/>
          <w:color w:val="ED7D31" w:themeColor="accent2"/>
        </w:rPr>
        <w:t>Additional observations:</w:t>
      </w:r>
    </w:p>
    <w:p w14:paraId="22421914" w14:textId="1682607F" w:rsidR="00C9550B" w:rsidRDefault="00C9550B" w:rsidP="00174F0E">
      <w:pPr>
        <w:pStyle w:val="NoSpacing"/>
        <w:numPr>
          <w:ilvl w:val="0"/>
          <w:numId w:val="2"/>
        </w:numPr>
        <w:rPr>
          <w:color w:val="000000" w:themeColor="text1"/>
        </w:rPr>
      </w:pPr>
      <w:r w:rsidRPr="00B11421">
        <w:rPr>
          <w:color w:val="000000" w:themeColor="text1"/>
          <w:u w:val="single"/>
        </w:rPr>
        <w:t>Package size</w:t>
      </w:r>
      <w:r w:rsidRPr="00B11421">
        <w:rPr>
          <w:color w:val="000000" w:themeColor="text1"/>
        </w:rPr>
        <w:t xml:space="preserve">: </w:t>
      </w:r>
      <w:r w:rsidR="00B672D0" w:rsidRPr="00B11421">
        <w:rPr>
          <w:color w:val="000000" w:themeColor="text1"/>
        </w:rPr>
        <w:t>8</w:t>
      </w:r>
      <w:r w:rsidRPr="00B11421">
        <w:rPr>
          <w:color w:val="000000" w:themeColor="text1"/>
        </w:rPr>
        <w:t xml:space="preserve">-ounce packages </w:t>
      </w:r>
      <w:r w:rsidR="00B42A49" w:rsidRPr="00B11421">
        <w:rPr>
          <w:color w:val="000000" w:themeColor="text1"/>
        </w:rPr>
        <w:t xml:space="preserve">generated </w:t>
      </w:r>
      <w:r w:rsidR="00727F74">
        <w:rPr>
          <w:color w:val="000000" w:themeColor="text1"/>
        </w:rPr>
        <w:t>5</w:t>
      </w:r>
      <w:r w:rsidR="00195B70">
        <w:rPr>
          <w:color w:val="000000" w:themeColor="text1"/>
        </w:rPr>
        <w:t>5.0</w:t>
      </w:r>
      <w:r w:rsidR="00B672D0" w:rsidRPr="00B11421">
        <w:rPr>
          <w:color w:val="000000" w:themeColor="text1"/>
        </w:rPr>
        <w:t>% of total sales in the four-week period</w:t>
      </w:r>
      <w:r w:rsidR="00195B70">
        <w:rPr>
          <w:color w:val="000000" w:themeColor="text1"/>
        </w:rPr>
        <w:t>, a slightly smaller share than during non-holiday periods. Eight-ounce packages experienced a 2.3</w:t>
      </w:r>
      <w:r w:rsidR="00834A70">
        <w:rPr>
          <w:color w:val="000000" w:themeColor="text1"/>
        </w:rPr>
        <w:t>%</w:t>
      </w:r>
      <w:r w:rsidR="00195B70">
        <w:rPr>
          <w:color w:val="000000" w:themeColor="text1"/>
        </w:rPr>
        <w:t xml:space="preserve"> decline in dollar sales</w:t>
      </w:r>
      <w:r w:rsidR="00834A70">
        <w:rPr>
          <w:color w:val="000000" w:themeColor="text1"/>
        </w:rPr>
        <w:t>. 16-ounce packages are the next la</w:t>
      </w:r>
      <w:r w:rsidR="00663846">
        <w:rPr>
          <w:color w:val="000000" w:themeColor="text1"/>
        </w:rPr>
        <w:t xml:space="preserve">rgest seller, </w:t>
      </w:r>
      <w:r w:rsidR="00283776">
        <w:rPr>
          <w:color w:val="000000" w:themeColor="text1"/>
        </w:rPr>
        <w:t xml:space="preserve">at </w:t>
      </w:r>
      <w:r w:rsidR="00195B70">
        <w:rPr>
          <w:color w:val="000000" w:themeColor="text1"/>
        </w:rPr>
        <w:t>17.1</w:t>
      </w:r>
      <w:r w:rsidR="00283776">
        <w:rPr>
          <w:color w:val="000000" w:themeColor="text1"/>
        </w:rPr>
        <w:t xml:space="preserve">% of dollar sales, </w:t>
      </w:r>
      <w:r w:rsidR="00195B70">
        <w:rPr>
          <w:color w:val="000000" w:themeColor="text1"/>
        </w:rPr>
        <w:t>and dollar sales were down 7.8</w:t>
      </w:r>
      <w:r w:rsidR="00283776">
        <w:rPr>
          <w:color w:val="000000" w:themeColor="text1"/>
        </w:rPr>
        <w:t>% year-on year</w:t>
      </w:r>
      <w:r w:rsidR="00195B70">
        <w:rPr>
          <w:color w:val="000000" w:themeColor="text1"/>
        </w:rPr>
        <w:t xml:space="preserve"> versus -16% during the prior quad week — pointing to an increase in 16-ounce purchases during the Easter holiday period</w:t>
      </w:r>
    </w:p>
    <w:p w14:paraId="5A086945" w14:textId="70D074BE" w:rsidR="00B11421" w:rsidRPr="00B11421" w:rsidRDefault="004462C1" w:rsidP="00F55B8D">
      <w:pPr>
        <w:pStyle w:val="NoSpacing"/>
        <w:numPr>
          <w:ilvl w:val="0"/>
          <w:numId w:val="2"/>
        </w:numPr>
        <w:rPr>
          <w:color w:val="000000" w:themeColor="text1"/>
        </w:rPr>
      </w:pPr>
      <w:r w:rsidRPr="00B11421">
        <w:rPr>
          <w:color w:val="000000" w:themeColor="text1"/>
          <w:u w:val="single"/>
        </w:rPr>
        <w:t>Organic vs</w:t>
      </w:r>
      <w:r w:rsidR="005B6968" w:rsidRPr="00B11421">
        <w:rPr>
          <w:color w:val="000000" w:themeColor="text1"/>
          <w:u w:val="single"/>
        </w:rPr>
        <w:t>.</w:t>
      </w:r>
      <w:r w:rsidRPr="00B11421">
        <w:rPr>
          <w:color w:val="000000" w:themeColor="text1"/>
          <w:u w:val="single"/>
        </w:rPr>
        <w:t xml:space="preserve"> conventional</w:t>
      </w:r>
      <w:r w:rsidRPr="00B11421">
        <w:rPr>
          <w:color w:val="000000" w:themeColor="text1"/>
        </w:rPr>
        <w:t xml:space="preserve">: Organic </w:t>
      </w:r>
      <w:r w:rsidR="005B6968" w:rsidRPr="00B11421">
        <w:rPr>
          <w:color w:val="000000" w:themeColor="text1"/>
        </w:rPr>
        <w:t xml:space="preserve">mushrooms </w:t>
      </w:r>
      <w:r w:rsidRPr="00B11421">
        <w:rPr>
          <w:color w:val="000000" w:themeColor="text1"/>
        </w:rPr>
        <w:t>made up</w:t>
      </w:r>
      <w:r w:rsidR="007946B0">
        <w:rPr>
          <w:color w:val="000000" w:themeColor="text1"/>
        </w:rPr>
        <w:t xml:space="preserve"> </w:t>
      </w:r>
      <w:r w:rsidR="00195B70">
        <w:rPr>
          <w:color w:val="000000" w:themeColor="text1"/>
        </w:rPr>
        <w:t>10.0</w:t>
      </w:r>
      <w:r w:rsidRPr="00B11421">
        <w:rPr>
          <w:color w:val="000000" w:themeColor="text1"/>
        </w:rPr>
        <w:t xml:space="preserve">% of </w:t>
      </w:r>
      <w:r w:rsidR="00BE7EF2" w:rsidRPr="00B11421">
        <w:rPr>
          <w:color w:val="000000" w:themeColor="text1"/>
        </w:rPr>
        <w:t>pounds</w:t>
      </w:r>
      <w:r w:rsidR="00195B70">
        <w:rPr>
          <w:color w:val="000000" w:themeColor="text1"/>
        </w:rPr>
        <w:t xml:space="preserve"> and sales were flat (-0.3%) during the quad- week period. This was a slightly better performance than conventional that declined by 3.1%.</w:t>
      </w:r>
      <w:r w:rsidR="00B42A49" w:rsidRPr="00B11421">
        <w:rPr>
          <w:color w:val="000000" w:themeColor="text1"/>
        </w:rPr>
        <w:t xml:space="preserve"> </w:t>
      </w:r>
    </w:p>
    <w:p w14:paraId="5CC8E748" w14:textId="363A9B42" w:rsidR="00300A5F" w:rsidRPr="00B11421" w:rsidRDefault="00B11421" w:rsidP="00F55B8D">
      <w:pPr>
        <w:pStyle w:val="NoSpacing"/>
        <w:numPr>
          <w:ilvl w:val="0"/>
          <w:numId w:val="2"/>
        </w:numPr>
        <w:rPr>
          <w:color w:val="000000" w:themeColor="text1"/>
        </w:rPr>
      </w:pPr>
      <w:r w:rsidRPr="00BD7CF0">
        <w:rPr>
          <w:color w:val="000000" w:themeColor="text1"/>
          <w:u w:val="single"/>
        </w:rPr>
        <w:t>Whole vs. sliced/diced</w:t>
      </w:r>
      <w:r>
        <w:rPr>
          <w:color w:val="000000" w:themeColor="text1"/>
        </w:rPr>
        <w:t xml:space="preserve">: </w:t>
      </w:r>
      <w:r w:rsidR="00195B70">
        <w:rPr>
          <w:color w:val="000000" w:themeColor="text1"/>
        </w:rPr>
        <w:t xml:space="preserve">Whole mushrooms slightly outperformed sliced/diced mushrooms, which dollars down 2.3% versus 3.3%. The same was true for units and pounds.  </w:t>
      </w:r>
      <w:r>
        <w:rPr>
          <w:color w:val="000000" w:themeColor="text1"/>
        </w:rPr>
        <w:t xml:space="preserve"> </w:t>
      </w:r>
      <w:r w:rsidR="0009067E" w:rsidRPr="00B11421">
        <w:rPr>
          <w:color w:val="000000" w:themeColor="text1"/>
        </w:rPr>
        <w:t xml:space="preserve"> </w:t>
      </w:r>
    </w:p>
    <w:p w14:paraId="780AB35F" w14:textId="77777777" w:rsidR="000E0D6B" w:rsidRPr="00B11421" w:rsidRDefault="000E0D6B" w:rsidP="00C9550B">
      <w:pPr>
        <w:pStyle w:val="NoSpacing"/>
        <w:rPr>
          <w:color w:val="000000" w:themeColor="text1"/>
          <w:sz w:val="14"/>
          <w:szCs w:val="14"/>
        </w:rPr>
      </w:pPr>
    </w:p>
    <w:p w14:paraId="5DBFDF80" w14:textId="168D1A86" w:rsidR="00B34EF7" w:rsidRPr="00B34EF7" w:rsidRDefault="00782D09" w:rsidP="00C9550B">
      <w:pPr>
        <w:pStyle w:val="NoSpacing"/>
      </w:pPr>
      <w:r w:rsidRPr="00EB30C7">
        <w:rPr>
          <w:color w:val="7F7F7F" w:themeColor="text1" w:themeTint="80"/>
          <w:sz w:val="16"/>
          <w:szCs w:val="16"/>
        </w:rPr>
        <w:t xml:space="preserve">Source: </w:t>
      </w:r>
      <w:proofErr w:type="spellStart"/>
      <w:r w:rsidR="004C5B27">
        <w:rPr>
          <w:color w:val="7F7F7F" w:themeColor="text1" w:themeTint="80"/>
          <w:sz w:val="16"/>
          <w:szCs w:val="16"/>
        </w:rPr>
        <w:t>Circana</w:t>
      </w:r>
      <w:proofErr w:type="spellEnd"/>
      <w:r w:rsidRPr="00EB30C7">
        <w:rPr>
          <w:color w:val="7F7F7F" w:themeColor="text1" w:themeTint="80"/>
          <w:sz w:val="16"/>
          <w:szCs w:val="16"/>
        </w:rPr>
        <w:t xml:space="preserve">, Integrated Fresh, MULO, </w:t>
      </w:r>
      <w:r w:rsidR="004B7951" w:rsidRPr="00EB30C7">
        <w:rPr>
          <w:color w:val="7F7F7F" w:themeColor="text1" w:themeTint="80"/>
          <w:sz w:val="16"/>
          <w:szCs w:val="16"/>
        </w:rPr>
        <w:t>4</w:t>
      </w:r>
      <w:r w:rsidR="0009067E">
        <w:rPr>
          <w:color w:val="7F7F7F" w:themeColor="text1" w:themeTint="80"/>
          <w:sz w:val="16"/>
          <w:szCs w:val="16"/>
        </w:rPr>
        <w:t xml:space="preserve"> or 52</w:t>
      </w:r>
      <w:r w:rsidRPr="00EB30C7">
        <w:rPr>
          <w:color w:val="7F7F7F" w:themeColor="text1" w:themeTint="80"/>
          <w:sz w:val="16"/>
          <w:szCs w:val="16"/>
        </w:rPr>
        <w:t xml:space="preserve"> weeks ending </w:t>
      </w:r>
      <w:r w:rsidR="001A2890">
        <w:rPr>
          <w:color w:val="7F7F7F" w:themeColor="text1" w:themeTint="80"/>
          <w:sz w:val="16"/>
          <w:szCs w:val="16"/>
        </w:rPr>
        <w:t>4/21/2024</w:t>
      </w:r>
      <w:r w:rsidR="00B34EF7">
        <w:t xml:space="preserve"> </w:t>
      </w:r>
    </w:p>
    <w:sectPr w:rsidR="00B34EF7" w:rsidRPr="00B34EF7" w:rsidSect="003B4E77">
      <w:pgSz w:w="12240" w:h="15840"/>
      <w:pgMar w:top="720" w:right="1080" w:bottom="90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0CF7B" w14:textId="77777777" w:rsidR="003B4E77" w:rsidRDefault="003B4E77" w:rsidP="004E49DD">
      <w:pPr>
        <w:spacing w:after="0" w:line="240" w:lineRule="auto"/>
      </w:pPr>
      <w:r>
        <w:separator/>
      </w:r>
    </w:p>
  </w:endnote>
  <w:endnote w:type="continuationSeparator" w:id="0">
    <w:p w14:paraId="5C1A68CE" w14:textId="77777777" w:rsidR="003B4E77" w:rsidRDefault="003B4E77" w:rsidP="004E4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AC1FF" w14:textId="77777777" w:rsidR="003B4E77" w:rsidRDefault="003B4E77" w:rsidP="004E49DD">
      <w:pPr>
        <w:spacing w:after="0" w:line="240" w:lineRule="auto"/>
      </w:pPr>
      <w:r>
        <w:separator/>
      </w:r>
    </w:p>
  </w:footnote>
  <w:footnote w:type="continuationSeparator" w:id="0">
    <w:p w14:paraId="476F9FA6" w14:textId="77777777" w:rsidR="003B4E77" w:rsidRDefault="003B4E77" w:rsidP="004E49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7DB0"/>
    <w:multiLevelType w:val="hybridMultilevel"/>
    <w:tmpl w:val="4F1C3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00259"/>
    <w:multiLevelType w:val="hybridMultilevel"/>
    <w:tmpl w:val="908CB5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777733"/>
    <w:multiLevelType w:val="hybridMultilevel"/>
    <w:tmpl w:val="C798BCC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0B7EE9"/>
    <w:multiLevelType w:val="hybridMultilevel"/>
    <w:tmpl w:val="2954D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BE75F2"/>
    <w:multiLevelType w:val="hybridMultilevel"/>
    <w:tmpl w:val="3E080B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106E38"/>
    <w:multiLevelType w:val="hybridMultilevel"/>
    <w:tmpl w:val="682851D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0C5748"/>
    <w:multiLevelType w:val="hybridMultilevel"/>
    <w:tmpl w:val="6DF848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FC3B04"/>
    <w:multiLevelType w:val="hybridMultilevel"/>
    <w:tmpl w:val="7F3CC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3B0A5F"/>
    <w:multiLevelType w:val="hybridMultilevel"/>
    <w:tmpl w:val="07A24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D260834"/>
    <w:multiLevelType w:val="hybridMultilevel"/>
    <w:tmpl w:val="E3142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856333"/>
    <w:multiLevelType w:val="hybridMultilevel"/>
    <w:tmpl w:val="DBDAD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5632060"/>
    <w:multiLevelType w:val="hybridMultilevel"/>
    <w:tmpl w:val="727C6D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A543B87"/>
    <w:multiLevelType w:val="hybridMultilevel"/>
    <w:tmpl w:val="F7BE00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B97271D"/>
    <w:multiLevelType w:val="hybridMultilevel"/>
    <w:tmpl w:val="6812E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092F24"/>
    <w:multiLevelType w:val="hybridMultilevel"/>
    <w:tmpl w:val="B5BC8C10"/>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534309E8"/>
    <w:multiLevelType w:val="hybridMultilevel"/>
    <w:tmpl w:val="0F663C8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F185B61"/>
    <w:multiLevelType w:val="hybridMultilevel"/>
    <w:tmpl w:val="E54C3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0E31FD0"/>
    <w:multiLevelType w:val="hybridMultilevel"/>
    <w:tmpl w:val="49DCE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139032F"/>
    <w:multiLevelType w:val="hybridMultilevel"/>
    <w:tmpl w:val="2C6C92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2C266F7"/>
    <w:multiLevelType w:val="hybridMultilevel"/>
    <w:tmpl w:val="AB3EF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51B0A5F"/>
    <w:multiLevelType w:val="hybridMultilevel"/>
    <w:tmpl w:val="20560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6214409"/>
    <w:multiLevelType w:val="hybridMultilevel"/>
    <w:tmpl w:val="3BF6A04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6952958"/>
    <w:multiLevelType w:val="hybridMultilevel"/>
    <w:tmpl w:val="A35C8C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EBC79E5"/>
    <w:multiLevelType w:val="hybridMultilevel"/>
    <w:tmpl w:val="36A25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BDD128A"/>
    <w:multiLevelType w:val="hybridMultilevel"/>
    <w:tmpl w:val="E1844B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FBD39AD"/>
    <w:multiLevelType w:val="hybridMultilevel"/>
    <w:tmpl w:val="3A285B6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74580017">
    <w:abstractNumId w:val="13"/>
  </w:num>
  <w:num w:numId="2" w16cid:durableId="64190257">
    <w:abstractNumId w:val="15"/>
  </w:num>
  <w:num w:numId="3" w16cid:durableId="71661545">
    <w:abstractNumId w:val="18"/>
  </w:num>
  <w:num w:numId="4" w16cid:durableId="2021196491">
    <w:abstractNumId w:val="7"/>
  </w:num>
  <w:num w:numId="5" w16cid:durableId="277881297">
    <w:abstractNumId w:val="23"/>
  </w:num>
  <w:num w:numId="6" w16cid:durableId="673996481">
    <w:abstractNumId w:val="16"/>
  </w:num>
  <w:num w:numId="7" w16cid:durableId="1878739292">
    <w:abstractNumId w:val="9"/>
  </w:num>
  <w:num w:numId="8" w16cid:durableId="571617845">
    <w:abstractNumId w:val="6"/>
  </w:num>
  <w:num w:numId="9" w16cid:durableId="1502505735">
    <w:abstractNumId w:val="4"/>
  </w:num>
  <w:num w:numId="10" w16cid:durableId="1246956206">
    <w:abstractNumId w:val="20"/>
  </w:num>
  <w:num w:numId="11" w16cid:durableId="988485736">
    <w:abstractNumId w:val="5"/>
  </w:num>
  <w:num w:numId="12" w16cid:durableId="182406450">
    <w:abstractNumId w:val="19"/>
  </w:num>
  <w:num w:numId="13" w16cid:durableId="144205097">
    <w:abstractNumId w:val="8"/>
  </w:num>
  <w:num w:numId="14" w16cid:durableId="597905518">
    <w:abstractNumId w:val="11"/>
  </w:num>
  <w:num w:numId="15" w16cid:durableId="1028288352">
    <w:abstractNumId w:val="25"/>
  </w:num>
  <w:num w:numId="16" w16cid:durableId="1845901640">
    <w:abstractNumId w:val="0"/>
  </w:num>
  <w:num w:numId="17" w16cid:durableId="6949054">
    <w:abstractNumId w:val="14"/>
  </w:num>
  <w:num w:numId="18" w16cid:durableId="758912408">
    <w:abstractNumId w:val="24"/>
  </w:num>
  <w:num w:numId="19" w16cid:durableId="1766002101">
    <w:abstractNumId w:val="12"/>
  </w:num>
  <w:num w:numId="20" w16cid:durableId="141235517">
    <w:abstractNumId w:val="21"/>
  </w:num>
  <w:num w:numId="21" w16cid:durableId="1528368648">
    <w:abstractNumId w:val="10"/>
  </w:num>
  <w:num w:numId="22" w16cid:durableId="1440487094">
    <w:abstractNumId w:val="1"/>
  </w:num>
  <w:num w:numId="23" w16cid:durableId="848908707">
    <w:abstractNumId w:val="3"/>
  </w:num>
  <w:num w:numId="24" w16cid:durableId="1713311247">
    <w:abstractNumId w:val="17"/>
  </w:num>
  <w:num w:numId="25" w16cid:durableId="1397049761">
    <w:abstractNumId w:val="22"/>
  </w:num>
  <w:num w:numId="26" w16cid:durableId="1543907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EF7"/>
    <w:rsid w:val="00002FF4"/>
    <w:rsid w:val="00014870"/>
    <w:rsid w:val="00015E7B"/>
    <w:rsid w:val="00024D78"/>
    <w:rsid w:val="00026928"/>
    <w:rsid w:val="00030ABF"/>
    <w:rsid w:val="00035D16"/>
    <w:rsid w:val="0003642F"/>
    <w:rsid w:val="00040942"/>
    <w:rsid w:val="0004266D"/>
    <w:rsid w:val="00044279"/>
    <w:rsid w:val="00047054"/>
    <w:rsid w:val="00052654"/>
    <w:rsid w:val="0005390A"/>
    <w:rsid w:val="00057984"/>
    <w:rsid w:val="00070F7C"/>
    <w:rsid w:val="0007328F"/>
    <w:rsid w:val="00074705"/>
    <w:rsid w:val="0007660D"/>
    <w:rsid w:val="000809C3"/>
    <w:rsid w:val="00085508"/>
    <w:rsid w:val="00085F10"/>
    <w:rsid w:val="00090109"/>
    <w:rsid w:val="0009067E"/>
    <w:rsid w:val="000963FA"/>
    <w:rsid w:val="000A4146"/>
    <w:rsid w:val="000C03B1"/>
    <w:rsid w:val="000C1DF9"/>
    <w:rsid w:val="000C29FA"/>
    <w:rsid w:val="000C3CC4"/>
    <w:rsid w:val="000D5A69"/>
    <w:rsid w:val="000D7A79"/>
    <w:rsid w:val="000E0D6B"/>
    <w:rsid w:val="000E2A1D"/>
    <w:rsid w:val="000E537C"/>
    <w:rsid w:val="000E61FF"/>
    <w:rsid w:val="001026FB"/>
    <w:rsid w:val="001055A7"/>
    <w:rsid w:val="001119BD"/>
    <w:rsid w:val="00113A33"/>
    <w:rsid w:val="0011683C"/>
    <w:rsid w:val="00117FE8"/>
    <w:rsid w:val="00124C8B"/>
    <w:rsid w:val="00124CB7"/>
    <w:rsid w:val="00133971"/>
    <w:rsid w:val="00137C12"/>
    <w:rsid w:val="00142A42"/>
    <w:rsid w:val="00145E27"/>
    <w:rsid w:val="00157136"/>
    <w:rsid w:val="00164656"/>
    <w:rsid w:val="00170260"/>
    <w:rsid w:val="00181944"/>
    <w:rsid w:val="00184281"/>
    <w:rsid w:val="00195B70"/>
    <w:rsid w:val="001A2890"/>
    <w:rsid w:val="001A33F9"/>
    <w:rsid w:val="001A4D44"/>
    <w:rsid w:val="001A601E"/>
    <w:rsid w:val="001B1351"/>
    <w:rsid w:val="001B18A2"/>
    <w:rsid w:val="001B762B"/>
    <w:rsid w:val="001C4DB2"/>
    <w:rsid w:val="001C7D0B"/>
    <w:rsid w:val="001D16CA"/>
    <w:rsid w:val="001D2675"/>
    <w:rsid w:val="001D4C76"/>
    <w:rsid w:val="001E7C8B"/>
    <w:rsid w:val="002007AF"/>
    <w:rsid w:val="00200AD1"/>
    <w:rsid w:val="00221F2D"/>
    <w:rsid w:val="00222054"/>
    <w:rsid w:val="002225C6"/>
    <w:rsid w:val="00224A21"/>
    <w:rsid w:val="002253FE"/>
    <w:rsid w:val="0022580E"/>
    <w:rsid w:val="00226D0D"/>
    <w:rsid w:val="00226EF3"/>
    <w:rsid w:val="00232F2D"/>
    <w:rsid w:val="00240137"/>
    <w:rsid w:val="002437CE"/>
    <w:rsid w:val="00251BBC"/>
    <w:rsid w:val="00253F46"/>
    <w:rsid w:val="00264BA7"/>
    <w:rsid w:val="00264EDA"/>
    <w:rsid w:val="002712E8"/>
    <w:rsid w:val="00273580"/>
    <w:rsid w:val="00276C09"/>
    <w:rsid w:val="00277D7C"/>
    <w:rsid w:val="00281498"/>
    <w:rsid w:val="0028314E"/>
    <w:rsid w:val="00283776"/>
    <w:rsid w:val="00283DB2"/>
    <w:rsid w:val="00284A86"/>
    <w:rsid w:val="0029118F"/>
    <w:rsid w:val="00291F75"/>
    <w:rsid w:val="00292678"/>
    <w:rsid w:val="002B3879"/>
    <w:rsid w:val="002B7DCE"/>
    <w:rsid w:val="002B7E48"/>
    <w:rsid w:val="002E2CD2"/>
    <w:rsid w:val="002F23A1"/>
    <w:rsid w:val="002F442E"/>
    <w:rsid w:val="00300A5F"/>
    <w:rsid w:val="003045B7"/>
    <w:rsid w:val="003070A2"/>
    <w:rsid w:val="0031233D"/>
    <w:rsid w:val="00312734"/>
    <w:rsid w:val="00314DA1"/>
    <w:rsid w:val="00322039"/>
    <w:rsid w:val="003223C7"/>
    <w:rsid w:val="00323F77"/>
    <w:rsid w:val="003263AC"/>
    <w:rsid w:val="003305B1"/>
    <w:rsid w:val="00337F18"/>
    <w:rsid w:val="00347118"/>
    <w:rsid w:val="00347E3A"/>
    <w:rsid w:val="003534A1"/>
    <w:rsid w:val="003621B3"/>
    <w:rsid w:val="00362BB1"/>
    <w:rsid w:val="00363853"/>
    <w:rsid w:val="003648C5"/>
    <w:rsid w:val="00372196"/>
    <w:rsid w:val="00375863"/>
    <w:rsid w:val="00395541"/>
    <w:rsid w:val="00396448"/>
    <w:rsid w:val="003A3323"/>
    <w:rsid w:val="003A5AFE"/>
    <w:rsid w:val="003A6A4B"/>
    <w:rsid w:val="003B4E77"/>
    <w:rsid w:val="003C014B"/>
    <w:rsid w:val="003C1DD2"/>
    <w:rsid w:val="003C4CCE"/>
    <w:rsid w:val="003C72DD"/>
    <w:rsid w:val="003C7AA5"/>
    <w:rsid w:val="003D184D"/>
    <w:rsid w:val="003D3BDA"/>
    <w:rsid w:val="003D3C99"/>
    <w:rsid w:val="003D5B00"/>
    <w:rsid w:val="003D6A0F"/>
    <w:rsid w:val="003E466E"/>
    <w:rsid w:val="003E61D0"/>
    <w:rsid w:val="003E75D3"/>
    <w:rsid w:val="003F4A65"/>
    <w:rsid w:val="003F77CF"/>
    <w:rsid w:val="003F7D52"/>
    <w:rsid w:val="00403666"/>
    <w:rsid w:val="00406762"/>
    <w:rsid w:val="00411710"/>
    <w:rsid w:val="004147E0"/>
    <w:rsid w:val="00417945"/>
    <w:rsid w:val="00421D7D"/>
    <w:rsid w:val="00423CCF"/>
    <w:rsid w:val="00424BD4"/>
    <w:rsid w:val="00432D1F"/>
    <w:rsid w:val="00445779"/>
    <w:rsid w:val="004462C1"/>
    <w:rsid w:val="00451263"/>
    <w:rsid w:val="00455F77"/>
    <w:rsid w:val="0045625B"/>
    <w:rsid w:val="0045784D"/>
    <w:rsid w:val="00461D8C"/>
    <w:rsid w:val="00467FB5"/>
    <w:rsid w:val="00471DC7"/>
    <w:rsid w:val="00472B02"/>
    <w:rsid w:val="0047570E"/>
    <w:rsid w:val="00476A3C"/>
    <w:rsid w:val="00476C12"/>
    <w:rsid w:val="00483711"/>
    <w:rsid w:val="00485429"/>
    <w:rsid w:val="00487F75"/>
    <w:rsid w:val="00496964"/>
    <w:rsid w:val="004A3A95"/>
    <w:rsid w:val="004A50D2"/>
    <w:rsid w:val="004B6371"/>
    <w:rsid w:val="004B7951"/>
    <w:rsid w:val="004C088A"/>
    <w:rsid w:val="004C1DB1"/>
    <w:rsid w:val="004C2808"/>
    <w:rsid w:val="004C5B27"/>
    <w:rsid w:val="004C625A"/>
    <w:rsid w:val="004E1EE4"/>
    <w:rsid w:val="004E49DD"/>
    <w:rsid w:val="004E4F69"/>
    <w:rsid w:val="004E6889"/>
    <w:rsid w:val="004F4C4D"/>
    <w:rsid w:val="004F7487"/>
    <w:rsid w:val="00504377"/>
    <w:rsid w:val="00504861"/>
    <w:rsid w:val="005049A9"/>
    <w:rsid w:val="00511CD0"/>
    <w:rsid w:val="00525F06"/>
    <w:rsid w:val="00526E95"/>
    <w:rsid w:val="00527BE9"/>
    <w:rsid w:val="00535D22"/>
    <w:rsid w:val="0054182D"/>
    <w:rsid w:val="00541AFF"/>
    <w:rsid w:val="00542C57"/>
    <w:rsid w:val="00543607"/>
    <w:rsid w:val="0055095F"/>
    <w:rsid w:val="00552C5D"/>
    <w:rsid w:val="005547EE"/>
    <w:rsid w:val="00555250"/>
    <w:rsid w:val="005571F3"/>
    <w:rsid w:val="00562346"/>
    <w:rsid w:val="0056284A"/>
    <w:rsid w:val="00591D5D"/>
    <w:rsid w:val="0059588E"/>
    <w:rsid w:val="005A3316"/>
    <w:rsid w:val="005A54F2"/>
    <w:rsid w:val="005B1FEE"/>
    <w:rsid w:val="005B6968"/>
    <w:rsid w:val="005C6AEE"/>
    <w:rsid w:val="005C75C7"/>
    <w:rsid w:val="005E1A66"/>
    <w:rsid w:val="005E212C"/>
    <w:rsid w:val="005E5127"/>
    <w:rsid w:val="005F1173"/>
    <w:rsid w:val="006035CB"/>
    <w:rsid w:val="00606FA3"/>
    <w:rsid w:val="00615709"/>
    <w:rsid w:val="00617504"/>
    <w:rsid w:val="00617712"/>
    <w:rsid w:val="0062044B"/>
    <w:rsid w:val="00620ED9"/>
    <w:rsid w:val="00621E2A"/>
    <w:rsid w:val="00630F34"/>
    <w:rsid w:val="00632993"/>
    <w:rsid w:val="00645A58"/>
    <w:rsid w:val="006617FB"/>
    <w:rsid w:val="006636C7"/>
    <w:rsid w:val="00663846"/>
    <w:rsid w:val="00666D40"/>
    <w:rsid w:val="006673B8"/>
    <w:rsid w:val="0066746E"/>
    <w:rsid w:val="00677889"/>
    <w:rsid w:val="00684918"/>
    <w:rsid w:val="00694050"/>
    <w:rsid w:val="00697E4D"/>
    <w:rsid w:val="006A1766"/>
    <w:rsid w:val="006A7A6E"/>
    <w:rsid w:val="006C31E3"/>
    <w:rsid w:val="006C6780"/>
    <w:rsid w:val="006D5DC2"/>
    <w:rsid w:val="006E50F3"/>
    <w:rsid w:val="006F1F55"/>
    <w:rsid w:val="006F64AE"/>
    <w:rsid w:val="006F765A"/>
    <w:rsid w:val="00705769"/>
    <w:rsid w:val="00706FA9"/>
    <w:rsid w:val="007070AC"/>
    <w:rsid w:val="0071051A"/>
    <w:rsid w:val="007106F4"/>
    <w:rsid w:val="00727F74"/>
    <w:rsid w:val="00730897"/>
    <w:rsid w:val="00731BCD"/>
    <w:rsid w:val="00734289"/>
    <w:rsid w:val="007501A6"/>
    <w:rsid w:val="00752CD4"/>
    <w:rsid w:val="00757C0B"/>
    <w:rsid w:val="007764C7"/>
    <w:rsid w:val="00782D09"/>
    <w:rsid w:val="00785D0D"/>
    <w:rsid w:val="00787068"/>
    <w:rsid w:val="00787BBD"/>
    <w:rsid w:val="007946B0"/>
    <w:rsid w:val="00795483"/>
    <w:rsid w:val="007A01C9"/>
    <w:rsid w:val="007A0B40"/>
    <w:rsid w:val="007A67D7"/>
    <w:rsid w:val="007B4A25"/>
    <w:rsid w:val="007C6DB2"/>
    <w:rsid w:val="007D30DA"/>
    <w:rsid w:val="007D3393"/>
    <w:rsid w:val="007D33D8"/>
    <w:rsid w:val="007D3D1C"/>
    <w:rsid w:val="007F098A"/>
    <w:rsid w:val="007F1F55"/>
    <w:rsid w:val="007F2EF8"/>
    <w:rsid w:val="007F35D3"/>
    <w:rsid w:val="007F7149"/>
    <w:rsid w:val="007F7823"/>
    <w:rsid w:val="00802E32"/>
    <w:rsid w:val="00826014"/>
    <w:rsid w:val="0083255B"/>
    <w:rsid w:val="00832F0A"/>
    <w:rsid w:val="00834A70"/>
    <w:rsid w:val="00837283"/>
    <w:rsid w:val="00851AC9"/>
    <w:rsid w:val="00851FDB"/>
    <w:rsid w:val="0086198D"/>
    <w:rsid w:val="00863641"/>
    <w:rsid w:val="0086536E"/>
    <w:rsid w:val="00866A7D"/>
    <w:rsid w:val="008717C6"/>
    <w:rsid w:val="00873884"/>
    <w:rsid w:val="008815E3"/>
    <w:rsid w:val="008857EE"/>
    <w:rsid w:val="008A084A"/>
    <w:rsid w:val="008A1DBB"/>
    <w:rsid w:val="008A56E2"/>
    <w:rsid w:val="008B128D"/>
    <w:rsid w:val="008B46B0"/>
    <w:rsid w:val="008B633D"/>
    <w:rsid w:val="008B6971"/>
    <w:rsid w:val="008B7FFD"/>
    <w:rsid w:val="008C7975"/>
    <w:rsid w:val="008D2A88"/>
    <w:rsid w:val="008D3EBE"/>
    <w:rsid w:val="008E48B1"/>
    <w:rsid w:val="008F2AA0"/>
    <w:rsid w:val="008F5801"/>
    <w:rsid w:val="009040DB"/>
    <w:rsid w:val="0090410F"/>
    <w:rsid w:val="00904C5C"/>
    <w:rsid w:val="00910CD7"/>
    <w:rsid w:val="00911960"/>
    <w:rsid w:val="009169B9"/>
    <w:rsid w:val="00916DE2"/>
    <w:rsid w:val="0092088E"/>
    <w:rsid w:val="00920FBD"/>
    <w:rsid w:val="009232D4"/>
    <w:rsid w:val="00926E8A"/>
    <w:rsid w:val="00927EAC"/>
    <w:rsid w:val="00933A14"/>
    <w:rsid w:val="009362D0"/>
    <w:rsid w:val="0094103D"/>
    <w:rsid w:val="00941C01"/>
    <w:rsid w:val="0094219B"/>
    <w:rsid w:val="00943FF6"/>
    <w:rsid w:val="009442FF"/>
    <w:rsid w:val="00956FE2"/>
    <w:rsid w:val="00957F25"/>
    <w:rsid w:val="00972570"/>
    <w:rsid w:val="00975AF5"/>
    <w:rsid w:val="00977F7F"/>
    <w:rsid w:val="00986D1F"/>
    <w:rsid w:val="009B0330"/>
    <w:rsid w:val="009B3A61"/>
    <w:rsid w:val="009B71AE"/>
    <w:rsid w:val="009B7AC3"/>
    <w:rsid w:val="009D40C5"/>
    <w:rsid w:val="009D5574"/>
    <w:rsid w:val="009D6711"/>
    <w:rsid w:val="009E4486"/>
    <w:rsid w:val="009F6363"/>
    <w:rsid w:val="00A00697"/>
    <w:rsid w:val="00A050F9"/>
    <w:rsid w:val="00A13601"/>
    <w:rsid w:val="00A142BB"/>
    <w:rsid w:val="00A14586"/>
    <w:rsid w:val="00A14882"/>
    <w:rsid w:val="00A14C2B"/>
    <w:rsid w:val="00A30FD1"/>
    <w:rsid w:val="00A337DE"/>
    <w:rsid w:val="00A35305"/>
    <w:rsid w:val="00A36245"/>
    <w:rsid w:val="00A368A7"/>
    <w:rsid w:val="00A41711"/>
    <w:rsid w:val="00A43A45"/>
    <w:rsid w:val="00A45D51"/>
    <w:rsid w:val="00A50806"/>
    <w:rsid w:val="00A5084B"/>
    <w:rsid w:val="00A51F5B"/>
    <w:rsid w:val="00A52411"/>
    <w:rsid w:val="00A52B14"/>
    <w:rsid w:val="00A52EB4"/>
    <w:rsid w:val="00A53BAA"/>
    <w:rsid w:val="00A542DA"/>
    <w:rsid w:val="00A657C4"/>
    <w:rsid w:val="00A668C3"/>
    <w:rsid w:val="00A70428"/>
    <w:rsid w:val="00A72B72"/>
    <w:rsid w:val="00A76558"/>
    <w:rsid w:val="00A80980"/>
    <w:rsid w:val="00A86F80"/>
    <w:rsid w:val="00A94A88"/>
    <w:rsid w:val="00A95B14"/>
    <w:rsid w:val="00A96E20"/>
    <w:rsid w:val="00AA721E"/>
    <w:rsid w:val="00AB019A"/>
    <w:rsid w:val="00AB06EA"/>
    <w:rsid w:val="00AC2BFD"/>
    <w:rsid w:val="00AC2C09"/>
    <w:rsid w:val="00AC5D3F"/>
    <w:rsid w:val="00AC6C8B"/>
    <w:rsid w:val="00AD00F7"/>
    <w:rsid w:val="00AD30B8"/>
    <w:rsid w:val="00AD7044"/>
    <w:rsid w:val="00AE0F54"/>
    <w:rsid w:val="00AE32A2"/>
    <w:rsid w:val="00AE7908"/>
    <w:rsid w:val="00AF14BD"/>
    <w:rsid w:val="00AF55E3"/>
    <w:rsid w:val="00AF5F52"/>
    <w:rsid w:val="00B01FA0"/>
    <w:rsid w:val="00B03343"/>
    <w:rsid w:val="00B0627A"/>
    <w:rsid w:val="00B11421"/>
    <w:rsid w:val="00B135D9"/>
    <w:rsid w:val="00B13706"/>
    <w:rsid w:val="00B1715B"/>
    <w:rsid w:val="00B24BBD"/>
    <w:rsid w:val="00B25DFD"/>
    <w:rsid w:val="00B33A73"/>
    <w:rsid w:val="00B34EF7"/>
    <w:rsid w:val="00B362B8"/>
    <w:rsid w:val="00B40974"/>
    <w:rsid w:val="00B40C43"/>
    <w:rsid w:val="00B42A49"/>
    <w:rsid w:val="00B42A84"/>
    <w:rsid w:val="00B542D1"/>
    <w:rsid w:val="00B562D5"/>
    <w:rsid w:val="00B66E92"/>
    <w:rsid w:val="00B672D0"/>
    <w:rsid w:val="00B67414"/>
    <w:rsid w:val="00B8232B"/>
    <w:rsid w:val="00B913BB"/>
    <w:rsid w:val="00B9392A"/>
    <w:rsid w:val="00B94AB0"/>
    <w:rsid w:val="00B96FC1"/>
    <w:rsid w:val="00B979CF"/>
    <w:rsid w:val="00BA5F60"/>
    <w:rsid w:val="00BB03F4"/>
    <w:rsid w:val="00BB197D"/>
    <w:rsid w:val="00BC1A46"/>
    <w:rsid w:val="00BC34B2"/>
    <w:rsid w:val="00BC63FC"/>
    <w:rsid w:val="00BD7CF0"/>
    <w:rsid w:val="00BE7EF2"/>
    <w:rsid w:val="00BF2F6B"/>
    <w:rsid w:val="00BF3DAE"/>
    <w:rsid w:val="00BF5D9C"/>
    <w:rsid w:val="00BF62D3"/>
    <w:rsid w:val="00BF713B"/>
    <w:rsid w:val="00C00809"/>
    <w:rsid w:val="00C00CFD"/>
    <w:rsid w:val="00C0288B"/>
    <w:rsid w:val="00C06C77"/>
    <w:rsid w:val="00C12877"/>
    <w:rsid w:val="00C12E18"/>
    <w:rsid w:val="00C329D7"/>
    <w:rsid w:val="00C3750A"/>
    <w:rsid w:val="00C3770B"/>
    <w:rsid w:val="00C422D1"/>
    <w:rsid w:val="00C469D3"/>
    <w:rsid w:val="00C61921"/>
    <w:rsid w:val="00C65479"/>
    <w:rsid w:val="00C71FDD"/>
    <w:rsid w:val="00C72284"/>
    <w:rsid w:val="00C81CBF"/>
    <w:rsid w:val="00C8545B"/>
    <w:rsid w:val="00C86BBC"/>
    <w:rsid w:val="00C92074"/>
    <w:rsid w:val="00C954F2"/>
    <w:rsid w:val="00C9550B"/>
    <w:rsid w:val="00CB0BBD"/>
    <w:rsid w:val="00CB4067"/>
    <w:rsid w:val="00CB592A"/>
    <w:rsid w:val="00CB6109"/>
    <w:rsid w:val="00CE27CF"/>
    <w:rsid w:val="00CE4BEB"/>
    <w:rsid w:val="00CE621C"/>
    <w:rsid w:val="00D03B05"/>
    <w:rsid w:val="00D06A72"/>
    <w:rsid w:val="00D116C0"/>
    <w:rsid w:val="00D1241B"/>
    <w:rsid w:val="00D131C5"/>
    <w:rsid w:val="00D14991"/>
    <w:rsid w:val="00D2073F"/>
    <w:rsid w:val="00D22E21"/>
    <w:rsid w:val="00D261F8"/>
    <w:rsid w:val="00D26DE8"/>
    <w:rsid w:val="00D305A5"/>
    <w:rsid w:val="00D31C81"/>
    <w:rsid w:val="00D44344"/>
    <w:rsid w:val="00D4752E"/>
    <w:rsid w:val="00D55AB1"/>
    <w:rsid w:val="00D66EF8"/>
    <w:rsid w:val="00D81FBA"/>
    <w:rsid w:val="00D8225F"/>
    <w:rsid w:val="00D8798E"/>
    <w:rsid w:val="00D9097A"/>
    <w:rsid w:val="00D96AEE"/>
    <w:rsid w:val="00D97BC7"/>
    <w:rsid w:val="00DA553C"/>
    <w:rsid w:val="00DB35E6"/>
    <w:rsid w:val="00DB764D"/>
    <w:rsid w:val="00DD1737"/>
    <w:rsid w:val="00DD58ED"/>
    <w:rsid w:val="00DD59DA"/>
    <w:rsid w:val="00DE4C4C"/>
    <w:rsid w:val="00DE66CE"/>
    <w:rsid w:val="00DF1F77"/>
    <w:rsid w:val="00E20285"/>
    <w:rsid w:val="00E20E22"/>
    <w:rsid w:val="00E22317"/>
    <w:rsid w:val="00E229C8"/>
    <w:rsid w:val="00E23359"/>
    <w:rsid w:val="00E26986"/>
    <w:rsid w:val="00E26AD1"/>
    <w:rsid w:val="00E34CF4"/>
    <w:rsid w:val="00E37DF5"/>
    <w:rsid w:val="00E4438B"/>
    <w:rsid w:val="00E46DB2"/>
    <w:rsid w:val="00E477C3"/>
    <w:rsid w:val="00E508BB"/>
    <w:rsid w:val="00E54683"/>
    <w:rsid w:val="00E57C49"/>
    <w:rsid w:val="00E629E0"/>
    <w:rsid w:val="00E65269"/>
    <w:rsid w:val="00E65A4C"/>
    <w:rsid w:val="00E758A0"/>
    <w:rsid w:val="00E81634"/>
    <w:rsid w:val="00E85C62"/>
    <w:rsid w:val="00EA0CB5"/>
    <w:rsid w:val="00EB090C"/>
    <w:rsid w:val="00EB30C7"/>
    <w:rsid w:val="00ED0859"/>
    <w:rsid w:val="00ED2B2E"/>
    <w:rsid w:val="00EE6AB6"/>
    <w:rsid w:val="00EF1E09"/>
    <w:rsid w:val="00EF1F27"/>
    <w:rsid w:val="00EF20EE"/>
    <w:rsid w:val="00EF25E4"/>
    <w:rsid w:val="00F02776"/>
    <w:rsid w:val="00F04FAB"/>
    <w:rsid w:val="00F0742E"/>
    <w:rsid w:val="00F12F2D"/>
    <w:rsid w:val="00F16E5F"/>
    <w:rsid w:val="00F20BAF"/>
    <w:rsid w:val="00F24118"/>
    <w:rsid w:val="00F24969"/>
    <w:rsid w:val="00F26DD2"/>
    <w:rsid w:val="00F273C5"/>
    <w:rsid w:val="00F31822"/>
    <w:rsid w:val="00F40BC0"/>
    <w:rsid w:val="00F4460A"/>
    <w:rsid w:val="00F47EA1"/>
    <w:rsid w:val="00F55228"/>
    <w:rsid w:val="00F57DFC"/>
    <w:rsid w:val="00F65EBE"/>
    <w:rsid w:val="00F71485"/>
    <w:rsid w:val="00F800A5"/>
    <w:rsid w:val="00F86B08"/>
    <w:rsid w:val="00F93404"/>
    <w:rsid w:val="00F96C98"/>
    <w:rsid w:val="00FA1CDF"/>
    <w:rsid w:val="00FA3219"/>
    <w:rsid w:val="00FA7124"/>
    <w:rsid w:val="00FB15C0"/>
    <w:rsid w:val="00FC01AA"/>
    <w:rsid w:val="00FC1B34"/>
    <w:rsid w:val="00FC364A"/>
    <w:rsid w:val="00FC53C7"/>
    <w:rsid w:val="00FC56B0"/>
    <w:rsid w:val="00FE57C6"/>
    <w:rsid w:val="00FE6030"/>
    <w:rsid w:val="00FF2D4A"/>
    <w:rsid w:val="00FF42F9"/>
    <w:rsid w:val="00FF5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26CF"/>
  <w15:chartTrackingRefBased/>
  <w15:docId w15:val="{88E0E6D9-E49F-4D55-878F-F966AA63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E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27E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34EF7"/>
    <w:pPr>
      <w:spacing w:after="0" w:line="240" w:lineRule="auto"/>
    </w:pPr>
  </w:style>
  <w:style w:type="paragraph" w:styleId="Title">
    <w:name w:val="Title"/>
    <w:basedOn w:val="Normal"/>
    <w:next w:val="Normal"/>
    <w:link w:val="TitleChar"/>
    <w:uiPriority w:val="10"/>
    <w:qFormat/>
    <w:rsid w:val="00B34E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EF7"/>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920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4">
    <w:name w:val="List Table 3 Accent 4"/>
    <w:basedOn w:val="TableNormal"/>
    <w:uiPriority w:val="48"/>
    <w:rsid w:val="00124CB7"/>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2">
    <w:name w:val="List Table 3 Accent 2"/>
    <w:basedOn w:val="TableNormal"/>
    <w:uiPriority w:val="48"/>
    <w:rsid w:val="00124CB7"/>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character" w:customStyle="1" w:styleId="Heading2Char">
    <w:name w:val="Heading 2 Char"/>
    <w:basedOn w:val="DefaultParagraphFont"/>
    <w:link w:val="Heading2"/>
    <w:uiPriority w:val="9"/>
    <w:rsid w:val="00927EAC"/>
    <w:rPr>
      <w:rFonts w:asciiTheme="majorHAnsi" w:eastAsiaTheme="majorEastAsia" w:hAnsiTheme="majorHAnsi" w:cstheme="majorBidi"/>
      <w:color w:val="2F5496" w:themeColor="accent1" w:themeShade="BF"/>
      <w:sz w:val="26"/>
      <w:szCs w:val="26"/>
    </w:rPr>
  </w:style>
  <w:style w:type="table" w:styleId="LightShading-Accent5">
    <w:name w:val="Light Shading Accent 5"/>
    <w:basedOn w:val="TableNormal"/>
    <w:uiPriority w:val="60"/>
    <w:rsid w:val="00D9097A"/>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NoSpacingChar">
    <w:name w:val="No Spacing Char"/>
    <w:basedOn w:val="DefaultParagraphFont"/>
    <w:link w:val="NoSpacing"/>
    <w:uiPriority w:val="1"/>
    <w:rsid w:val="00D9097A"/>
  </w:style>
  <w:style w:type="table" w:styleId="GridTable4-Accent2">
    <w:name w:val="Grid Table 4 Accent 2"/>
    <w:basedOn w:val="TableNormal"/>
    <w:uiPriority w:val="49"/>
    <w:rsid w:val="00EE6AB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Header">
    <w:name w:val="header"/>
    <w:basedOn w:val="Normal"/>
    <w:link w:val="HeaderChar"/>
    <w:uiPriority w:val="99"/>
    <w:unhideWhenUsed/>
    <w:rsid w:val="004E49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4E49DD"/>
  </w:style>
  <w:style w:type="paragraph" w:styleId="Footer">
    <w:name w:val="footer"/>
    <w:basedOn w:val="Normal"/>
    <w:link w:val="FooterChar"/>
    <w:uiPriority w:val="99"/>
    <w:unhideWhenUsed/>
    <w:rsid w:val="004E49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E49DD"/>
  </w:style>
  <w:style w:type="table" w:styleId="ListTable6Colorful-Accent2">
    <w:name w:val="List Table 6 Colorful Accent 2"/>
    <w:basedOn w:val="TableNormal"/>
    <w:uiPriority w:val="51"/>
    <w:rsid w:val="00184281"/>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Paragraph">
    <w:name w:val="List Paragraph"/>
    <w:aliases w:val="FooterText,Bullet List,cS List Paragraph,numbered,Paragraphe de liste1,Bulletr List Paragraph,列  出  段  落,列  出  段  落  1,List Paragraph2,List Paragraph21,List Paragraph11,Parágrafo da Lista1,Párrafo de lista1,リ  ス  ト  段  落  1,Listeafsnit1"/>
    <w:basedOn w:val="Normal"/>
    <w:link w:val="ListParagraphChar"/>
    <w:uiPriority w:val="99"/>
    <w:qFormat/>
    <w:rsid w:val="007764C7"/>
    <w:pPr>
      <w:ind w:left="720"/>
      <w:contextualSpacing/>
    </w:pPr>
  </w:style>
  <w:style w:type="character" w:customStyle="1" w:styleId="Heading1Char">
    <w:name w:val="Heading 1 Char"/>
    <w:basedOn w:val="DefaultParagraphFont"/>
    <w:link w:val="Heading1"/>
    <w:uiPriority w:val="9"/>
    <w:rsid w:val="00620ED9"/>
    <w:rPr>
      <w:rFonts w:asciiTheme="majorHAnsi" w:eastAsiaTheme="majorEastAsia" w:hAnsiTheme="majorHAnsi" w:cstheme="majorBidi"/>
      <w:color w:val="2F5496" w:themeColor="accent1" w:themeShade="BF"/>
      <w:sz w:val="32"/>
      <w:szCs w:val="32"/>
    </w:rPr>
  </w:style>
  <w:style w:type="table" w:styleId="ListTable1Light-Accent4">
    <w:name w:val="List Table 1 Light Accent 4"/>
    <w:basedOn w:val="TableNormal"/>
    <w:uiPriority w:val="46"/>
    <w:rsid w:val="005B1FEE"/>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NormalWeb">
    <w:name w:val="Normal (Web)"/>
    <w:basedOn w:val="Normal"/>
    <w:uiPriority w:val="99"/>
    <w:semiHidden/>
    <w:unhideWhenUsed/>
    <w:rsid w:val="00222054"/>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ListParagraphChar">
    <w:name w:val="List Paragraph Char"/>
    <w:aliases w:val="FooterText Char,Bullet List Char,cS List Paragraph Char,numbered Char,Paragraphe de liste1 Char,Bulletr List Paragraph Char,列  出  段  落 Char,列  出  段  落  1 Char,List Paragraph2 Char,List Paragraph21 Char,List Paragraph11 Char"/>
    <w:basedOn w:val="DefaultParagraphFont"/>
    <w:link w:val="ListParagraph"/>
    <w:uiPriority w:val="99"/>
    <w:locked/>
    <w:rsid w:val="00226D0D"/>
  </w:style>
  <w:style w:type="table" w:styleId="ListTable1Light-Accent1">
    <w:name w:val="List Table 1 Light Accent 1"/>
    <w:basedOn w:val="TableNormal"/>
    <w:uiPriority w:val="46"/>
    <w:rsid w:val="00226D0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7200">
      <w:bodyDiv w:val="1"/>
      <w:marLeft w:val="0"/>
      <w:marRight w:val="0"/>
      <w:marTop w:val="0"/>
      <w:marBottom w:val="0"/>
      <w:divBdr>
        <w:top w:val="none" w:sz="0" w:space="0" w:color="auto"/>
        <w:left w:val="none" w:sz="0" w:space="0" w:color="auto"/>
        <w:bottom w:val="none" w:sz="0" w:space="0" w:color="auto"/>
        <w:right w:val="none" w:sz="0" w:space="0" w:color="auto"/>
      </w:divBdr>
    </w:div>
    <w:div w:id="403064241">
      <w:bodyDiv w:val="1"/>
      <w:marLeft w:val="0"/>
      <w:marRight w:val="0"/>
      <w:marTop w:val="0"/>
      <w:marBottom w:val="0"/>
      <w:divBdr>
        <w:top w:val="none" w:sz="0" w:space="0" w:color="auto"/>
        <w:left w:val="none" w:sz="0" w:space="0" w:color="auto"/>
        <w:bottom w:val="none" w:sz="0" w:space="0" w:color="auto"/>
        <w:right w:val="none" w:sz="0" w:space="0" w:color="auto"/>
      </w:divBdr>
    </w:div>
    <w:div w:id="950360584">
      <w:bodyDiv w:val="1"/>
      <w:marLeft w:val="0"/>
      <w:marRight w:val="0"/>
      <w:marTop w:val="0"/>
      <w:marBottom w:val="0"/>
      <w:divBdr>
        <w:top w:val="none" w:sz="0" w:space="0" w:color="auto"/>
        <w:left w:val="none" w:sz="0" w:space="0" w:color="auto"/>
        <w:bottom w:val="none" w:sz="0" w:space="0" w:color="auto"/>
        <w:right w:val="none" w:sz="0" w:space="0" w:color="auto"/>
      </w:divBdr>
    </w:div>
    <w:div w:id="1010793519">
      <w:bodyDiv w:val="1"/>
      <w:marLeft w:val="0"/>
      <w:marRight w:val="0"/>
      <w:marTop w:val="0"/>
      <w:marBottom w:val="0"/>
      <w:divBdr>
        <w:top w:val="none" w:sz="0" w:space="0" w:color="auto"/>
        <w:left w:val="none" w:sz="0" w:space="0" w:color="auto"/>
        <w:bottom w:val="none" w:sz="0" w:space="0" w:color="auto"/>
        <w:right w:val="none" w:sz="0" w:space="0" w:color="auto"/>
      </w:divBdr>
    </w:div>
    <w:div w:id="1057389510">
      <w:bodyDiv w:val="1"/>
      <w:marLeft w:val="0"/>
      <w:marRight w:val="0"/>
      <w:marTop w:val="0"/>
      <w:marBottom w:val="0"/>
      <w:divBdr>
        <w:top w:val="none" w:sz="0" w:space="0" w:color="auto"/>
        <w:left w:val="none" w:sz="0" w:space="0" w:color="auto"/>
        <w:bottom w:val="none" w:sz="0" w:space="0" w:color="auto"/>
        <w:right w:val="none" w:sz="0" w:space="0" w:color="auto"/>
      </w:divBdr>
    </w:div>
    <w:div w:id="1223562806">
      <w:bodyDiv w:val="1"/>
      <w:marLeft w:val="0"/>
      <w:marRight w:val="0"/>
      <w:marTop w:val="0"/>
      <w:marBottom w:val="0"/>
      <w:divBdr>
        <w:top w:val="none" w:sz="0" w:space="0" w:color="auto"/>
        <w:left w:val="none" w:sz="0" w:space="0" w:color="auto"/>
        <w:bottom w:val="none" w:sz="0" w:space="0" w:color="auto"/>
        <w:right w:val="none" w:sz="0" w:space="0" w:color="auto"/>
      </w:divBdr>
    </w:div>
    <w:div w:id="1239100765">
      <w:bodyDiv w:val="1"/>
      <w:marLeft w:val="0"/>
      <w:marRight w:val="0"/>
      <w:marTop w:val="0"/>
      <w:marBottom w:val="0"/>
      <w:divBdr>
        <w:top w:val="none" w:sz="0" w:space="0" w:color="auto"/>
        <w:left w:val="none" w:sz="0" w:space="0" w:color="auto"/>
        <w:bottom w:val="none" w:sz="0" w:space="0" w:color="auto"/>
        <w:right w:val="none" w:sz="0" w:space="0" w:color="auto"/>
      </w:divBdr>
    </w:div>
    <w:div w:id="1814636949">
      <w:bodyDiv w:val="1"/>
      <w:marLeft w:val="0"/>
      <w:marRight w:val="0"/>
      <w:marTop w:val="0"/>
      <w:marBottom w:val="0"/>
      <w:divBdr>
        <w:top w:val="none" w:sz="0" w:space="0" w:color="auto"/>
        <w:left w:val="none" w:sz="0" w:space="0" w:color="auto"/>
        <w:bottom w:val="none" w:sz="0" w:space="0" w:color="auto"/>
        <w:right w:val="none" w:sz="0" w:space="0" w:color="auto"/>
      </w:divBdr>
    </w:div>
    <w:div w:id="1821997458">
      <w:bodyDiv w:val="1"/>
      <w:marLeft w:val="0"/>
      <w:marRight w:val="0"/>
      <w:marTop w:val="0"/>
      <w:marBottom w:val="0"/>
      <w:divBdr>
        <w:top w:val="none" w:sz="0" w:space="0" w:color="auto"/>
        <w:left w:val="none" w:sz="0" w:space="0" w:color="auto"/>
        <w:bottom w:val="none" w:sz="0" w:space="0" w:color="auto"/>
        <w:right w:val="none" w:sz="0" w:space="0" w:color="auto"/>
      </w:divBdr>
    </w:div>
    <w:div w:id="1912882056">
      <w:bodyDiv w:val="1"/>
      <w:marLeft w:val="0"/>
      <w:marRight w:val="0"/>
      <w:marTop w:val="0"/>
      <w:marBottom w:val="0"/>
      <w:divBdr>
        <w:top w:val="none" w:sz="0" w:space="0" w:color="auto"/>
        <w:left w:val="none" w:sz="0" w:space="0" w:color="auto"/>
        <w:bottom w:val="none" w:sz="0" w:space="0" w:color="auto"/>
        <w:right w:val="none" w:sz="0" w:space="0" w:color="auto"/>
      </w:divBdr>
    </w:div>
    <w:div w:id="1985161089">
      <w:bodyDiv w:val="1"/>
      <w:marLeft w:val="0"/>
      <w:marRight w:val="0"/>
      <w:marTop w:val="0"/>
      <w:marBottom w:val="0"/>
      <w:divBdr>
        <w:top w:val="none" w:sz="0" w:space="0" w:color="auto"/>
        <w:left w:val="none" w:sz="0" w:space="0" w:color="auto"/>
        <w:bottom w:val="none" w:sz="0" w:space="0" w:color="auto"/>
        <w:right w:val="none" w:sz="0" w:space="0" w:color="auto"/>
      </w:divBdr>
    </w:div>
    <w:div w:id="2057971952">
      <w:bodyDiv w:val="1"/>
      <w:marLeft w:val="0"/>
      <w:marRight w:val="0"/>
      <w:marTop w:val="0"/>
      <w:marBottom w:val="0"/>
      <w:divBdr>
        <w:top w:val="none" w:sz="0" w:space="0" w:color="auto"/>
        <w:left w:val="none" w:sz="0" w:space="0" w:color="auto"/>
        <w:bottom w:val="none" w:sz="0" w:space="0" w:color="auto"/>
        <w:right w:val="none" w:sz="0" w:space="0" w:color="auto"/>
      </w:divBdr>
    </w:div>
    <w:div w:id="208961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CC6D87633A914982032CB9EEE36AB5" ma:contentTypeVersion="7" ma:contentTypeDescription="Create a new document." ma:contentTypeScope="" ma:versionID="95650b1e668ecf14a7b37f6fab8a6ef2">
  <xsd:schema xmlns:xsd="http://www.w3.org/2001/XMLSchema" xmlns:xs="http://www.w3.org/2001/XMLSchema" xmlns:p="http://schemas.microsoft.com/office/2006/metadata/properties" xmlns:ns3="8dc0963e-725f-4df9-9ee5-3409d10e749b" xmlns:ns4="06c98763-7e7f-47de-a217-4e462391dcfe" targetNamespace="http://schemas.microsoft.com/office/2006/metadata/properties" ma:root="true" ma:fieldsID="fa4d687149612bc3b1b818fcaf75cf7f" ns3:_="" ns4:_="">
    <xsd:import namespace="8dc0963e-725f-4df9-9ee5-3409d10e749b"/>
    <xsd:import namespace="06c98763-7e7f-47de-a217-4e462391dc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0963e-725f-4df9-9ee5-3409d10e7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c98763-7e7f-47de-a217-4e462391dc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84B90F-70E5-47E2-B86D-1B566B26406D}">
  <ds:schemaRefs>
    <ds:schemaRef ds:uri="http://schemas.microsoft.com/sharepoint/v3/contenttype/forms"/>
  </ds:schemaRefs>
</ds:datastoreItem>
</file>

<file path=customXml/itemProps2.xml><?xml version="1.0" encoding="utf-8"?>
<ds:datastoreItem xmlns:ds="http://schemas.openxmlformats.org/officeDocument/2006/customXml" ds:itemID="{6C1464D6-CB41-44CB-870E-B5306D6655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CFD535-1FFA-40C2-AD3A-BB227B2D0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0963e-725f-4df9-9ee5-3409d10e749b"/>
    <ds:schemaRef ds:uri="06c98763-7e7f-47de-a217-4e462391d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916</Words>
  <Characters>5225</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Roerink</dc:creator>
  <cp:keywords/>
  <dc:description/>
  <cp:lastModifiedBy>Anne-Marie Roerink</cp:lastModifiedBy>
  <cp:revision>2</cp:revision>
  <dcterms:created xsi:type="dcterms:W3CDTF">2024-04-28T19:06:00Z</dcterms:created>
  <dcterms:modified xsi:type="dcterms:W3CDTF">2024-04-28T19:06:00Z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0x01010047CC6D87633A914982032CB9EEE36AB5</vt:lpwstr>
  </property>
</Properties>
</file>