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7C44EFA9">
            <wp:simplePos x="0" y="0"/>
            <wp:positionH relativeFrom="margin">
              <wp:align>center</wp:align>
            </wp:positionH>
            <wp:positionV relativeFrom="paragraph">
              <wp:posOffset>-22860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1AAD8219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>; 4</w:t>
      </w:r>
      <w:r w:rsidR="00AE32A2">
        <w:rPr>
          <w:sz w:val="44"/>
          <w:szCs w:val="44"/>
        </w:rPr>
        <w:t xml:space="preserve"> and 52</w:t>
      </w:r>
      <w:r w:rsidR="000C3CC4" w:rsidRPr="000C3CC4">
        <w:rPr>
          <w:sz w:val="44"/>
          <w:szCs w:val="44"/>
        </w:rPr>
        <w:t xml:space="preserve"> w</w:t>
      </w:r>
      <w:r w:rsidR="00D22E21">
        <w:rPr>
          <w:sz w:val="44"/>
          <w:szCs w:val="44"/>
        </w:rPr>
        <w:t>.e.</w:t>
      </w:r>
      <w:r w:rsidR="000C3CC4" w:rsidRPr="000C3CC4">
        <w:rPr>
          <w:sz w:val="44"/>
          <w:szCs w:val="44"/>
        </w:rPr>
        <w:t xml:space="preserve"> </w:t>
      </w:r>
      <w:r w:rsidR="00787068">
        <w:rPr>
          <w:sz w:val="44"/>
          <w:szCs w:val="44"/>
        </w:rPr>
        <w:t>3</w:t>
      </w:r>
      <w:r w:rsidR="00705769">
        <w:rPr>
          <w:sz w:val="44"/>
          <w:szCs w:val="44"/>
        </w:rPr>
        <w:t>.2</w:t>
      </w:r>
      <w:r w:rsidR="00787068">
        <w:rPr>
          <w:sz w:val="44"/>
          <w:szCs w:val="44"/>
        </w:rPr>
        <w:t>4</w:t>
      </w:r>
      <w:r w:rsidR="004147E0">
        <w:rPr>
          <w:sz w:val="44"/>
          <w:szCs w:val="44"/>
        </w:rPr>
        <w:t>.2024</w:t>
      </w:r>
    </w:p>
    <w:p w14:paraId="74281325" w14:textId="374E2DE2" w:rsidR="00757C0B" w:rsidRPr="00757C0B" w:rsidRDefault="00787068" w:rsidP="00757C0B">
      <w:pPr>
        <w:pStyle w:val="Heading1"/>
        <w:rPr>
          <w:b/>
          <w:bCs/>
          <w:color w:val="ED7D31" w:themeColor="accent2"/>
          <w:sz w:val="26"/>
          <w:szCs w:val="26"/>
        </w:rPr>
      </w:pPr>
      <w:r>
        <w:rPr>
          <w:b/>
          <w:bCs/>
          <w:color w:val="ED7D31" w:themeColor="accent2"/>
          <w:sz w:val="26"/>
          <w:szCs w:val="26"/>
        </w:rPr>
        <w:t>March</w:t>
      </w:r>
      <w:r w:rsidR="00757C0B" w:rsidRPr="00757C0B">
        <w:rPr>
          <w:b/>
          <w:bCs/>
          <w:color w:val="ED7D31" w:themeColor="accent2"/>
          <w:sz w:val="26"/>
          <w:szCs w:val="26"/>
        </w:rPr>
        <w:t xml:space="preserve"> in Review</w:t>
      </w:r>
    </w:p>
    <w:p w14:paraId="1817603B" w14:textId="77777777" w:rsidR="006C31E3" w:rsidRDefault="00787068" w:rsidP="00757C0B">
      <w:pPr>
        <w:pStyle w:val="NoSpacing"/>
        <w:rPr>
          <w:rFonts w:cstheme="minorHAnsi"/>
        </w:rPr>
      </w:pPr>
      <w:r>
        <w:rPr>
          <w:rFonts w:cstheme="minorHAnsi"/>
        </w:rPr>
        <w:t>The March Consumer Price Index reflected the ongoing rise of inflation in foodservice. Restaurant price increase</w:t>
      </w:r>
      <w:r w:rsidR="006C31E3">
        <w:rPr>
          <w:rFonts w:cstheme="minorHAnsi"/>
        </w:rPr>
        <w:t>s</w:t>
      </w:r>
      <w:r>
        <w:rPr>
          <w:rFonts w:cstheme="minorHAnsi"/>
        </w:rPr>
        <w:t xml:space="preserve"> have been outpacing broader inflation for quite a while now. </w:t>
      </w:r>
    </w:p>
    <w:p w14:paraId="6F030889" w14:textId="4A35A8EF" w:rsidR="00283776" w:rsidRDefault="00787068" w:rsidP="00283776">
      <w:pPr>
        <w:pStyle w:val="NoSpacing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 xml:space="preserve">The March food-away-from-home </w:t>
      </w:r>
      <w:r w:rsidR="006C31E3">
        <w:rPr>
          <w:rFonts w:cstheme="minorHAnsi"/>
        </w:rPr>
        <w:t xml:space="preserve">inflation </w:t>
      </w:r>
      <w:r>
        <w:rPr>
          <w:rFonts w:cstheme="minorHAnsi"/>
        </w:rPr>
        <w:t xml:space="preserve">was up 0.3% from the previous month and </w:t>
      </w:r>
      <w:r w:rsidR="00283776">
        <w:rPr>
          <w:rFonts w:cstheme="minorHAnsi"/>
        </w:rPr>
        <w:t>4.2</w:t>
      </w:r>
      <w:r>
        <w:rPr>
          <w:rFonts w:cstheme="minorHAnsi"/>
        </w:rPr>
        <w:t xml:space="preserve">% versus </w:t>
      </w:r>
      <w:r w:rsidR="00283776">
        <w:rPr>
          <w:rFonts w:cstheme="minorHAnsi"/>
        </w:rPr>
        <w:t xml:space="preserve">March </w:t>
      </w:r>
      <w:r>
        <w:rPr>
          <w:rFonts w:cstheme="minorHAnsi"/>
        </w:rPr>
        <w:t xml:space="preserve">2023. Grocery prices increased by 1.2% in contrast. </w:t>
      </w:r>
      <w:r w:rsidR="00283776">
        <w:rPr>
          <w:rFonts w:cstheme="minorHAnsi"/>
        </w:rPr>
        <w:t xml:space="preserve">The USDA released its forecast for 2024 which shows more of the same, with above-average inflation for food-away-at-home. </w:t>
      </w:r>
    </w:p>
    <w:p w14:paraId="3EC3F507" w14:textId="77777777" w:rsidR="006C31E3" w:rsidRDefault="00787068" w:rsidP="006C31E3">
      <w:pPr>
        <w:pStyle w:val="NoSpacing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 xml:space="preserve">A survey by the National Restaurant Association predicts further headwinds for foodservice. More than half of respondents said </w:t>
      </w:r>
      <w:r w:rsidR="006C31E3">
        <w:rPr>
          <w:rFonts w:cstheme="minorHAnsi"/>
        </w:rPr>
        <w:t>same-store sales were down year-on-year. This time last year, only 17% noted a decrease in same-store sales</w:t>
      </w:r>
      <w:r w:rsidR="00757C0B" w:rsidRPr="00757C0B">
        <w:rPr>
          <w:rFonts w:cstheme="minorHAnsi"/>
        </w:rPr>
        <w:t>.</w:t>
      </w:r>
      <w:r w:rsidR="006C31E3">
        <w:rPr>
          <w:rFonts w:cstheme="minorHAnsi"/>
        </w:rPr>
        <w:t xml:space="preserve"> </w:t>
      </w:r>
    </w:p>
    <w:p w14:paraId="2A7C40C5" w14:textId="07D4CDBB" w:rsidR="00757C0B" w:rsidRDefault="006C31E3" w:rsidP="006C31E3">
      <w:pPr>
        <w:pStyle w:val="NoSpacing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 xml:space="preserve">While a home-centric environment, retail sales continue to be challenged by consumers’ money-saving measures, led by looking for sales promotions and sticking to the list. As a result, unit and volume sales continue to be down year-over-year for many departments. Produce is a rare exception. </w:t>
      </w:r>
      <w:r w:rsidR="00757C0B" w:rsidRPr="00757C0B">
        <w:rPr>
          <w:rFonts w:cstheme="minorHAnsi"/>
        </w:rPr>
        <w:t xml:space="preserve"> </w:t>
      </w:r>
    </w:p>
    <w:p w14:paraId="19F67F2F" w14:textId="4D85CDC9" w:rsidR="00757C0B" w:rsidRDefault="000C03B1" w:rsidP="00757C0B">
      <w:pPr>
        <w:pStyle w:val="NoSpacing"/>
        <w:rPr>
          <w:rFonts w:cstheme="minorHAnsi"/>
          <w:color w:val="000000" w:themeColor="text1"/>
        </w:rPr>
      </w:pPr>
      <w:r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1346E90" wp14:editId="3DCEED53">
                <wp:simplePos x="0" y="0"/>
                <wp:positionH relativeFrom="column">
                  <wp:posOffset>-66675</wp:posOffset>
                </wp:positionH>
                <wp:positionV relativeFrom="paragraph">
                  <wp:posOffset>149860</wp:posOffset>
                </wp:positionV>
                <wp:extent cx="6600825" cy="1000125"/>
                <wp:effectExtent l="0" t="0" r="28575" b="28575"/>
                <wp:wrapNone/>
                <wp:docPr id="16745654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0001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CB5757" id="Rectangle 1" o:spid="_x0000_s1026" style="position:absolute;margin-left:-5.25pt;margin-top:11.8pt;width:519.75pt;height:78.7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" fillcolor="#e7e6e6 [3214]" strokecolor="#ed7d31 [3205]" strokeweight="1pt"/>
            </w:pict>
          </mc:Fallback>
        </mc:AlternateContent>
      </w:r>
    </w:p>
    <w:p w14:paraId="005B5E0D" w14:textId="4D0524C2" w:rsidR="00757C0B" w:rsidRPr="00757C0B" w:rsidRDefault="00757C0B" w:rsidP="00757C0B">
      <w:pPr>
        <w:pStyle w:val="NoSpacing"/>
        <w:rPr>
          <w:rFonts w:cstheme="minorHAnsi"/>
          <w:b/>
          <w:bCs/>
          <w:color w:val="ED7D31" w:themeColor="accent2"/>
          <w:sz w:val="26"/>
          <w:szCs w:val="26"/>
        </w:rPr>
      </w:pPr>
      <w:r w:rsidRPr="00757C0B">
        <w:rPr>
          <w:rFonts w:cstheme="minorHAnsi"/>
          <w:b/>
          <w:bCs/>
          <w:color w:val="ED7D31" w:themeColor="accent2"/>
          <w:sz w:val="26"/>
          <w:szCs w:val="26"/>
        </w:rPr>
        <w:t>Important Data Notice</w:t>
      </w:r>
    </w:p>
    <w:p w14:paraId="77B5043B" w14:textId="19DDED4D" w:rsidR="00757C0B" w:rsidRPr="00757C0B" w:rsidRDefault="00757C0B" w:rsidP="00757C0B">
      <w:pPr>
        <w:pStyle w:val="NoSpacing"/>
        <w:rPr>
          <w:rFonts w:cstheme="minorHAnsi"/>
          <w:color w:val="000000" w:themeColor="text1"/>
        </w:rPr>
      </w:pPr>
      <w:r w:rsidRPr="00757C0B">
        <w:rPr>
          <w:rFonts w:cstheme="minorHAnsi"/>
          <w:color w:val="000000" w:themeColor="text1"/>
        </w:rPr>
        <w:t xml:space="preserve">Circana has expanded the Multi-Outlet universe to include additional retailers that were previously not represented nor projected. </w:t>
      </w:r>
      <w:r>
        <w:rPr>
          <w:rFonts w:cstheme="minorHAnsi"/>
          <w:color w:val="000000" w:themeColor="text1"/>
        </w:rPr>
        <w:t xml:space="preserve">This includes ALDI and eight regional retailers. This expanded universe is </w:t>
      </w:r>
      <w:r w:rsidRPr="00757C0B">
        <w:rPr>
          <w:rFonts w:cstheme="minorHAnsi"/>
          <w:color w:val="000000" w:themeColor="text1"/>
        </w:rPr>
        <w:t>used as of th</w:t>
      </w:r>
      <w:r w:rsidR="006C31E3">
        <w:rPr>
          <w:rFonts w:cstheme="minorHAnsi"/>
          <w:color w:val="000000" w:themeColor="text1"/>
        </w:rPr>
        <w:t>e</w:t>
      </w:r>
      <w:r w:rsidRPr="00757C0B">
        <w:rPr>
          <w:rFonts w:cstheme="minorHAnsi"/>
          <w:color w:val="000000" w:themeColor="text1"/>
        </w:rPr>
        <w:t xml:space="preserve"> February report</w:t>
      </w:r>
      <w:r>
        <w:rPr>
          <w:rFonts w:cstheme="minorHAnsi"/>
          <w:color w:val="000000" w:themeColor="text1"/>
        </w:rPr>
        <w:t xml:space="preserve"> for the quad-week updates</w:t>
      </w:r>
      <w:r w:rsidRPr="00757C0B"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t>The upgrade fueled a substantial uptick in sales, especially in white and brown mushrooms</w:t>
      </w:r>
      <w:r w:rsidRPr="00757C0B">
        <w:rPr>
          <w:rFonts w:cstheme="minorHAnsi"/>
          <w:color w:val="000000" w:themeColor="text1"/>
        </w:rPr>
        <w:t xml:space="preserve">. All time period history and geographies have been updated. </w:t>
      </w:r>
    </w:p>
    <w:p w14:paraId="015B38D8" w14:textId="77777777" w:rsidR="00F12F2D" w:rsidRPr="00757C0B" w:rsidRDefault="00F12F2D" w:rsidP="006D5DC2">
      <w:pPr>
        <w:pStyle w:val="NoSpacing"/>
        <w:rPr>
          <w:rFonts w:cstheme="minorHAnsi"/>
        </w:rPr>
      </w:pPr>
    </w:p>
    <w:p w14:paraId="737234D5" w14:textId="3B512D43" w:rsidR="00927EAC" w:rsidRPr="00927EAC" w:rsidRDefault="007D3393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 xml:space="preserve">Fresh Mushroom </w:t>
      </w:r>
      <w:r w:rsidR="00927EAC" w:rsidRPr="00927EAC">
        <w:rPr>
          <w:b/>
          <w:bCs/>
          <w:color w:val="ED7D31" w:themeColor="accent2"/>
        </w:rPr>
        <w:t>Dollars, Units and Volume Performance</w:t>
      </w:r>
    </w:p>
    <w:p w14:paraId="47797D03" w14:textId="55533944" w:rsidR="00472B02" w:rsidRDefault="006D5DC2" w:rsidP="00472B02">
      <w:pPr>
        <w:pStyle w:val="NoSpacing"/>
      </w:pPr>
      <w:r>
        <w:t>January and the 52-week p</w:t>
      </w:r>
      <w:r w:rsidR="00851FDB">
        <w:t xml:space="preserve">eriod show dollar sales within </w:t>
      </w:r>
      <w:r w:rsidR="001C7D0B">
        <w:t xml:space="preserve">about </w:t>
      </w:r>
      <w:r w:rsidR="00851FDB">
        <w:t>4</w:t>
      </w:r>
      <w:r>
        <w:t xml:space="preserve"> percentage points of year-ago levels.</w:t>
      </w:r>
    </w:p>
    <w:p w14:paraId="40FAA348" w14:textId="6A56CCC2" w:rsidR="00AD7044" w:rsidRPr="006D5DC2" w:rsidRDefault="00AD7044" w:rsidP="00472B02">
      <w:pPr>
        <w:pStyle w:val="NoSpacing"/>
        <w:rPr>
          <w:sz w:val="6"/>
          <w:szCs w:val="6"/>
        </w:rPr>
      </w:pPr>
    </w:p>
    <w:tbl>
      <w:tblPr>
        <w:tblStyle w:val="ListTable3-Accent2"/>
        <w:tblW w:w="10269" w:type="dxa"/>
        <w:tblLook w:val="04A0" w:firstRow="1" w:lastRow="0" w:firstColumn="1" w:lastColumn="0" w:noHBand="0" w:noVBand="1"/>
      </w:tblPr>
      <w:tblGrid>
        <w:gridCol w:w="1792"/>
        <w:gridCol w:w="2096"/>
        <w:gridCol w:w="148"/>
        <w:gridCol w:w="873"/>
        <w:gridCol w:w="971"/>
        <w:gridCol w:w="2074"/>
        <w:gridCol w:w="1121"/>
        <w:gridCol w:w="1194"/>
      </w:tblGrid>
      <w:tr w:rsidR="00B672D0" w:rsidRPr="00124CB7" w14:paraId="5D073D77" w14:textId="77777777" w:rsidTr="00181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2" w:type="dxa"/>
          </w:tcPr>
          <w:p w14:paraId="0624EE87" w14:textId="452C2900" w:rsidR="00B672D0" w:rsidRPr="00124CB7" w:rsidRDefault="00B672D0" w:rsidP="00B672D0">
            <w:pPr>
              <w:pStyle w:val="NoSpacing"/>
            </w:pPr>
            <w:r>
              <w:t>Fresh mushrooms</w:t>
            </w:r>
          </w:p>
        </w:tc>
        <w:tc>
          <w:tcPr>
            <w:tcW w:w="2244" w:type="dxa"/>
            <w:gridSpan w:val="2"/>
          </w:tcPr>
          <w:p w14:paraId="51DF6E55" w14:textId="484C078F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1C7D0B">
              <w:t>3/24/2024</w:t>
            </w:r>
          </w:p>
        </w:tc>
        <w:tc>
          <w:tcPr>
            <w:tcW w:w="873" w:type="dxa"/>
          </w:tcPr>
          <w:p w14:paraId="0398A30D" w14:textId="284A3FA4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2023</w:t>
            </w:r>
          </w:p>
        </w:tc>
        <w:tc>
          <w:tcPr>
            <w:tcW w:w="971" w:type="dxa"/>
            <w:tcBorders>
              <w:right w:val="single" w:sz="4" w:space="0" w:color="ED7D31" w:themeColor="accent2"/>
            </w:tcBorders>
          </w:tcPr>
          <w:p w14:paraId="11B3D9FB" w14:textId="5D6F5088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2021</w:t>
            </w:r>
          </w:p>
        </w:tc>
        <w:tc>
          <w:tcPr>
            <w:tcW w:w="2074" w:type="dxa"/>
            <w:tcBorders>
              <w:left w:val="single" w:sz="4" w:space="0" w:color="ED7D31" w:themeColor="accent2"/>
            </w:tcBorders>
          </w:tcPr>
          <w:p w14:paraId="3BBE24C3" w14:textId="2D0DA9A6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w.e. </w:t>
            </w:r>
            <w:r w:rsidR="001C7D0B">
              <w:t>3/24/2024</w:t>
            </w:r>
          </w:p>
        </w:tc>
        <w:tc>
          <w:tcPr>
            <w:tcW w:w="1121" w:type="dxa"/>
          </w:tcPr>
          <w:p w14:paraId="40EE3430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895179F" w14:textId="5824EC77" w:rsidR="00B672D0" w:rsidRPr="00124CB7" w:rsidRDefault="00FA3219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2023</w:t>
            </w:r>
          </w:p>
        </w:tc>
        <w:tc>
          <w:tcPr>
            <w:tcW w:w="1194" w:type="dxa"/>
          </w:tcPr>
          <w:p w14:paraId="0BDA0615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AB7ECE0" w14:textId="10B5A8B4" w:rsidR="00B672D0" w:rsidRPr="00124CB7" w:rsidRDefault="00B672D0" w:rsidP="00FA3219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</w:t>
            </w:r>
            <w:r w:rsidR="00FA3219">
              <w:t>1</w:t>
            </w:r>
          </w:p>
        </w:tc>
      </w:tr>
      <w:tr w:rsidR="00AB019A" w14:paraId="22401D5B" w14:textId="77777777" w:rsidTr="00036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79CDF43D" w14:textId="166854D6" w:rsidR="00AB019A" w:rsidRPr="00124CB7" w:rsidRDefault="00AB019A" w:rsidP="00AB019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Dollars</w:t>
            </w:r>
          </w:p>
        </w:tc>
        <w:tc>
          <w:tcPr>
            <w:tcW w:w="2096" w:type="dxa"/>
          </w:tcPr>
          <w:p w14:paraId="6D1FCB95" w14:textId="184EB3CF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$</w:t>
            </w:r>
            <w:r w:rsidR="001C7D0B">
              <w:t>104.4</w:t>
            </w:r>
            <w:r>
              <w:t xml:space="preserve"> million</w:t>
            </w:r>
          </w:p>
        </w:tc>
        <w:tc>
          <w:tcPr>
            <w:tcW w:w="1021" w:type="dxa"/>
            <w:gridSpan w:val="2"/>
          </w:tcPr>
          <w:p w14:paraId="77D2040B" w14:textId="35ABB19D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 w:rsidR="00C3750A">
              <w:rPr>
                <w:rFonts w:cstheme="minorHAnsi"/>
                <w:color w:val="000000" w:themeColor="text1"/>
              </w:rPr>
              <w:t>4.</w:t>
            </w:r>
            <w:r w:rsidR="001C7D0B">
              <w:rPr>
                <w:rFonts w:cstheme="minorHAnsi"/>
                <w:color w:val="000000" w:themeColor="text1"/>
              </w:rPr>
              <w:t>4</w:t>
            </w:r>
            <w:r w:rsidRPr="00B4625C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1" w:type="dxa"/>
            <w:tcBorders>
              <w:right w:val="single" w:sz="4" w:space="0" w:color="ED7D31" w:themeColor="accent2"/>
            </w:tcBorders>
          </w:tcPr>
          <w:p w14:paraId="4EF21002" w14:textId="4DD8B15C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 w:rsidR="001C7D0B">
              <w:rPr>
                <w:rFonts w:cstheme="minorHAnsi"/>
                <w:color w:val="000000" w:themeColor="text1"/>
              </w:rPr>
              <w:t>8.3</w:t>
            </w:r>
            <w:r w:rsidRPr="00B4625C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2074" w:type="dxa"/>
            <w:tcBorders>
              <w:left w:val="single" w:sz="4" w:space="0" w:color="ED7D31" w:themeColor="accent2"/>
            </w:tcBorders>
          </w:tcPr>
          <w:p w14:paraId="375CF9DD" w14:textId="0EBAE38D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</w:t>
            </w:r>
            <w:r w:rsidR="003D3C99">
              <w:t>$</w:t>
            </w:r>
            <w:r w:rsidR="00C3750A">
              <w:t>1.</w:t>
            </w:r>
            <w:r w:rsidR="001C7D0B">
              <w:t>4</w:t>
            </w:r>
            <w:r w:rsidR="00C3750A">
              <w:t xml:space="preserve"> </w:t>
            </w:r>
            <w:r>
              <w:t>billion</w:t>
            </w:r>
          </w:p>
        </w:tc>
        <w:tc>
          <w:tcPr>
            <w:tcW w:w="1121" w:type="dxa"/>
          </w:tcPr>
          <w:p w14:paraId="04EA64A9" w14:textId="1E7B9FE6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D4E">
              <w:rPr>
                <w:rFonts w:cstheme="minorHAnsi"/>
                <w:color w:val="000000" w:themeColor="text1"/>
              </w:rPr>
              <w:t>-</w:t>
            </w:r>
            <w:r w:rsidR="001C7D0B">
              <w:rPr>
                <w:rFonts w:cstheme="minorHAnsi"/>
                <w:color w:val="000000" w:themeColor="text1"/>
              </w:rPr>
              <w:t>3.1</w:t>
            </w:r>
            <w:r w:rsidRPr="007E5D4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94" w:type="dxa"/>
          </w:tcPr>
          <w:p w14:paraId="2F2464E9" w14:textId="53D6CE9B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D4E">
              <w:rPr>
                <w:rFonts w:cstheme="minorHAnsi"/>
                <w:color w:val="000000" w:themeColor="text1"/>
              </w:rPr>
              <w:t>-</w:t>
            </w:r>
            <w:r w:rsidR="00C3750A">
              <w:rPr>
                <w:rFonts w:cstheme="minorHAnsi"/>
                <w:color w:val="000000" w:themeColor="text1"/>
              </w:rPr>
              <w:t>11.</w:t>
            </w:r>
            <w:r w:rsidR="001C7D0B">
              <w:rPr>
                <w:rFonts w:cstheme="minorHAnsi"/>
                <w:color w:val="000000" w:themeColor="text1"/>
              </w:rPr>
              <w:t>3</w:t>
            </w:r>
            <w:r w:rsidRPr="007E5D4E">
              <w:rPr>
                <w:rFonts w:cstheme="minorHAnsi"/>
                <w:color w:val="000000" w:themeColor="text1"/>
              </w:rPr>
              <w:t>%</w:t>
            </w:r>
          </w:p>
        </w:tc>
      </w:tr>
      <w:tr w:rsidR="00181944" w14:paraId="31FB8D29" w14:textId="77777777" w:rsidTr="00036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0B2F651" w14:textId="48542DFC" w:rsidR="00181944" w:rsidRPr="00124CB7" w:rsidRDefault="00181944" w:rsidP="0018194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Units</w:t>
            </w:r>
          </w:p>
        </w:tc>
        <w:tc>
          <w:tcPr>
            <w:tcW w:w="2096" w:type="dxa"/>
          </w:tcPr>
          <w:p w14:paraId="3CA03520" w14:textId="443B9776" w:rsidR="00181944" w:rsidRDefault="00181944" w:rsidP="001819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</w:t>
            </w:r>
            <w:r w:rsidR="001C7D0B">
              <w:t>37.4</w:t>
            </w:r>
            <w:r>
              <w:t xml:space="preserve"> million</w:t>
            </w:r>
          </w:p>
        </w:tc>
        <w:tc>
          <w:tcPr>
            <w:tcW w:w="1021" w:type="dxa"/>
            <w:gridSpan w:val="2"/>
          </w:tcPr>
          <w:p w14:paraId="6922F333" w14:textId="6A3B7C5B" w:rsidR="00181944" w:rsidRDefault="00181944" w:rsidP="001819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 w:rsidR="00C3750A">
              <w:rPr>
                <w:rFonts w:cstheme="minorHAnsi"/>
                <w:color w:val="000000" w:themeColor="text1"/>
              </w:rPr>
              <w:t>3.4</w:t>
            </w:r>
            <w:r w:rsidR="00FC1B3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1" w:type="dxa"/>
            <w:tcBorders>
              <w:right w:val="single" w:sz="4" w:space="0" w:color="ED7D31" w:themeColor="accent2"/>
            </w:tcBorders>
          </w:tcPr>
          <w:p w14:paraId="7CD8DEEA" w14:textId="3E20BD4A" w:rsidR="00181944" w:rsidRDefault="00181944" w:rsidP="001819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 w:rsidR="00C3750A">
              <w:rPr>
                <w:rFonts w:cstheme="minorHAnsi"/>
                <w:color w:val="000000" w:themeColor="text1"/>
              </w:rPr>
              <w:t>1</w:t>
            </w:r>
            <w:r w:rsidR="001C7D0B">
              <w:rPr>
                <w:rFonts w:cstheme="minorHAnsi"/>
                <w:color w:val="000000" w:themeColor="text1"/>
              </w:rPr>
              <w:t>4.9</w:t>
            </w:r>
            <w:r w:rsidRPr="00B4625C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2074" w:type="dxa"/>
            <w:tcBorders>
              <w:left w:val="single" w:sz="4" w:space="0" w:color="ED7D31" w:themeColor="accent2"/>
            </w:tcBorders>
          </w:tcPr>
          <w:p w14:paraId="26ECACB9" w14:textId="1ADBAE51" w:rsidR="00181944" w:rsidRDefault="001C7D0B" w:rsidP="001819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527.7</w:t>
            </w:r>
            <w:r w:rsidR="00181944">
              <w:t xml:space="preserve"> million</w:t>
            </w:r>
          </w:p>
        </w:tc>
        <w:tc>
          <w:tcPr>
            <w:tcW w:w="1121" w:type="dxa"/>
          </w:tcPr>
          <w:p w14:paraId="60AAF678" w14:textId="0FCF3E3F" w:rsidR="00181944" w:rsidRDefault="00181944" w:rsidP="001819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5D4E">
              <w:rPr>
                <w:rFonts w:cstheme="minorHAnsi"/>
                <w:color w:val="000000" w:themeColor="text1"/>
              </w:rPr>
              <w:t>-</w:t>
            </w:r>
            <w:r w:rsidR="001C7D0B">
              <w:rPr>
                <w:rFonts w:cstheme="minorHAnsi"/>
                <w:color w:val="000000" w:themeColor="text1"/>
              </w:rPr>
              <w:t>9.5</w:t>
            </w:r>
            <w:r w:rsidRPr="007E5D4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94" w:type="dxa"/>
          </w:tcPr>
          <w:p w14:paraId="19BE3B74" w14:textId="696B72E7" w:rsidR="00181944" w:rsidRDefault="00181944" w:rsidP="0018194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5D4E">
              <w:rPr>
                <w:rFonts w:cstheme="minorHAnsi"/>
                <w:color w:val="000000" w:themeColor="text1"/>
              </w:rPr>
              <w:t>-</w:t>
            </w:r>
            <w:r w:rsidR="00C3750A">
              <w:rPr>
                <w:rFonts w:cstheme="minorHAnsi"/>
                <w:color w:val="000000" w:themeColor="text1"/>
              </w:rPr>
              <w:t>18.</w:t>
            </w:r>
            <w:r w:rsidR="001C7D0B">
              <w:rPr>
                <w:rFonts w:cstheme="minorHAnsi"/>
                <w:color w:val="000000" w:themeColor="text1"/>
              </w:rPr>
              <w:t>6</w:t>
            </w:r>
            <w:r w:rsidRPr="007E5D4E">
              <w:rPr>
                <w:rFonts w:cstheme="minorHAnsi"/>
                <w:color w:val="000000" w:themeColor="text1"/>
              </w:rPr>
              <w:t>%</w:t>
            </w:r>
          </w:p>
        </w:tc>
      </w:tr>
      <w:tr w:rsidR="00AB019A" w14:paraId="2EB720F3" w14:textId="77777777" w:rsidTr="00036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A632454" w14:textId="04CEBBF8" w:rsidR="00AB019A" w:rsidRPr="00124CB7" w:rsidRDefault="00AB019A" w:rsidP="00AB019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Volume (pounds)</w:t>
            </w:r>
          </w:p>
        </w:tc>
        <w:tc>
          <w:tcPr>
            <w:tcW w:w="2096" w:type="dxa"/>
          </w:tcPr>
          <w:p w14:paraId="68757A76" w14:textId="0A04F8F1" w:rsidR="00AB019A" w:rsidRDefault="00AB019A" w:rsidP="00AB019A">
            <w:pPr>
              <w:pStyle w:val="NoSpacing"/>
              <w:tabs>
                <w:tab w:val="center" w:pos="747"/>
                <w:tab w:val="right" w:pos="149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</w:t>
            </w:r>
            <w:r w:rsidR="001C7D0B">
              <w:t>22.9</w:t>
            </w:r>
            <w:r>
              <w:t xml:space="preserve"> million</w:t>
            </w:r>
          </w:p>
        </w:tc>
        <w:tc>
          <w:tcPr>
            <w:tcW w:w="1021" w:type="dxa"/>
            <w:gridSpan w:val="2"/>
          </w:tcPr>
          <w:p w14:paraId="7DE7F9CC" w14:textId="5CBACE65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 w:rsidR="001C7D0B">
              <w:rPr>
                <w:rFonts w:cstheme="minorHAnsi"/>
                <w:color w:val="000000" w:themeColor="text1"/>
              </w:rPr>
              <w:t>3.8</w:t>
            </w:r>
            <w:r w:rsidR="00FC1B3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1" w:type="dxa"/>
            <w:tcBorders>
              <w:right w:val="single" w:sz="4" w:space="0" w:color="ED7D31" w:themeColor="accent2"/>
            </w:tcBorders>
          </w:tcPr>
          <w:p w14:paraId="47670DC1" w14:textId="54CEF77E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 w:rsidR="001C7D0B">
              <w:rPr>
                <w:rFonts w:cstheme="minorHAnsi"/>
                <w:color w:val="000000" w:themeColor="text1"/>
              </w:rPr>
              <w:t>16.1</w:t>
            </w:r>
            <w:r w:rsidRPr="00B4625C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2074" w:type="dxa"/>
            <w:tcBorders>
              <w:left w:val="single" w:sz="4" w:space="0" w:color="ED7D31" w:themeColor="accent2"/>
            </w:tcBorders>
          </w:tcPr>
          <w:p w14:paraId="57878EB0" w14:textId="76A7EFB9" w:rsidR="00AB019A" w:rsidRDefault="001C7D0B" w:rsidP="00AB019A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293.2</w:t>
            </w:r>
            <w:r w:rsidR="00AB019A">
              <w:t xml:space="preserve"> million</w:t>
            </w:r>
          </w:p>
        </w:tc>
        <w:tc>
          <w:tcPr>
            <w:tcW w:w="1121" w:type="dxa"/>
          </w:tcPr>
          <w:p w14:paraId="0679CD28" w14:textId="05F3B365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D4E">
              <w:rPr>
                <w:rFonts w:cstheme="minorHAnsi"/>
                <w:color w:val="000000" w:themeColor="text1"/>
              </w:rPr>
              <w:t>-</w:t>
            </w:r>
            <w:r w:rsidR="001C7D0B">
              <w:rPr>
                <w:rFonts w:cstheme="minorHAnsi"/>
                <w:color w:val="000000" w:themeColor="text1"/>
              </w:rPr>
              <w:t>2.9</w:t>
            </w:r>
            <w:r w:rsidRPr="007E5D4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94" w:type="dxa"/>
          </w:tcPr>
          <w:p w14:paraId="09C03B7F" w14:textId="3C66FF97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D4E">
              <w:rPr>
                <w:rFonts w:cstheme="minorHAnsi"/>
                <w:color w:val="000000" w:themeColor="text1"/>
              </w:rPr>
              <w:t>-</w:t>
            </w:r>
            <w:r w:rsidR="001C7D0B">
              <w:rPr>
                <w:rFonts w:cstheme="minorHAnsi"/>
                <w:color w:val="000000" w:themeColor="text1"/>
              </w:rPr>
              <w:t>19.1</w:t>
            </w:r>
            <w:r w:rsidRPr="007E5D4E">
              <w:rPr>
                <w:rFonts w:cstheme="minorHAnsi"/>
                <w:color w:val="000000" w:themeColor="text1"/>
              </w:rPr>
              <w:t>%</w:t>
            </w:r>
          </w:p>
        </w:tc>
      </w:tr>
    </w:tbl>
    <w:p w14:paraId="5B1F1AF6" w14:textId="1B43DE40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1C7D0B">
        <w:rPr>
          <w:color w:val="7F7F7F" w:themeColor="text1" w:themeTint="80"/>
          <w:sz w:val="16"/>
          <w:szCs w:val="16"/>
        </w:rPr>
        <w:t>3/24/2024</w:t>
      </w:r>
    </w:p>
    <w:p w14:paraId="693975F5" w14:textId="5C6F2673" w:rsidR="000809C3" w:rsidRDefault="000809C3" w:rsidP="00472B02">
      <w:pPr>
        <w:pStyle w:val="NoSpacing"/>
      </w:pPr>
    </w:p>
    <w:p w14:paraId="3FBF647C" w14:textId="5FE3BD1A" w:rsidR="000E0D6B" w:rsidRDefault="006D5DC2">
      <w:r>
        <w:t xml:space="preserve">Prior year sales </w:t>
      </w:r>
      <w:r w:rsidR="00432D1F">
        <w:t xml:space="preserve">patterns </w:t>
      </w:r>
      <w:r>
        <w:t xml:space="preserve">comparing the quad-week to the prior quad-week held. </w:t>
      </w:r>
      <w:r w:rsidR="00432D1F">
        <w:t>In qu</w:t>
      </w:r>
      <w:r w:rsidR="00C86BBC">
        <w:t>ad-week</w:t>
      </w:r>
      <w:r w:rsidR="00757C0B">
        <w:t xml:space="preserve"> </w:t>
      </w:r>
      <w:r w:rsidR="001C7D0B">
        <w:t>three</w:t>
      </w:r>
      <w:r w:rsidR="00C86BBC">
        <w:t>, sales de</w:t>
      </w:r>
      <w:r w:rsidR="00663846">
        <w:t xml:space="preserve">creased </w:t>
      </w:r>
      <w:r w:rsidR="001C7D0B">
        <w:t>1.6</w:t>
      </w:r>
      <w:r w:rsidR="00663846">
        <w:t xml:space="preserve">% over quad-week </w:t>
      </w:r>
      <w:r w:rsidR="001C7D0B">
        <w:t>2</w:t>
      </w:r>
      <w:r w:rsidR="00432D1F">
        <w:t xml:space="preserve"> of 202</w:t>
      </w:r>
      <w:r w:rsidR="00663846">
        <w:t>4</w:t>
      </w:r>
      <w:r w:rsidR="00432D1F">
        <w:t xml:space="preserve"> — </w:t>
      </w:r>
      <w:r w:rsidR="001C7D0B">
        <w:t>similar to the</w:t>
      </w:r>
      <w:r w:rsidR="00432D1F">
        <w:t xml:space="preserve"> </w:t>
      </w:r>
      <w:r w:rsidR="00757C0B">
        <w:t>de</w:t>
      </w:r>
      <w:r w:rsidR="00432D1F">
        <w:t>crease as last year (see forecasting tab).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657"/>
        <w:gridCol w:w="657"/>
        <w:gridCol w:w="714"/>
        <w:gridCol w:w="657"/>
        <w:gridCol w:w="657"/>
        <w:gridCol w:w="657"/>
        <w:gridCol w:w="657"/>
        <w:gridCol w:w="657"/>
        <w:gridCol w:w="657"/>
        <w:gridCol w:w="720"/>
        <w:gridCol w:w="720"/>
        <w:gridCol w:w="720"/>
        <w:gridCol w:w="720"/>
      </w:tblGrid>
      <w:tr w:rsidR="00757C0B" w:rsidRPr="000E0D6B" w14:paraId="2CE5BD2B" w14:textId="77777777" w:rsidTr="00757C0B">
        <w:trPr>
          <w:trHeight w:val="552"/>
        </w:trPr>
        <w:tc>
          <w:tcPr>
            <w:tcW w:w="1440" w:type="dxa"/>
            <w:shd w:val="clear" w:color="auto" w:fill="auto"/>
          </w:tcPr>
          <w:p w14:paraId="0137593C" w14:textId="58ABB8EE" w:rsidR="00757C0B" w:rsidRPr="00757C0B" w:rsidRDefault="00757C0B" w:rsidP="00757C0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Pound growth rates versus PRIOR PERIOD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366F69D" w14:textId="4EE2776C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1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00FB821" w14:textId="610C58D4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2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617C026" w14:textId="31B89AC1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3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8335CCD" w14:textId="12159A82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4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57C0D00" w14:textId="61D53023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5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30B7B63" w14:textId="4AA4906C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6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7A895C41" w14:textId="264553AE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7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02A51AE9" w14:textId="4CA808E3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8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13060256" w14:textId="6569BBA9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9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945EBB" w14:textId="24514260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031356" w14:textId="5C6C19A4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11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4099731" w14:textId="3A208E55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12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FA218C" w14:textId="0E011FFC" w:rsidR="00757C0B" w:rsidRPr="00757C0B" w:rsidRDefault="00757C0B" w:rsidP="00757C0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sz w:val="16"/>
                <w:szCs w:val="16"/>
              </w:rPr>
              <w:t>Quad week 13</w:t>
            </w:r>
          </w:p>
        </w:tc>
      </w:tr>
      <w:tr w:rsidR="00757C0B" w:rsidRPr="000E0D6B" w14:paraId="7083EDA9" w14:textId="77777777" w:rsidTr="00757C0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</w:tcPr>
          <w:p w14:paraId="0496F523" w14:textId="5C34B680" w:rsidR="00757C0B" w:rsidRPr="00757C0B" w:rsidRDefault="00757C0B" w:rsidP="00757C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2017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2E470360" w14:textId="6D4A2FED" w:rsidR="00757C0B" w:rsidRPr="00757C0B" w:rsidRDefault="00757C0B" w:rsidP="00757C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75595489" w14:textId="521D98B9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-1.5%</w:t>
            </w:r>
          </w:p>
        </w:tc>
        <w:tc>
          <w:tcPr>
            <w:tcW w:w="714" w:type="dxa"/>
            <w:shd w:val="clear" w:color="000000" w:fill="E6B8B7"/>
            <w:noWrap/>
            <w:vAlign w:val="bottom"/>
          </w:tcPr>
          <w:p w14:paraId="7F0D03BA" w14:textId="5478D456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-2.6%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3154EF6E" w14:textId="3A76CCFF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-1.8%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2272285A" w14:textId="7AA31FBC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1082D2EC" w14:textId="5F056BFA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-3.5%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05E2737E" w14:textId="6E0C393F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-1.6%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5B754E63" w14:textId="65FD2783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-0.5%</w:t>
            </w:r>
          </w:p>
        </w:tc>
        <w:tc>
          <w:tcPr>
            <w:tcW w:w="657" w:type="dxa"/>
            <w:shd w:val="clear" w:color="000000" w:fill="D8E4BC"/>
            <w:noWrap/>
            <w:vAlign w:val="bottom"/>
          </w:tcPr>
          <w:p w14:paraId="3E4D0CD9" w14:textId="3BE1AFB8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1.0%</w:t>
            </w:r>
          </w:p>
        </w:tc>
        <w:tc>
          <w:tcPr>
            <w:tcW w:w="720" w:type="dxa"/>
            <w:shd w:val="clear" w:color="000000" w:fill="D8E4BC"/>
            <w:noWrap/>
            <w:vAlign w:val="bottom"/>
          </w:tcPr>
          <w:p w14:paraId="2CF2B55A" w14:textId="5C1F0B98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1.5%</w:t>
            </w:r>
          </w:p>
        </w:tc>
        <w:tc>
          <w:tcPr>
            <w:tcW w:w="720" w:type="dxa"/>
            <w:shd w:val="clear" w:color="000000" w:fill="D8E4BC"/>
            <w:noWrap/>
            <w:vAlign w:val="bottom"/>
          </w:tcPr>
          <w:p w14:paraId="76241356" w14:textId="2E0CB9AF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1.4%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6106BBAF" w14:textId="393C44E4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7.9%</w:t>
            </w:r>
          </w:p>
        </w:tc>
        <w:tc>
          <w:tcPr>
            <w:tcW w:w="720" w:type="dxa"/>
            <w:shd w:val="clear" w:color="000000" w:fill="D8E4BC"/>
            <w:noWrap/>
            <w:vAlign w:val="bottom"/>
          </w:tcPr>
          <w:p w14:paraId="5A5B02B6" w14:textId="582BC242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7.3%</w:t>
            </w:r>
          </w:p>
        </w:tc>
      </w:tr>
      <w:tr w:rsidR="00757C0B" w:rsidRPr="000E0D6B" w14:paraId="3B8C9CB3" w14:textId="77777777" w:rsidTr="00757C0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</w:tcPr>
          <w:p w14:paraId="10415BAB" w14:textId="21C8393E" w:rsidR="00757C0B" w:rsidRPr="00757C0B" w:rsidRDefault="00757C0B" w:rsidP="00757C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657" w:type="dxa"/>
            <w:shd w:val="clear" w:color="000000" w:fill="C4D79B"/>
            <w:noWrap/>
            <w:vAlign w:val="bottom"/>
          </w:tcPr>
          <w:p w14:paraId="3666588F" w14:textId="1948BC25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-1.0%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0F602A96" w14:textId="166688E6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-3.3%</w:t>
            </w:r>
          </w:p>
        </w:tc>
        <w:tc>
          <w:tcPr>
            <w:tcW w:w="714" w:type="dxa"/>
            <w:shd w:val="clear" w:color="000000" w:fill="F2DCDB"/>
            <w:noWrap/>
            <w:vAlign w:val="bottom"/>
          </w:tcPr>
          <w:p w14:paraId="774E7EA7" w14:textId="769E8E88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-0.9%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195DB56C" w14:textId="3BCEF357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-3.2%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3B05A150" w14:textId="0D5A14DE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-1.9%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620A52ED" w14:textId="53DF4E55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-3.8%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411C3845" w14:textId="38CCE9DF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-3.4%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72A797AA" w14:textId="2834E56F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57" w:type="dxa"/>
            <w:shd w:val="clear" w:color="000000" w:fill="D8E4BC"/>
            <w:noWrap/>
            <w:vAlign w:val="bottom"/>
          </w:tcPr>
          <w:p w14:paraId="2272447A" w14:textId="10528980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2.9%</w:t>
            </w:r>
          </w:p>
        </w:tc>
        <w:tc>
          <w:tcPr>
            <w:tcW w:w="720" w:type="dxa"/>
            <w:shd w:val="clear" w:color="000000" w:fill="D8E4BC"/>
            <w:noWrap/>
            <w:vAlign w:val="bottom"/>
          </w:tcPr>
          <w:p w14:paraId="14B9CF92" w14:textId="4971B37D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1.7%</w:t>
            </w:r>
          </w:p>
        </w:tc>
        <w:tc>
          <w:tcPr>
            <w:tcW w:w="720" w:type="dxa"/>
            <w:shd w:val="clear" w:color="000000" w:fill="D8E4BC"/>
            <w:noWrap/>
            <w:vAlign w:val="bottom"/>
          </w:tcPr>
          <w:p w14:paraId="375CBFF3" w14:textId="29FFA0E5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0.4%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7C3C91AF" w14:textId="4ECC4CE7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9.4%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3AADE08F" w14:textId="0EAF2059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4.1%</w:t>
            </w:r>
          </w:p>
        </w:tc>
      </w:tr>
      <w:tr w:rsidR="00757C0B" w:rsidRPr="000E0D6B" w14:paraId="5F93CA96" w14:textId="77777777" w:rsidTr="00757C0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</w:tcPr>
          <w:p w14:paraId="1C645533" w14:textId="6F78B56B" w:rsidR="00757C0B" w:rsidRPr="00757C0B" w:rsidRDefault="00757C0B" w:rsidP="00757C0B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757C0B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57" w:type="dxa"/>
            <w:shd w:val="clear" w:color="000000" w:fill="C4D79B"/>
            <w:noWrap/>
            <w:vAlign w:val="bottom"/>
          </w:tcPr>
          <w:p w14:paraId="502534A8" w14:textId="04D4C7D4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6.6%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3E61F489" w14:textId="7202D087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-4.4%</w:t>
            </w:r>
          </w:p>
        </w:tc>
        <w:tc>
          <w:tcPr>
            <w:tcW w:w="714" w:type="dxa"/>
            <w:shd w:val="clear" w:color="000000" w:fill="E6B8B7"/>
            <w:noWrap/>
            <w:vAlign w:val="bottom"/>
          </w:tcPr>
          <w:p w14:paraId="4EEF0E00" w14:textId="7106B3F1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-2.9%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43F8F4DC" w14:textId="293209C8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-1.1%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40D6741D" w14:textId="7FAE006A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-2.9%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7E314E5A" w14:textId="5152DCA4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-3.1%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4497E062" w14:textId="72E75C69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-3.9%</w:t>
            </w:r>
          </w:p>
        </w:tc>
        <w:tc>
          <w:tcPr>
            <w:tcW w:w="657" w:type="dxa"/>
            <w:shd w:val="clear" w:color="000000" w:fill="F2DCDB"/>
            <w:noWrap/>
            <w:vAlign w:val="bottom"/>
          </w:tcPr>
          <w:p w14:paraId="1187FC07" w14:textId="30D12A5F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-2.4%</w:t>
            </w:r>
          </w:p>
        </w:tc>
        <w:tc>
          <w:tcPr>
            <w:tcW w:w="657" w:type="dxa"/>
            <w:shd w:val="clear" w:color="000000" w:fill="D8E4BC"/>
            <w:noWrap/>
            <w:vAlign w:val="bottom"/>
          </w:tcPr>
          <w:p w14:paraId="28DC45A7" w14:textId="63534CA9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3.4%</w:t>
            </w:r>
          </w:p>
        </w:tc>
        <w:tc>
          <w:tcPr>
            <w:tcW w:w="720" w:type="dxa"/>
            <w:shd w:val="clear" w:color="000000" w:fill="D8E4BC"/>
            <w:noWrap/>
            <w:vAlign w:val="bottom"/>
          </w:tcPr>
          <w:p w14:paraId="2568D87C" w14:textId="0DB0DA8C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0.9%</w:t>
            </w:r>
          </w:p>
        </w:tc>
        <w:tc>
          <w:tcPr>
            <w:tcW w:w="720" w:type="dxa"/>
            <w:shd w:val="clear" w:color="000000" w:fill="D8E4BC"/>
            <w:noWrap/>
            <w:vAlign w:val="bottom"/>
          </w:tcPr>
          <w:p w14:paraId="4245C518" w14:textId="54BCD698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0.4%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09A6FE77" w14:textId="6B8165B9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8.1%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667CDF6A" w14:textId="5E28689C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4.6%</w:t>
            </w:r>
          </w:p>
        </w:tc>
      </w:tr>
      <w:tr w:rsidR="00757C0B" w:rsidRPr="000E0D6B" w14:paraId="56075657" w14:textId="77777777" w:rsidTr="00757C0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</w:tcPr>
          <w:p w14:paraId="43CFB79B" w14:textId="4F4212FF" w:rsidR="00757C0B" w:rsidRPr="00757C0B" w:rsidRDefault="00757C0B" w:rsidP="00757C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657" w:type="dxa"/>
            <w:shd w:val="clear" w:color="auto" w:fill="C4D79B"/>
            <w:noWrap/>
            <w:vAlign w:val="bottom"/>
          </w:tcPr>
          <w:p w14:paraId="12C38A5B" w14:textId="34DF90D0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4.0%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729F7EC0" w14:textId="7FC33CAC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-2.5%</w:t>
            </w:r>
          </w:p>
        </w:tc>
        <w:tc>
          <w:tcPr>
            <w:tcW w:w="714" w:type="dxa"/>
            <w:shd w:val="clear" w:color="000000" w:fill="76933C"/>
            <w:noWrap/>
            <w:vAlign w:val="bottom"/>
          </w:tcPr>
          <w:p w14:paraId="6BCE86B4" w14:textId="7FFB8CC4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12.1%</w:t>
            </w:r>
          </w:p>
        </w:tc>
        <w:tc>
          <w:tcPr>
            <w:tcW w:w="657" w:type="dxa"/>
            <w:shd w:val="clear" w:color="000000" w:fill="D8E4BC"/>
            <w:noWrap/>
            <w:vAlign w:val="bottom"/>
          </w:tcPr>
          <w:p w14:paraId="6D12AA70" w14:textId="705425D3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4.2%</w:t>
            </w:r>
          </w:p>
        </w:tc>
        <w:tc>
          <w:tcPr>
            <w:tcW w:w="657" w:type="dxa"/>
            <w:shd w:val="clear" w:color="000000" w:fill="C4D79B"/>
            <w:noWrap/>
            <w:vAlign w:val="bottom"/>
          </w:tcPr>
          <w:p w14:paraId="00217F0E" w14:textId="673BFBC6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1.8%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2013F303" w14:textId="0336B8F8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-8.3%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385E730A" w14:textId="6562B3FE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-4.1%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1A700A4C" w14:textId="16A0166F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-2.8%</w:t>
            </w:r>
          </w:p>
        </w:tc>
        <w:tc>
          <w:tcPr>
            <w:tcW w:w="657" w:type="dxa"/>
            <w:shd w:val="clear" w:color="000000" w:fill="F2DCDB"/>
            <w:noWrap/>
            <w:vAlign w:val="bottom"/>
          </w:tcPr>
          <w:p w14:paraId="5747B9E9" w14:textId="16894DCF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-0.5%</w:t>
            </w:r>
          </w:p>
        </w:tc>
        <w:tc>
          <w:tcPr>
            <w:tcW w:w="720" w:type="dxa"/>
            <w:shd w:val="clear" w:color="000000" w:fill="EBF1DE"/>
            <w:noWrap/>
            <w:vAlign w:val="bottom"/>
          </w:tcPr>
          <w:p w14:paraId="75B3F13D" w14:textId="2C7ABB7E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0.3%</w:t>
            </w:r>
          </w:p>
        </w:tc>
        <w:tc>
          <w:tcPr>
            <w:tcW w:w="720" w:type="dxa"/>
            <w:shd w:val="clear" w:color="000000" w:fill="EBF1DE"/>
            <w:noWrap/>
            <w:vAlign w:val="bottom"/>
          </w:tcPr>
          <w:p w14:paraId="133AA9F3" w14:textId="7B779A93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2.5%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4C967B43" w14:textId="3671F662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4.2%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440384B8" w14:textId="4D05E68A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4.2%</w:t>
            </w:r>
          </w:p>
        </w:tc>
      </w:tr>
      <w:tr w:rsidR="00757C0B" w:rsidRPr="000E0D6B" w14:paraId="273BB044" w14:textId="77777777" w:rsidTr="00757C0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</w:tcPr>
          <w:p w14:paraId="72883D17" w14:textId="766A2D46" w:rsidR="00757C0B" w:rsidRPr="00757C0B" w:rsidRDefault="00757C0B" w:rsidP="00757C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657" w:type="dxa"/>
            <w:shd w:val="clear" w:color="000000" w:fill="C4D79B"/>
            <w:noWrap/>
            <w:vAlign w:val="bottom"/>
          </w:tcPr>
          <w:p w14:paraId="6F9C945D" w14:textId="6257BAE8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5.4%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64F49B1C" w14:textId="5AAA4673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-5.9%</w:t>
            </w:r>
          </w:p>
        </w:tc>
        <w:tc>
          <w:tcPr>
            <w:tcW w:w="714" w:type="dxa"/>
            <w:shd w:val="clear" w:color="000000" w:fill="DA9694"/>
            <w:noWrap/>
            <w:vAlign w:val="bottom"/>
          </w:tcPr>
          <w:p w14:paraId="16EF6D99" w14:textId="515D8065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-4.8%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7A4C33B0" w14:textId="0B137BA3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-0.6%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5867CE1D" w14:textId="057AC0A2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-4.3%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215B0D06" w14:textId="513CC4F7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-3.3%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3D0F5487" w14:textId="235D27D3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-5.7%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102AA579" w14:textId="47CD994D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-1.0%</w:t>
            </w:r>
          </w:p>
        </w:tc>
        <w:tc>
          <w:tcPr>
            <w:tcW w:w="657" w:type="dxa"/>
            <w:shd w:val="clear" w:color="000000" w:fill="C4D79B"/>
            <w:noWrap/>
            <w:vAlign w:val="bottom"/>
          </w:tcPr>
          <w:p w14:paraId="4F1AD20C" w14:textId="357EFC09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2.1%</w:t>
            </w:r>
          </w:p>
        </w:tc>
        <w:tc>
          <w:tcPr>
            <w:tcW w:w="720" w:type="dxa"/>
            <w:shd w:val="clear" w:color="000000" w:fill="F2DCDB"/>
            <w:noWrap/>
            <w:vAlign w:val="bottom"/>
          </w:tcPr>
          <w:p w14:paraId="52F8EDF3" w14:textId="6397AFAC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-0.7%</w:t>
            </w:r>
          </w:p>
        </w:tc>
        <w:tc>
          <w:tcPr>
            <w:tcW w:w="720" w:type="dxa"/>
            <w:shd w:val="clear" w:color="000000" w:fill="EBF1DE"/>
            <w:noWrap/>
            <w:vAlign w:val="bottom"/>
          </w:tcPr>
          <w:p w14:paraId="32CD6A15" w14:textId="4D3B417C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1.8%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0D6B6333" w14:textId="754C1061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4.8%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6BC95E83" w14:textId="021D4D62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2.8%</w:t>
            </w:r>
          </w:p>
        </w:tc>
      </w:tr>
      <w:tr w:rsidR="00757C0B" w:rsidRPr="000E0D6B" w14:paraId="40AFE043" w14:textId="77777777" w:rsidTr="00757C0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</w:tcPr>
          <w:p w14:paraId="37E5F11A" w14:textId="392E4AB2" w:rsidR="00757C0B" w:rsidRPr="00757C0B" w:rsidRDefault="00757C0B" w:rsidP="00757C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657" w:type="dxa"/>
            <w:shd w:val="clear" w:color="000000" w:fill="C4D79B"/>
            <w:noWrap/>
            <w:vAlign w:val="bottom"/>
          </w:tcPr>
          <w:p w14:paraId="0B5F4877" w14:textId="3FF45AF2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3.4%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616BC4C9" w14:textId="1C51BCF3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-4.9%</w:t>
            </w:r>
          </w:p>
        </w:tc>
        <w:tc>
          <w:tcPr>
            <w:tcW w:w="714" w:type="dxa"/>
            <w:shd w:val="clear" w:color="000000" w:fill="E6B8B7"/>
            <w:noWrap/>
            <w:vAlign w:val="bottom"/>
          </w:tcPr>
          <w:p w14:paraId="7E693EC3" w14:textId="06CA7140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-2.4%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2699C6B0" w14:textId="1F6755DB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-3.0%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74680D8C" w14:textId="5A556F79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-2.9%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56DCBC3A" w14:textId="1AA268A6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-4.4%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6D2DED63" w14:textId="63956D29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-3.4%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15F8D386" w14:textId="7689BB52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-1.1%</w:t>
            </w:r>
          </w:p>
        </w:tc>
        <w:tc>
          <w:tcPr>
            <w:tcW w:w="657" w:type="dxa"/>
            <w:shd w:val="clear" w:color="000000" w:fill="D8E4BC"/>
            <w:noWrap/>
            <w:vAlign w:val="bottom"/>
          </w:tcPr>
          <w:p w14:paraId="05D7662B" w14:textId="1CE43B8B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0.9%</w:t>
            </w:r>
          </w:p>
        </w:tc>
        <w:tc>
          <w:tcPr>
            <w:tcW w:w="720" w:type="dxa"/>
            <w:shd w:val="clear" w:color="000000" w:fill="D8E4BC"/>
            <w:noWrap/>
            <w:vAlign w:val="bottom"/>
          </w:tcPr>
          <w:p w14:paraId="337732B9" w14:textId="7ACCF59F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0.5%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7EE1B866" w14:textId="23F7C275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4.0%</w:t>
            </w:r>
          </w:p>
        </w:tc>
        <w:tc>
          <w:tcPr>
            <w:tcW w:w="720" w:type="dxa"/>
            <w:shd w:val="clear" w:color="000000" w:fill="C4D79B"/>
            <w:noWrap/>
            <w:vAlign w:val="bottom"/>
          </w:tcPr>
          <w:p w14:paraId="346C0F0D" w14:textId="72EBD958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6.6%</w:t>
            </w:r>
          </w:p>
        </w:tc>
        <w:tc>
          <w:tcPr>
            <w:tcW w:w="720" w:type="dxa"/>
            <w:shd w:val="clear" w:color="auto" w:fill="D8E4BC"/>
            <w:noWrap/>
            <w:vAlign w:val="bottom"/>
          </w:tcPr>
          <w:p w14:paraId="308A3213" w14:textId="5CFDF2D0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1.6%</w:t>
            </w:r>
          </w:p>
        </w:tc>
      </w:tr>
      <w:tr w:rsidR="00757C0B" w:rsidRPr="000E0D6B" w14:paraId="7F8D09D9" w14:textId="77777777" w:rsidTr="001C7D0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</w:tcPr>
          <w:p w14:paraId="363B509E" w14:textId="1558FA7E" w:rsidR="00757C0B" w:rsidRPr="00757C0B" w:rsidRDefault="00757C0B" w:rsidP="00757C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657" w:type="dxa"/>
            <w:shd w:val="clear" w:color="000000" w:fill="EBF1DE"/>
            <w:noWrap/>
            <w:vAlign w:val="bottom"/>
          </w:tcPr>
          <w:p w14:paraId="1C9094EB" w14:textId="118E80F4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2.7%</w:t>
            </w:r>
          </w:p>
        </w:tc>
        <w:tc>
          <w:tcPr>
            <w:tcW w:w="657" w:type="dxa"/>
            <w:shd w:val="clear" w:color="auto" w:fill="DA9694"/>
            <w:noWrap/>
            <w:vAlign w:val="bottom"/>
          </w:tcPr>
          <w:p w14:paraId="71ADB4D7" w14:textId="22F5C791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-3.9%</w:t>
            </w:r>
          </w:p>
        </w:tc>
        <w:tc>
          <w:tcPr>
            <w:tcW w:w="714" w:type="dxa"/>
            <w:shd w:val="clear" w:color="auto" w:fill="E6B8B7"/>
            <w:noWrap/>
            <w:vAlign w:val="bottom"/>
          </w:tcPr>
          <w:p w14:paraId="2FFF8229" w14:textId="49F5BE9F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-2.0%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783121A7" w14:textId="739EB565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-0.9%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0FE4FDCE" w14:textId="2AA1E984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-2.2%</w:t>
            </w:r>
          </w:p>
        </w:tc>
        <w:tc>
          <w:tcPr>
            <w:tcW w:w="657" w:type="dxa"/>
            <w:shd w:val="clear" w:color="000000" w:fill="DA9694"/>
            <w:noWrap/>
            <w:vAlign w:val="bottom"/>
          </w:tcPr>
          <w:p w14:paraId="5EE97E4F" w14:textId="20883051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-3.9%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3E9F7890" w14:textId="23B25238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-3.8%</w:t>
            </w:r>
          </w:p>
        </w:tc>
        <w:tc>
          <w:tcPr>
            <w:tcW w:w="657" w:type="dxa"/>
            <w:shd w:val="clear" w:color="000000" w:fill="E6B8B7"/>
            <w:noWrap/>
            <w:vAlign w:val="bottom"/>
          </w:tcPr>
          <w:p w14:paraId="06E0FA51" w14:textId="0B08EA11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-1.8%</w:t>
            </w:r>
          </w:p>
        </w:tc>
        <w:tc>
          <w:tcPr>
            <w:tcW w:w="657" w:type="dxa"/>
            <w:shd w:val="clear" w:color="000000" w:fill="EBF1DE"/>
            <w:noWrap/>
            <w:vAlign w:val="bottom"/>
          </w:tcPr>
          <w:p w14:paraId="7FEFAC45" w14:textId="700838BC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0.6%</w:t>
            </w:r>
          </w:p>
        </w:tc>
        <w:tc>
          <w:tcPr>
            <w:tcW w:w="720" w:type="dxa"/>
            <w:shd w:val="clear" w:color="000000" w:fill="D8E4BC"/>
            <w:noWrap/>
            <w:vAlign w:val="bottom"/>
          </w:tcPr>
          <w:p w14:paraId="28B0D1C6" w14:textId="067564BC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1.9%</w:t>
            </w:r>
          </w:p>
        </w:tc>
        <w:tc>
          <w:tcPr>
            <w:tcW w:w="720" w:type="dxa"/>
            <w:shd w:val="clear" w:color="auto" w:fill="D8E4BC"/>
            <w:noWrap/>
            <w:vAlign w:val="bottom"/>
          </w:tcPr>
          <w:p w14:paraId="226C5267" w14:textId="60A62B14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2.3%</w:t>
            </w:r>
          </w:p>
        </w:tc>
        <w:tc>
          <w:tcPr>
            <w:tcW w:w="720" w:type="dxa"/>
            <w:shd w:val="clear" w:color="auto" w:fill="CFE0AE"/>
            <w:noWrap/>
            <w:vAlign w:val="bottom"/>
          </w:tcPr>
          <w:p w14:paraId="30A1F91C" w14:textId="61CF939A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8.0%</w:t>
            </w:r>
          </w:p>
        </w:tc>
        <w:tc>
          <w:tcPr>
            <w:tcW w:w="720" w:type="dxa"/>
            <w:shd w:val="clear" w:color="auto" w:fill="D8E4BC"/>
            <w:noWrap/>
            <w:vAlign w:val="bottom"/>
          </w:tcPr>
          <w:p w14:paraId="50DE69C8" w14:textId="735E6604" w:rsidR="00757C0B" w:rsidRPr="00757C0B" w:rsidRDefault="00757C0B" w:rsidP="00757C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0.2%</w:t>
            </w:r>
          </w:p>
        </w:tc>
      </w:tr>
      <w:tr w:rsidR="001C7D0B" w:rsidRPr="000E0D6B" w14:paraId="7B47B861" w14:textId="77777777" w:rsidTr="001C7D0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</w:tcPr>
          <w:p w14:paraId="1D977EE7" w14:textId="077C96F3" w:rsidR="001C7D0B" w:rsidRPr="00757C0B" w:rsidRDefault="001C7D0B" w:rsidP="001C7D0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57C0B">
              <w:rPr>
                <w:rFonts w:cstheme="minorHAnsi"/>
                <w:sz w:val="16"/>
                <w:szCs w:val="16"/>
              </w:rPr>
              <w:t>2024</w:t>
            </w:r>
          </w:p>
        </w:tc>
        <w:tc>
          <w:tcPr>
            <w:tcW w:w="657" w:type="dxa"/>
            <w:shd w:val="clear" w:color="000000" w:fill="EBF1DE"/>
            <w:noWrap/>
            <w:vAlign w:val="bottom"/>
          </w:tcPr>
          <w:p w14:paraId="57EC2CD2" w14:textId="526000CD" w:rsidR="001C7D0B" w:rsidRPr="001C7D0B" w:rsidRDefault="001C7D0B" w:rsidP="001C7D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C7D0B">
              <w:rPr>
                <w:rFonts w:ascii="Arial" w:hAnsi="Arial" w:cs="Arial"/>
                <w:sz w:val="16"/>
                <w:szCs w:val="16"/>
              </w:rPr>
              <w:t>1.9%</w:t>
            </w:r>
          </w:p>
        </w:tc>
        <w:tc>
          <w:tcPr>
            <w:tcW w:w="657" w:type="dxa"/>
            <w:shd w:val="clear" w:color="auto" w:fill="DA9694"/>
            <w:noWrap/>
            <w:vAlign w:val="bottom"/>
          </w:tcPr>
          <w:p w14:paraId="1A806A61" w14:textId="0120BFE8" w:rsidR="001C7D0B" w:rsidRPr="001C7D0B" w:rsidRDefault="001C7D0B" w:rsidP="001C7D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C7D0B">
              <w:rPr>
                <w:rFonts w:ascii="Arial" w:hAnsi="Arial" w:cs="Arial"/>
                <w:sz w:val="16"/>
                <w:szCs w:val="16"/>
              </w:rPr>
              <w:t>-3.7%</w:t>
            </w:r>
          </w:p>
        </w:tc>
        <w:tc>
          <w:tcPr>
            <w:tcW w:w="714" w:type="dxa"/>
            <w:shd w:val="clear" w:color="auto" w:fill="E6B8B7"/>
            <w:noWrap/>
            <w:vAlign w:val="bottom"/>
          </w:tcPr>
          <w:p w14:paraId="4B7DC8E7" w14:textId="606EE8B1" w:rsidR="001C7D0B" w:rsidRPr="001C7D0B" w:rsidRDefault="001C7D0B" w:rsidP="001C7D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  <w:r w:rsidRPr="001C7D0B">
              <w:rPr>
                <w:rFonts w:ascii="Arial" w:hAnsi="Arial" w:cs="Arial"/>
                <w:sz w:val="16"/>
                <w:szCs w:val="16"/>
              </w:rPr>
              <w:t>-1.6%</w:t>
            </w: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33913291" w14:textId="77777777" w:rsidR="001C7D0B" w:rsidRPr="00757C0B" w:rsidRDefault="001C7D0B" w:rsidP="001C7D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644DA6B0" w14:textId="77777777" w:rsidR="001C7D0B" w:rsidRPr="00757C0B" w:rsidRDefault="001C7D0B" w:rsidP="001C7D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120088C1" w14:textId="77777777" w:rsidR="001C7D0B" w:rsidRPr="00757C0B" w:rsidRDefault="001C7D0B" w:rsidP="001C7D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398B0D49" w14:textId="77777777" w:rsidR="001C7D0B" w:rsidRPr="00757C0B" w:rsidRDefault="001C7D0B" w:rsidP="001C7D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268973B3" w14:textId="77777777" w:rsidR="001C7D0B" w:rsidRPr="00757C0B" w:rsidRDefault="001C7D0B" w:rsidP="001C7D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57" w:type="dxa"/>
            <w:shd w:val="clear" w:color="auto" w:fill="auto"/>
            <w:noWrap/>
            <w:vAlign w:val="bottom"/>
          </w:tcPr>
          <w:p w14:paraId="02286D20" w14:textId="77777777" w:rsidR="001C7D0B" w:rsidRPr="00757C0B" w:rsidRDefault="001C7D0B" w:rsidP="001C7D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3EF28F5" w14:textId="77777777" w:rsidR="001C7D0B" w:rsidRPr="00757C0B" w:rsidRDefault="001C7D0B" w:rsidP="001C7D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69033205" w14:textId="77777777" w:rsidR="001C7D0B" w:rsidRPr="00757C0B" w:rsidRDefault="001C7D0B" w:rsidP="001C7D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3AA2D3B1" w14:textId="77777777" w:rsidR="001C7D0B" w:rsidRPr="00757C0B" w:rsidRDefault="001C7D0B" w:rsidP="001C7D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14:paraId="139FFA08" w14:textId="77777777" w:rsidR="001C7D0B" w:rsidRPr="00757C0B" w:rsidRDefault="001C7D0B" w:rsidP="001C7D0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14:paraId="14458122" w14:textId="4B781D92" w:rsidR="000E0D6B" w:rsidRDefault="000E0D6B" w:rsidP="000E0D6B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0E0D6B">
        <w:t xml:space="preserve"> </w:t>
      </w:r>
      <w:r w:rsidRPr="00555250">
        <w:rPr>
          <w:color w:val="7F7F7F" w:themeColor="text1" w:themeTint="80"/>
          <w:sz w:val="16"/>
          <w:szCs w:val="16"/>
        </w:rPr>
        <w:t xml:space="preserve">Source: </w:t>
      </w:r>
      <w:r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>
        <w:rPr>
          <w:color w:val="7F7F7F" w:themeColor="text1" w:themeTint="80"/>
          <w:sz w:val="16"/>
          <w:szCs w:val="16"/>
        </w:rPr>
        <w:t>quad weeks 2017-202</w:t>
      </w:r>
      <w:r w:rsidR="00432D1F">
        <w:rPr>
          <w:color w:val="7F7F7F" w:themeColor="text1" w:themeTint="80"/>
          <w:sz w:val="16"/>
          <w:szCs w:val="16"/>
        </w:rPr>
        <w:t>4</w:t>
      </w:r>
    </w:p>
    <w:p w14:paraId="517A6985" w14:textId="77777777" w:rsidR="00F20BAF" w:rsidRPr="000E0D6B" w:rsidRDefault="00F20BAF" w:rsidP="000E0D6B">
      <w:pPr>
        <w:pStyle w:val="NoSpacing"/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lastRenderedPageBreak/>
        <w:t>Inflation</w:t>
      </w:r>
    </w:p>
    <w:p w14:paraId="4A3C02BB" w14:textId="5657E588" w:rsidR="00666D40" w:rsidRDefault="006A1766" w:rsidP="00472B02">
      <w:pPr>
        <w:pStyle w:val="NoSpacing"/>
      </w:pPr>
      <w:r>
        <w:t xml:space="preserve">Inflation </w:t>
      </w:r>
      <w:r w:rsidR="0031233D">
        <w:t xml:space="preserve">across total food and beverages is slowing down and </w:t>
      </w:r>
      <w:r>
        <w:t xml:space="preserve">mushrooms are following suit. </w:t>
      </w:r>
      <w:r w:rsidR="00030ABF">
        <w:t>M</w:t>
      </w:r>
      <w:r w:rsidR="000E2A1D">
        <w:t xml:space="preserve">ushroom prices </w:t>
      </w:r>
      <w:r w:rsidR="00157136">
        <w:t>decreased year-over year, both on a per unit and per pound basis</w:t>
      </w:r>
      <w:r>
        <w:t xml:space="preserve">. </w:t>
      </w:r>
      <w:r w:rsidR="000E2A1D">
        <w:t xml:space="preserve">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2875"/>
        <w:gridCol w:w="304"/>
        <w:gridCol w:w="1146"/>
        <w:gridCol w:w="973"/>
        <w:gridCol w:w="909"/>
        <w:gridCol w:w="1776"/>
        <w:gridCol w:w="817"/>
        <w:gridCol w:w="1275"/>
      </w:tblGrid>
      <w:tr w:rsidR="000C3CC4" w:rsidRPr="00124CB7" w14:paraId="6E9D1AEF" w14:textId="162D7E86" w:rsidTr="002F4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5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50" w:type="dxa"/>
            <w:gridSpan w:val="2"/>
          </w:tcPr>
          <w:p w14:paraId="5EC6EFF0" w14:textId="6686CE76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1C7D0B">
              <w:t>3/24/2024</w:t>
            </w:r>
          </w:p>
        </w:tc>
        <w:tc>
          <w:tcPr>
            <w:tcW w:w="973" w:type="dxa"/>
          </w:tcPr>
          <w:p w14:paraId="10EFADEC" w14:textId="1DD0A0E2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1E7C8B">
              <w:t>2023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55EFE125" w14:textId="55B2EEEC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1E7C8B">
              <w:t>2021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6A5B944C" w14:textId="3A847C11" w:rsidR="000C3CC4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0C3CC4">
              <w:t xml:space="preserve"> </w:t>
            </w:r>
            <w:r w:rsidR="001C7D0B">
              <w:t>3/24/2024</w:t>
            </w:r>
          </w:p>
        </w:tc>
        <w:tc>
          <w:tcPr>
            <w:tcW w:w="817" w:type="dxa"/>
          </w:tcPr>
          <w:p w14:paraId="56551B99" w14:textId="30E2875D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1E7C8B">
              <w:t>2023</w:t>
            </w:r>
          </w:p>
        </w:tc>
        <w:tc>
          <w:tcPr>
            <w:tcW w:w="1275" w:type="dxa"/>
          </w:tcPr>
          <w:p w14:paraId="1A109D51" w14:textId="2F652848" w:rsidR="000C3CC4" w:rsidRPr="00124CB7" w:rsidRDefault="000C3CC4" w:rsidP="001E7C8B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</w:t>
            </w:r>
            <w:r w:rsidR="001E7C8B">
              <w:t>1</w:t>
            </w:r>
          </w:p>
        </w:tc>
      </w:tr>
      <w:tr w:rsidR="000C3CC4" w14:paraId="2B35BE12" w14:textId="0A6FF303" w:rsidTr="002F4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146" w:type="dxa"/>
          </w:tcPr>
          <w:p w14:paraId="2915A28B" w14:textId="14B7068A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1C7D0B">
              <w:t>2.79</w:t>
            </w:r>
          </w:p>
        </w:tc>
        <w:tc>
          <w:tcPr>
            <w:tcW w:w="973" w:type="dxa"/>
          </w:tcPr>
          <w:p w14:paraId="3E0967AB" w14:textId="25606169" w:rsidR="000C3CC4" w:rsidRDefault="00E46DB2" w:rsidP="00EA0CB5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1C7D0B">
              <w:t>1.1</w:t>
            </w:r>
            <w:r w:rsidR="000C3CC4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09DAD54E" w14:textId="7418F889" w:rsidR="000C3CC4" w:rsidRDefault="00663846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157136">
              <w:t>7.8</w:t>
            </w:r>
            <w:r w:rsidR="000C3CC4"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03CA719E" w14:textId="4A05396C" w:rsidR="000C3CC4" w:rsidRDefault="000C3CC4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E46DB2">
              <w:t>2.81</w:t>
            </w:r>
          </w:p>
        </w:tc>
        <w:tc>
          <w:tcPr>
            <w:tcW w:w="817" w:type="dxa"/>
          </w:tcPr>
          <w:p w14:paraId="08755E5E" w14:textId="7C0DB181" w:rsidR="000C3CC4" w:rsidRDefault="001C7D0B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E46DB2">
              <w:t>0.</w:t>
            </w:r>
            <w:r>
              <w:t>4</w:t>
            </w:r>
            <w:r w:rsidR="000C3CC4">
              <w:t>%</w:t>
            </w:r>
          </w:p>
        </w:tc>
        <w:tc>
          <w:tcPr>
            <w:tcW w:w="1275" w:type="dxa"/>
          </w:tcPr>
          <w:p w14:paraId="19B1F6D2" w14:textId="5781EC4C" w:rsidR="000C3CC4" w:rsidRDefault="000C3CC4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1C7D0B">
              <w:t>8.9</w:t>
            </w:r>
            <w:r>
              <w:t>%</w:t>
            </w:r>
          </w:p>
        </w:tc>
      </w:tr>
      <w:tr w:rsidR="0004266D" w14:paraId="7C18640F" w14:textId="5B569261" w:rsidTr="002F4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gridSpan w:val="2"/>
          </w:tcPr>
          <w:p w14:paraId="47C97CE0" w14:textId="7777777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146" w:type="dxa"/>
          </w:tcPr>
          <w:p w14:paraId="17C86A08" w14:textId="1B6E8E68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253F46">
              <w:t>4.</w:t>
            </w:r>
            <w:r w:rsidR="00157136">
              <w:t>56</w:t>
            </w:r>
          </w:p>
        </w:tc>
        <w:tc>
          <w:tcPr>
            <w:tcW w:w="973" w:type="dxa"/>
          </w:tcPr>
          <w:p w14:paraId="7E986169" w14:textId="2FD973D5" w:rsidR="0004266D" w:rsidRDefault="00157136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-0.7</w:t>
            </w:r>
            <w:r w:rsidR="0004266D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36DDF54D" w14:textId="058B36C2" w:rsidR="0004266D" w:rsidRDefault="0004266D" w:rsidP="0048371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157136">
              <w:t>9.</w:t>
            </w:r>
            <w:r w:rsidR="00253F46">
              <w:t>3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233A8701" w14:textId="02034B48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253F46">
              <w:t>4.57</w:t>
            </w:r>
          </w:p>
        </w:tc>
        <w:tc>
          <w:tcPr>
            <w:tcW w:w="817" w:type="dxa"/>
          </w:tcPr>
          <w:p w14:paraId="1759FD32" w14:textId="1959C736" w:rsidR="0004266D" w:rsidRDefault="00157136" w:rsidP="00AB019A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253F46">
              <w:t>0.2</w:t>
            </w:r>
            <w:r w:rsidR="0004266D">
              <w:t>%</w:t>
            </w:r>
          </w:p>
        </w:tc>
        <w:tc>
          <w:tcPr>
            <w:tcW w:w="1275" w:type="dxa"/>
          </w:tcPr>
          <w:p w14:paraId="725313BE" w14:textId="2FDDABC1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253F46">
              <w:t>9.</w:t>
            </w:r>
            <w:r w:rsidR="00157136">
              <w:t>6</w:t>
            </w:r>
            <w:r w:rsidR="00483711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0D2568AE" w:rsidR="00170260" w:rsidRDefault="00B672D0" w:rsidP="00170260">
      <w:pPr>
        <w:pStyle w:val="NoSpacing"/>
      </w:pPr>
      <w:r>
        <w:t xml:space="preserve">Moderation in price increases </w:t>
      </w:r>
      <w:r w:rsidR="0009067E">
        <w:t xml:space="preserve">went </w:t>
      </w:r>
      <w:r>
        <w:t xml:space="preserve">hand-in-hand with </w:t>
      </w:r>
      <w:r w:rsidR="00432D1F">
        <w:t xml:space="preserve">greater </w:t>
      </w:r>
      <w:r>
        <w:t>p</w:t>
      </w:r>
      <w:r w:rsidR="006636C7">
        <w:t>romotional activity</w:t>
      </w:r>
      <w:r>
        <w:t xml:space="preserve">. </w:t>
      </w:r>
      <w:r w:rsidR="0009067E">
        <w:t xml:space="preserve">During </w:t>
      </w:r>
      <w:r w:rsidR="006636C7">
        <w:t>the latest quad-week period</w:t>
      </w:r>
      <w:r w:rsidR="00A36245">
        <w:t xml:space="preserve"> </w:t>
      </w:r>
      <w:r w:rsidR="00157136">
        <w:t>20.1</w:t>
      </w:r>
      <w:r w:rsidR="00FF2D4A">
        <w:t xml:space="preserve">% of total </w:t>
      </w:r>
      <w:r w:rsidR="00085508">
        <w:t xml:space="preserve">fresh mushroom </w:t>
      </w:r>
      <w:r w:rsidR="00FF2D4A">
        <w:t>dollars</w:t>
      </w:r>
      <w:r w:rsidR="004C1DB1">
        <w:t xml:space="preserve"> sold</w:t>
      </w:r>
      <w:r>
        <w:t xml:space="preserve"> while on promotion</w:t>
      </w:r>
      <w:r w:rsidR="00E508BB">
        <w:t>.</w:t>
      </w:r>
      <w:r w:rsidR="00663846">
        <w:t xml:space="preserve"> This was up </w:t>
      </w:r>
      <w:r w:rsidR="00851FDB">
        <w:t>1</w:t>
      </w:r>
      <w:r w:rsidR="00157136">
        <w:t>2</w:t>
      </w:r>
      <w:r w:rsidR="00851FDB">
        <w:t>.6</w:t>
      </w:r>
      <w:r w:rsidR="00432D1F">
        <w:t>%.</w:t>
      </w:r>
      <w:r w:rsidR="00E508BB">
        <w:t xml:space="preserve"> 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10070" w:type="dxa"/>
        <w:tblLook w:val="04A0" w:firstRow="1" w:lastRow="0" w:firstColumn="1" w:lastColumn="0" w:noHBand="0" w:noVBand="1"/>
      </w:tblPr>
      <w:tblGrid>
        <w:gridCol w:w="3539"/>
        <w:gridCol w:w="397"/>
        <w:gridCol w:w="1342"/>
        <w:gridCol w:w="1369"/>
        <w:gridCol w:w="2054"/>
        <w:gridCol w:w="1369"/>
      </w:tblGrid>
      <w:tr w:rsidR="00972570" w:rsidRPr="00124CB7" w14:paraId="5DFB9CAB" w14:textId="77777777" w:rsidTr="00694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39" w:type="dxa"/>
            <w:gridSpan w:val="2"/>
          </w:tcPr>
          <w:p w14:paraId="6A0500B8" w14:textId="7C864A34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1C7D0B">
              <w:t>3/24/2024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CF9736D" w14:textId="631F4E35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1E7C8B">
              <w:t>2023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413A4F70" w14:textId="24EF84C7" w:rsidR="00972570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972570">
              <w:t xml:space="preserve"> </w:t>
            </w:r>
            <w:r w:rsidR="001C7D0B">
              <w:t>3/24/2024</w:t>
            </w:r>
          </w:p>
        </w:tc>
        <w:tc>
          <w:tcPr>
            <w:tcW w:w="1369" w:type="dxa"/>
          </w:tcPr>
          <w:p w14:paraId="75064544" w14:textId="2A4167F6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1E7C8B">
              <w:t>2023</w:t>
            </w:r>
          </w:p>
        </w:tc>
      </w:tr>
      <w:tr w:rsidR="004A50D2" w14:paraId="3B76FFA3" w14:textId="78296325" w:rsidTr="0031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2B5B6C81" w14:textId="6313A9FC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342" w:type="dxa"/>
            <w:shd w:val="clear" w:color="auto" w:fill="auto"/>
          </w:tcPr>
          <w:p w14:paraId="6D5E5F03" w14:textId="20D63BDE" w:rsidR="004A50D2" w:rsidRPr="006617FB" w:rsidRDefault="00157136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20.1</w:t>
            </w:r>
            <w:r w:rsidR="004A50D2" w:rsidRPr="006617FB">
              <w:t>%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86FECBD" w14:textId="3E7F899A" w:rsidR="004A50D2" w:rsidRPr="009B0330" w:rsidRDefault="00511CD0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3F7D52">
              <w:t>1</w:t>
            </w:r>
            <w:r w:rsidR="00157136">
              <w:t>2.6</w:t>
            </w:r>
            <w:r w:rsidR="004A50D2" w:rsidRPr="009B0330">
              <w:t>%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66CD7DD9" w14:textId="3F9EE451" w:rsidR="004A50D2" w:rsidRPr="009B0330" w:rsidRDefault="003F7D52" w:rsidP="00916DE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</w:t>
            </w:r>
            <w:r w:rsidR="00157136">
              <w:t>6</w:t>
            </w:r>
            <w:r w:rsidR="004A50D2" w:rsidRPr="009B0330">
              <w:t>%</w:t>
            </w:r>
          </w:p>
        </w:tc>
        <w:tc>
          <w:tcPr>
            <w:tcW w:w="1369" w:type="dxa"/>
            <w:shd w:val="clear" w:color="auto" w:fill="auto"/>
          </w:tcPr>
          <w:p w14:paraId="7461CDF6" w14:textId="0428BA98" w:rsidR="004A50D2" w:rsidRPr="00314DA1" w:rsidRDefault="00FC56B0" w:rsidP="00145E2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3F7D52">
              <w:t>1</w:t>
            </w:r>
            <w:r w:rsidR="00157136">
              <w:t>9.3</w:t>
            </w:r>
            <w:r w:rsidR="004A50D2" w:rsidRPr="00314DA1">
              <w:t>%</w:t>
            </w:r>
          </w:p>
        </w:tc>
      </w:tr>
    </w:tbl>
    <w:p w14:paraId="23606064" w14:textId="1F60ACBE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 xml:space="preserve">Circana, </w:t>
      </w:r>
      <w:r w:rsidRPr="00555250">
        <w:rPr>
          <w:color w:val="7F7F7F" w:themeColor="text1" w:themeTint="80"/>
          <w:sz w:val="16"/>
          <w:szCs w:val="16"/>
        </w:rPr>
        <w:t xml:space="preserve">Integrated Fresh, MULO,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1C7D0B">
        <w:rPr>
          <w:color w:val="7F7F7F" w:themeColor="text1" w:themeTint="80"/>
          <w:sz w:val="16"/>
          <w:szCs w:val="16"/>
        </w:rPr>
        <w:t>3/24/2024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0F7399B8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C3750A">
        <w:t>5</w:t>
      </w:r>
      <w:r w:rsidR="00157136">
        <w:t>2.3</w:t>
      </w:r>
      <w:r w:rsidR="00927EAC">
        <w:t xml:space="preserve">% of </w:t>
      </w:r>
      <w:r w:rsidR="004C1DB1">
        <w:t>mushroom dollars</w:t>
      </w:r>
      <w:r w:rsidR="00927EAC">
        <w:t xml:space="preserve"> and </w:t>
      </w:r>
      <w:r w:rsidR="00C3750A">
        <w:t>5</w:t>
      </w:r>
      <w:r w:rsidR="00157136">
        <w:t>8.6</w:t>
      </w:r>
      <w:r w:rsidR="00AB019A">
        <w:t>%</w:t>
      </w:r>
      <w:r w:rsidR="00927EAC">
        <w:t xml:space="preserve">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927EAC">
        <w:t xml:space="preserve">. </w:t>
      </w:r>
      <w:r w:rsidR="00157136">
        <w:t xml:space="preserve">Crimini mushrooms are the next largest seller. Portabella mushrooms are the only ones showing a gain in pounds, at +0.5% over year ago levels. Crimini mushrooms also have a better year-on-year volume performance in comparison to white mushrooms. </w:t>
      </w:r>
      <w:r w:rsidR="00432D1F">
        <w:t xml:space="preserve"> </w:t>
      </w:r>
      <w:r w:rsidR="00F40BC0">
        <w:t xml:space="preserve">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ayout w:type="fixed"/>
        <w:tblLook w:val="0400" w:firstRow="0" w:lastRow="0" w:firstColumn="0" w:lastColumn="0" w:noHBand="0" w:noVBand="1"/>
      </w:tblPr>
      <w:tblGrid>
        <w:gridCol w:w="2547"/>
        <w:gridCol w:w="1168"/>
        <w:gridCol w:w="882"/>
        <w:gridCol w:w="991"/>
        <w:gridCol w:w="972"/>
        <w:gridCol w:w="927"/>
        <w:gridCol w:w="1117"/>
        <w:gridCol w:w="1047"/>
        <w:gridCol w:w="964"/>
      </w:tblGrid>
      <w:tr w:rsidR="00A43A45" w:rsidRPr="00B25DFD" w14:paraId="66036A96" w14:textId="09558220" w:rsidTr="00330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547" w:type="dxa"/>
            <w:shd w:val="clear" w:color="auto" w:fill="ED7D31" w:themeFill="accent2"/>
            <w:vAlign w:val="center"/>
            <w:hideMark/>
          </w:tcPr>
          <w:p w14:paraId="4B138C18" w14:textId="6CE75801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1C7D0B">
              <w:rPr>
                <w:rFonts w:cstheme="minorHAnsi"/>
                <w:b/>
                <w:bCs/>
                <w:color w:val="FFFFFF" w:themeColor="background1"/>
              </w:rPr>
              <w:t>3/24/2024</w:t>
            </w:r>
          </w:p>
        </w:tc>
        <w:tc>
          <w:tcPr>
            <w:tcW w:w="1168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991" w:type="dxa"/>
            <w:shd w:val="clear" w:color="auto" w:fill="ED7D31" w:themeFill="accent2"/>
            <w:hideMark/>
          </w:tcPr>
          <w:p w14:paraId="3685CC92" w14:textId="447AACD7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1E7C8B">
              <w:rPr>
                <w:rFonts w:cstheme="minorHAnsi"/>
                <w:b/>
                <w:bCs/>
                <w:color w:val="FFFFFF" w:themeColor="background1"/>
              </w:rPr>
              <w:t>2023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63889E48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1E7C8B">
              <w:rPr>
                <w:rFonts w:cstheme="minorHAnsi"/>
                <w:b/>
                <w:bCs/>
                <w:color w:val="FFFFFF" w:themeColor="background1"/>
              </w:rPr>
              <w:t>2021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(lbs)</w:t>
            </w:r>
          </w:p>
        </w:tc>
        <w:tc>
          <w:tcPr>
            <w:tcW w:w="1117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47" w:type="dxa"/>
            <w:shd w:val="clear" w:color="auto" w:fill="ED7D31" w:themeFill="accent2"/>
          </w:tcPr>
          <w:p w14:paraId="7DE6FAA8" w14:textId="0F8EE215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Lbs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1E7C8B">
              <w:rPr>
                <w:rFonts w:cstheme="minorHAnsi"/>
                <w:b/>
                <w:bCs/>
                <w:color w:val="FFFFFF" w:themeColor="background1"/>
              </w:rPr>
              <w:t>2023</w:t>
            </w:r>
          </w:p>
        </w:tc>
        <w:tc>
          <w:tcPr>
            <w:tcW w:w="964" w:type="dxa"/>
            <w:shd w:val="clear" w:color="auto" w:fill="ED7D31" w:themeFill="accent2"/>
          </w:tcPr>
          <w:p w14:paraId="212AEB88" w14:textId="7B409418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1E7C8B">
              <w:rPr>
                <w:rFonts w:cstheme="minorHAnsi"/>
                <w:b/>
                <w:bCs/>
                <w:color w:val="FFFFFF" w:themeColor="background1"/>
              </w:rPr>
              <w:t>2021</w:t>
            </w:r>
          </w:p>
        </w:tc>
      </w:tr>
      <w:tr w:rsidR="00157136" w:rsidRPr="00B25DFD" w14:paraId="69D4AA5B" w14:textId="069A747C" w:rsidTr="00BC2163">
        <w:trPr>
          <w:trHeight w:val="20"/>
        </w:trPr>
        <w:tc>
          <w:tcPr>
            <w:tcW w:w="2547" w:type="dxa"/>
            <w:vAlign w:val="center"/>
            <w:hideMark/>
          </w:tcPr>
          <w:p w14:paraId="2C1CDE46" w14:textId="178D4679" w:rsidR="00157136" w:rsidRPr="006A7A6E" w:rsidRDefault="00157136" w:rsidP="0015713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f</w:t>
            </w:r>
            <w:r w:rsidRPr="006A7A6E">
              <w:rPr>
                <w:rFonts w:cstheme="minorHAnsi"/>
                <w:b/>
                <w:bCs/>
              </w:rPr>
              <w:t>resh mushrooms</w:t>
            </w:r>
          </w:p>
        </w:tc>
        <w:tc>
          <w:tcPr>
            <w:tcW w:w="1168" w:type="dxa"/>
            <w:vAlign w:val="center"/>
            <w:hideMark/>
          </w:tcPr>
          <w:p w14:paraId="6A87FED7" w14:textId="5C7DCCF0" w:rsidR="00157136" w:rsidRPr="00157136" w:rsidRDefault="00157136" w:rsidP="00157136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157136">
              <w:rPr>
                <w:rFonts w:cstheme="minorHAnsi"/>
                <w:sz w:val="20"/>
                <w:szCs w:val="20"/>
              </w:rPr>
              <w:t>$104</w:t>
            </w:r>
            <w:r>
              <w:rPr>
                <w:rFonts w:cstheme="minorHAnsi"/>
                <w:sz w:val="20"/>
                <w:szCs w:val="20"/>
              </w:rPr>
              <w:t>.4M</w:t>
            </w:r>
          </w:p>
        </w:tc>
        <w:tc>
          <w:tcPr>
            <w:tcW w:w="882" w:type="dxa"/>
            <w:vAlign w:val="center"/>
          </w:tcPr>
          <w:p w14:paraId="3A01C257" w14:textId="7CA6367D" w:rsidR="00157136" w:rsidRPr="00157136" w:rsidRDefault="00157136" w:rsidP="00157136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 w:rsidRPr="00157136">
              <w:rPr>
                <w:rFonts w:cstheme="minorHAnsi"/>
                <w:sz w:val="20"/>
                <w:szCs w:val="20"/>
              </w:rPr>
              <w:t>100.0%</w:t>
            </w:r>
          </w:p>
        </w:tc>
        <w:tc>
          <w:tcPr>
            <w:tcW w:w="991" w:type="dxa"/>
            <w:vAlign w:val="center"/>
            <w:hideMark/>
          </w:tcPr>
          <w:p w14:paraId="7E486F05" w14:textId="0A83A582" w:rsidR="00157136" w:rsidRPr="00157136" w:rsidRDefault="00157136" w:rsidP="00157136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157136">
              <w:rPr>
                <w:rFonts w:cstheme="minorHAnsi"/>
                <w:sz w:val="20"/>
                <w:szCs w:val="20"/>
              </w:rPr>
              <w:t>-4.4%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vAlign w:val="center"/>
            <w:hideMark/>
          </w:tcPr>
          <w:p w14:paraId="3BD808C1" w14:textId="4B8C1A89" w:rsidR="00157136" w:rsidRPr="00157136" w:rsidRDefault="00157136" w:rsidP="00157136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157136">
              <w:rPr>
                <w:rFonts w:cstheme="minorHAnsi"/>
                <w:sz w:val="20"/>
                <w:szCs w:val="20"/>
              </w:rPr>
              <w:t>-8.3%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center"/>
          </w:tcPr>
          <w:p w14:paraId="6E7375BC" w14:textId="70B24F94" w:rsidR="00157136" w:rsidRPr="00157136" w:rsidRDefault="00157136" w:rsidP="00157136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157136">
              <w:rPr>
                <w:rFonts w:cstheme="minorHAnsi"/>
                <w:sz w:val="20"/>
                <w:szCs w:val="20"/>
              </w:rPr>
              <w:t>22</w:t>
            </w:r>
            <w:r>
              <w:rPr>
                <w:rFonts w:cstheme="minorHAnsi"/>
                <w:sz w:val="20"/>
                <w:szCs w:val="20"/>
              </w:rPr>
              <w:t>.9M</w:t>
            </w:r>
          </w:p>
        </w:tc>
        <w:tc>
          <w:tcPr>
            <w:tcW w:w="1117" w:type="dxa"/>
            <w:vAlign w:val="center"/>
          </w:tcPr>
          <w:p w14:paraId="62317D86" w14:textId="7C5445B8" w:rsidR="00157136" w:rsidRPr="00157136" w:rsidRDefault="00157136" w:rsidP="00157136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 w:rsidRPr="00157136">
              <w:rPr>
                <w:rFonts w:cstheme="minorHAnsi"/>
                <w:sz w:val="20"/>
                <w:szCs w:val="20"/>
              </w:rPr>
              <w:t>100.0%</w:t>
            </w:r>
          </w:p>
        </w:tc>
        <w:tc>
          <w:tcPr>
            <w:tcW w:w="1047" w:type="dxa"/>
            <w:vAlign w:val="center"/>
          </w:tcPr>
          <w:p w14:paraId="5E78B271" w14:textId="4BA5958B" w:rsidR="00157136" w:rsidRPr="00157136" w:rsidRDefault="00157136" w:rsidP="00157136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157136">
              <w:rPr>
                <w:rFonts w:cstheme="minorHAnsi"/>
                <w:sz w:val="20"/>
                <w:szCs w:val="20"/>
              </w:rPr>
              <w:t>-3.8%</w:t>
            </w:r>
          </w:p>
        </w:tc>
        <w:tc>
          <w:tcPr>
            <w:tcW w:w="964" w:type="dxa"/>
            <w:vAlign w:val="center"/>
          </w:tcPr>
          <w:p w14:paraId="576290B6" w14:textId="42E5622B" w:rsidR="00157136" w:rsidRPr="00157136" w:rsidRDefault="00157136" w:rsidP="00157136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157136">
              <w:rPr>
                <w:rFonts w:cstheme="minorHAnsi"/>
                <w:sz w:val="20"/>
                <w:szCs w:val="20"/>
              </w:rPr>
              <w:t>-16.1%</w:t>
            </w:r>
          </w:p>
        </w:tc>
      </w:tr>
      <w:tr w:rsidR="00157136" w:rsidRPr="00B25DFD" w14:paraId="20B4A675" w14:textId="7B567306" w:rsidTr="00BC2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547" w:type="dxa"/>
            <w:vAlign w:val="center"/>
            <w:hideMark/>
          </w:tcPr>
          <w:p w14:paraId="0674F69D" w14:textId="21733F06" w:rsidR="00157136" w:rsidRPr="006A7A6E" w:rsidRDefault="00157136" w:rsidP="00157136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White mushrooms</w:t>
            </w:r>
          </w:p>
        </w:tc>
        <w:tc>
          <w:tcPr>
            <w:tcW w:w="1168" w:type="dxa"/>
            <w:vAlign w:val="center"/>
            <w:hideMark/>
          </w:tcPr>
          <w:p w14:paraId="502595AA" w14:textId="28FA6E23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$54</w:t>
            </w:r>
            <w:r>
              <w:rPr>
                <w:rFonts w:cstheme="minorHAnsi"/>
                <w:sz w:val="20"/>
                <w:szCs w:val="20"/>
              </w:rPr>
              <w:t>.6M</w:t>
            </w:r>
          </w:p>
        </w:tc>
        <w:tc>
          <w:tcPr>
            <w:tcW w:w="882" w:type="dxa"/>
            <w:vAlign w:val="center"/>
          </w:tcPr>
          <w:p w14:paraId="5E770B3E" w14:textId="782CE17B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52.3%</w:t>
            </w:r>
          </w:p>
        </w:tc>
        <w:tc>
          <w:tcPr>
            <w:tcW w:w="991" w:type="dxa"/>
            <w:vAlign w:val="center"/>
            <w:hideMark/>
          </w:tcPr>
          <w:p w14:paraId="4CEB702D" w14:textId="7D38EA58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-4.2%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vAlign w:val="center"/>
            <w:hideMark/>
          </w:tcPr>
          <w:p w14:paraId="7F3B4AE1" w14:textId="440309E7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-10.9%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center"/>
          </w:tcPr>
          <w:p w14:paraId="3E87B660" w14:textId="0A1AB2B1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13</w:t>
            </w:r>
            <w:r>
              <w:rPr>
                <w:rFonts w:cstheme="minorHAnsi"/>
                <w:sz w:val="20"/>
                <w:szCs w:val="20"/>
              </w:rPr>
              <w:t>.4M</w:t>
            </w:r>
          </w:p>
        </w:tc>
        <w:tc>
          <w:tcPr>
            <w:tcW w:w="1117" w:type="dxa"/>
            <w:vAlign w:val="center"/>
          </w:tcPr>
          <w:p w14:paraId="4385ED4A" w14:textId="298E6C00" w:rsidR="00157136" w:rsidRPr="00157136" w:rsidRDefault="00157136" w:rsidP="00157136">
            <w:pPr>
              <w:pStyle w:val="NoSpacing"/>
              <w:tabs>
                <w:tab w:val="left" w:pos="510"/>
                <w:tab w:val="right" w:pos="674"/>
              </w:tabs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58.6%</w:t>
            </w:r>
          </w:p>
        </w:tc>
        <w:tc>
          <w:tcPr>
            <w:tcW w:w="1047" w:type="dxa"/>
            <w:vAlign w:val="center"/>
          </w:tcPr>
          <w:p w14:paraId="776C4AD3" w14:textId="2DEAF554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-5.3%</w:t>
            </w:r>
          </w:p>
        </w:tc>
        <w:tc>
          <w:tcPr>
            <w:tcW w:w="964" w:type="dxa"/>
            <w:vAlign w:val="center"/>
          </w:tcPr>
          <w:p w14:paraId="107F8B93" w14:textId="05798E18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-19.6%</w:t>
            </w:r>
          </w:p>
        </w:tc>
      </w:tr>
      <w:tr w:rsidR="00157136" w:rsidRPr="00B25DFD" w14:paraId="6060C93B" w14:textId="081A30E4" w:rsidTr="00BC2163">
        <w:trPr>
          <w:trHeight w:val="20"/>
        </w:trPr>
        <w:tc>
          <w:tcPr>
            <w:tcW w:w="2547" w:type="dxa"/>
            <w:vAlign w:val="center"/>
            <w:hideMark/>
          </w:tcPr>
          <w:p w14:paraId="4D628EC6" w14:textId="0859328D" w:rsidR="00157136" w:rsidRPr="006A7A6E" w:rsidRDefault="00157136" w:rsidP="00157136">
            <w:pPr>
              <w:rPr>
                <w:rFonts w:cstheme="minorHAnsi"/>
              </w:rPr>
            </w:pPr>
            <w:r>
              <w:rPr>
                <w:rFonts w:cstheme="minorHAnsi"/>
              </w:rPr>
              <w:t>Crimini</w:t>
            </w:r>
            <w:r w:rsidRPr="006A7A6E">
              <w:rPr>
                <w:rFonts w:cstheme="minorHAnsi"/>
              </w:rPr>
              <w:t xml:space="preserve"> mushrooms</w:t>
            </w:r>
          </w:p>
        </w:tc>
        <w:tc>
          <w:tcPr>
            <w:tcW w:w="1168" w:type="dxa"/>
            <w:vAlign w:val="center"/>
            <w:hideMark/>
          </w:tcPr>
          <w:p w14:paraId="590C2B94" w14:textId="2D7500A1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$35</w:t>
            </w:r>
            <w:r>
              <w:rPr>
                <w:rFonts w:cstheme="minorHAnsi"/>
                <w:sz w:val="20"/>
                <w:szCs w:val="20"/>
              </w:rPr>
              <w:t>.5M</w:t>
            </w:r>
          </w:p>
        </w:tc>
        <w:tc>
          <w:tcPr>
            <w:tcW w:w="882" w:type="dxa"/>
            <w:vAlign w:val="center"/>
          </w:tcPr>
          <w:p w14:paraId="02395440" w14:textId="46441557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34.0%</w:t>
            </w:r>
          </w:p>
        </w:tc>
        <w:tc>
          <w:tcPr>
            <w:tcW w:w="991" w:type="dxa"/>
            <w:vAlign w:val="center"/>
            <w:hideMark/>
          </w:tcPr>
          <w:p w14:paraId="42F0AAF3" w14:textId="67B0BE1D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-3.7%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vAlign w:val="center"/>
            <w:hideMark/>
          </w:tcPr>
          <w:p w14:paraId="25DB127B" w14:textId="53212A00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Pr="00157136">
              <w:rPr>
                <w:rFonts w:cstheme="minorHAnsi"/>
                <w:sz w:val="20"/>
                <w:szCs w:val="20"/>
              </w:rPr>
              <w:t>4.8%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center"/>
          </w:tcPr>
          <w:p w14:paraId="6FD24DED" w14:textId="17351CFD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.4M</w:t>
            </w:r>
          </w:p>
        </w:tc>
        <w:tc>
          <w:tcPr>
            <w:tcW w:w="1117" w:type="dxa"/>
            <w:vAlign w:val="center"/>
          </w:tcPr>
          <w:p w14:paraId="39529C18" w14:textId="66F183F7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32.3%</w:t>
            </w:r>
          </w:p>
        </w:tc>
        <w:tc>
          <w:tcPr>
            <w:tcW w:w="1047" w:type="dxa"/>
            <w:vAlign w:val="center"/>
          </w:tcPr>
          <w:p w14:paraId="720478A7" w14:textId="4344E11D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-1.7%</w:t>
            </w:r>
          </w:p>
        </w:tc>
        <w:tc>
          <w:tcPr>
            <w:tcW w:w="964" w:type="dxa"/>
            <w:vAlign w:val="center"/>
          </w:tcPr>
          <w:p w14:paraId="30958CBD" w14:textId="083FE451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-4.6%</w:t>
            </w:r>
          </w:p>
        </w:tc>
      </w:tr>
      <w:tr w:rsidR="00157136" w:rsidRPr="00B25DFD" w14:paraId="165F121D" w14:textId="77777777" w:rsidTr="00BC21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547" w:type="dxa"/>
            <w:vAlign w:val="center"/>
          </w:tcPr>
          <w:p w14:paraId="3B3680F4" w14:textId="0FEB8C16" w:rsidR="00157136" w:rsidRPr="006A7A6E" w:rsidRDefault="00157136" w:rsidP="00157136">
            <w:pPr>
              <w:rPr>
                <w:rFonts w:cstheme="minorHAnsi"/>
              </w:rPr>
            </w:pPr>
            <w:r>
              <w:rPr>
                <w:rFonts w:cstheme="minorHAnsi"/>
              </w:rPr>
              <w:t>Portabella mushrooms</w:t>
            </w:r>
          </w:p>
        </w:tc>
        <w:tc>
          <w:tcPr>
            <w:tcW w:w="1168" w:type="dxa"/>
            <w:vAlign w:val="center"/>
          </w:tcPr>
          <w:p w14:paraId="34FDD2F4" w14:textId="60A03E54" w:rsidR="00157136" w:rsidRPr="00157136" w:rsidRDefault="00157136" w:rsidP="00157136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 w:rsidRPr="00157136">
              <w:rPr>
                <w:rFonts w:cstheme="minorHAnsi"/>
                <w:sz w:val="20"/>
                <w:szCs w:val="20"/>
              </w:rPr>
              <w:t>$</w:t>
            </w:r>
            <w:r>
              <w:rPr>
                <w:rFonts w:cstheme="minorHAnsi"/>
                <w:sz w:val="20"/>
                <w:szCs w:val="20"/>
              </w:rPr>
              <w:t>9.0M</w:t>
            </w:r>
          </w:p>
        </w:tc>
        <w:tc>
          <w:tcPr>
            <w:tcW w:w="882" w:type="dxa"/>
            <w:vAlign w:val="center"/>
          </w:tcPr>
          <w:p w14:paraId="0892AAF8" w14:textId="6634BD8B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8.6%</w:t>
            </w:r>
          </w:p>
        </w:tc>
        <w:tc>
          <w:tcPr>
            <w:tcW w:w="991" w:type="dxa"/>
            <w:vAlign w:val="center"/>
          </w:tcPr>
          <w:p w14:paraId="7DB594C7" w14:textId="1058644D" w:rsidR="00157136" w:rsidRPr="00157136" w:rsidRDefault="00157136" w:rsidP="00157136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 w:rsidRPr="00157136">
              <w:rPr>
                <w:rFonts w:cstheme="minorHAnsi"/>
                <w:sz w:val="20"/>
                <w:szCs w:val="20"/>
              </w:rPr>
              <w:t>-4.6%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vAlign w:val="center"/>
          </w:tcPr>
          <w:p w14:paraId="3A198856" w14:textId="2A0C998B" w:rsidR="00157136" w:rsidRPr="00157136" w:rsidRDefault="00157136" w:rsidP="00157136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 w:rsidRPr="00157136">
              <w:rPr>
                <w:rFonts w:cstheme="minorHAnsi"/>
                <w:sz w:val="20"/>
                <w:szCs w:val="20"/>
              </w:rPr>
              <w:t>-26.0%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center"/>
          </w:tcPr>
          <w:p w14:paraId="00901068" w14:textId="1A14BCE9" w:rsidR="00157136" w:rsidRPr="00157136" w:rsidRDefault="00157136" w:rsidP="00157136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 w:rsidRPr="00157136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.7M</w:t>
            </w:r>
          </w:p>
        </w:tc>
        <w:tc>
          <w:tcPr>
            <w:tcW w:w="1117" w:type="dxa"/>
            <w:vAlign w:val="center"/>
          </w:tcPr>
          <w:p w14:paraId="31D20BFF" w14:textId="6A96535B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7.4%</w:t>
            </w:r>
          </w:p>
        </w:tc>
        <w:tc>
          <w:tcPr>
            <w:tcW w:w="1047" w:type="dxa"/>
            <w:vAlign w:val="center"/>
          </w:tcPr>
          <w:p w14:paraId="6223018A" w14:textId="289FFE21" w:rsidR="00157136" w:rsidRPr="00157136" w:rsidRDefault="00157136" w:rsidP="00157136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sz w:val="20"/>
                <w:szCs w:val="20"/>
              </w:rPr>
              <w:t>+</w:t>
            </w:r>
            <w:r w:rsidRPr="00157136">
              <w:rPr>
                <w:rFonts w:cstheme="minorHAnsi"/>
                <w:sz w:val="20"/>
                <w:szCs w:val="20"/>
              </w:rPr>
              <w:t>0.5%</w:t>
            </w:r>
          </w:p>
        </w:tc>
        <w:tc>
          <w:tcPr>
            <w:tcW w:w="964" w:type="dxa"/>
            <w:vAlign w:val="center"/>
          </w:tcPr>
          <w:p w14:paraId="73FEF08C" w14:textId="7ED72E6F" w:rsidR="00157136" w:rsidRPr="00157136" w:rsidRDefault="00157136" w:rsidP="00157136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 w:rsidRPr="00157136">
              <w:rPr>
                <w:rFonts w:cstheme="minorHAnsi"/>
                <w:sz w:val="20"/>
                <w:szCs w:val="20"/>
              </w:rPr>
              <w:t>-27.0%</w:t>
            </w:r>
          </w:p>
        </w:tc>
      </w:tr>
      <w:tr w:rsidR="00157136" w:rsidRPr="00B25DFD" w14:paraId="2B6B448E" w14:textId="7445020D" w:rsidTr="00BC2163">
        <w:trPr>
          <w:trHeight w:val="20"/>
        </w:trPr>
        <w:tc>
          <w:tcPr>
            <w:tcW w:w="2547" w:type="dxa"/>
            <w:vAlign w:val="center"/>
            <w:hideMark/>
          </w:tcPr>
          <w:p w14:paraId="7C14C062" w14:textId="0BCE1D26" w:rsidR="00157136" w:rsidRPr="006A7A6E" w:rsidRDefault="00157136" w:rsidP="0015713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Specialty </w:t>
            </w:r>
            <w:r w:rsidRPr="006A7A6E">
              <w:rPr>
                <w:rFonts w:cstheme="minorHAnsi"/>
              </w:rPr>
              <w:t>mushrooms</w:t>
            </w:r>
          </w:p>
        </w:tc>
        <w:tc>
          <w:tcPr>
            <w:tcW w:w="1168" w:type="dxa"/>
            <w:vAlign w:val="center"/>
            <w:hideMark/>
          </w:tcPr>
          <w:p w14:paraId="43257BA5" w14:textId="6296ED79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$5</w:t>
            </w:r>
            <w:r>
              <w:rPr>
                <w:rFonts w:cstheme="minorHAnsi"/>
                <w:sz w:val="20"/>
                <w:szCs w:val="20"/>
              </w:rPr>
              <w:t>.3M</w:t>
            </w:r>
          </w:p>
        </w:tc>
        <w:tc>
          <w:tcPr>
            <w:tcW w:w="882" w:type="dxa"/>
            <w:vAlign w:val="center"/>
          </w:tcPr>
          <w:p w14:paraId="7EC04D31" w14:textId="1C640BB3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5.1%</w:t>
            </w:r>
          </w:p>
        </w:tc>
        <w:tc>
          <w:tcPr>
            <w:tcW w:w="991" w:type="dxa"/>
            <w:vAlign w:val="center"/>
            <w:hideMark/>
          </w:tcPr>
          <w:p w14:paraId="10052F27" w14:textId="32113747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-10.9%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vAlign w:val="center"/>
            <w:hideMark/>
          </w:tcPr>
          <w:p w14:paraId="31EEA636" w14:textId="7C0D3F86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-18.9%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center"/>
          </w:tcPr>
          <w:p w14:paraId="166CB34C" w14:textId="0AE9CF52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392,123</w:t>
            </w:r>
          </w:p>
        </w:tc>
        <w:tc>
          <w:tcPr>
            <w:tcW w:w="1117" w:type="dxa"/>
            <w:vAlign w:val="center"/>
          </w:tcPr>
          <w:p w14:paraId="417DE33D" w14:textId="4BC8B3B9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1.7%</w:t>
            </w:r>
          </w:p>
        </w:tc>
        <w:tc>
          <w:tcPr>
            <w:tcW w:w="1047" w:type="dxa"/>
            <w:vAlign w:val="center"/>
          </w:tcPr>
          <w:p w14:paraId="632726C6" w14:textId="3B648CFC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-8.1%</w:t>
            </w:r>
          </w:p>
        </w:tc>
        <w:tc>
          <w:tcPr>
            <w:tcW w:w="964" w:type="dxa"/>
            <w:vAlign w:val="center"/>
          </w:tcPr>
          <w:p w14:paraId="700774A9" w14:textId="506864A7" w:rsidR="00157136" w:rsidRPr="00157136" w:rsidRDefault="00157136" w:rsidP="00157136">
            <w:pPr>
              <w:pStyle w:val="NoSpacing"/>
              <w:jc w:val="right"/>
              <w:rPr>
                <w:rFonts w:cstheme="minorHAnsi"/>
              </w:rPr>
            </w:pPr>
            <w:r w:rsidRPr="00157136">
              <w:rPr>
                <w:rFonts w:cstheme="minorHAnsi"/>
                <w:sz w:val="20"/>
                <w:szCs w:val="20"/>
              </w:rPr>
              <w:t>-26.1%</w:t>
            </w:r>
          </w:p>
        </w:tc>
      </w:tr>
    </w:tbl>
    <w:bookmarkEnd w:id="0"/>
    <w:p w14:paraId="45617577" w14:textId="70AF68C1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1C7D0B">
        <w:rPr>
          <w:color w:val="7F7F7F" w:themeColor="text1" w:themeTint="80"/>
          <w:sz w:val="16"/>
          <w:szCs w:val="16"/>
        </w:rPr>
        <w:t>3/24/2024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22421914" w14:textId="255101A8" w:rsidR="00C9550B" w:rsidRDefault="00C9550B" w:rsidP="00174F0E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11421">
        <w:rPr>
          <w:color w:val="000000" w:themeColor="text1"/>
          <w:u w:val="single"/>
        </w:rPr>
        <w:t>Package size</w:t>
      </w:r>
      <w:r w:rsidRPr="00B11421">
        <w:rPr>
          <w:color w:val="000000" w:themeColor="text1"/>
        </w:rPr>
        <w:t xml:space="preserve">: </w:t>
      </w:r>
      <w:r w:rsidR="00B672D0" w:rsidRPr="00B11421">
        <w:rPr>
          <w:color w:val="000000" w:themeColor="text1"/>
        </w:rPr>
        <w:t>8</w:t>
      </w:r>
      <w:r w:rsidRPr="00B11421">
        <w:rPr>
          <w:color w:val="000000" w:themeColor="text1"/>
        </w:rPr>
        <w:t xml:space="preserve">-ounce packages </w:t>
      </w:r>
      <w:r w:rsidR="00B42A49" w:rsidRPr="00B11421">
        <w:rPr>
          <w:color w:val="000000" w:themeColor="text1"/>
        </w:rPr>
        <w:t xml:space="preserve">generated </w:t>
      </w:r>
      <w:r w:rsidR="00727F74">
        <w:rPr>
          <w:color w:val="000000" w:themeColor="text1"/>
        </w:rPr>
        <w:t>5</w:t>
      </w:r>
      <w:r w:rsidR="00283776">
        <w:rPr>
          <w:color w:val="000000" w:themeColor="text1"/>
        </w:rPr>
        <w:t>6.1</w:t>
      </w:r>
      <w:r w:rsidR="00B672D0" w:rsidRPr="00B11421">
        <w:rPr>
          <w:color w:val="000000" w:themeColor="text1"/>
        </w:rPr>
        <w:t>% of total sales in the four-week period</w:t>
      </w:r>
      <w:r w:rsidR="00B11421" w:rsidRPr="00B11421">
        <w:rPr>
          <w:color w:val="000000" w:themeColor="text1"/>
        </w:rPr>
        <w:t xml:space="preserve"> </w:t>
      </w:r>
      <w:r w:rsidR="00663846">
        <w:rPr>
          <w:color w:val="000000" w:themeColor="text1"/>
        </w:rPr>
        <w:t xml:space="preserve">and dollar sales were down </w:t>
      </w:r>
      <w:r w:rsidR="00727F74">
        <w:rPr>
          <w:color w:val="000000" w:themeColor="text1"/>
        </w:rPr>
        <w:t>2.</w:t>
      </w:r>
      <w:r w:rsidR="00283776">
        <w:rPr>
          <w:color w:val="000000" w:themeColor="text1"/>
        </w:rPr>
        <w:t>6</w:t>
      </w:r>
      <w:r w:rsidR="00834A70">
        <w:rPr>
          <w:color w:val="000000" w:themeColor="text1"/>
        </w:rPr>
        <w:t>%. 16-ounce packages are the next la</w:t>
      </w:r>
      <w:r w:rsidR="00663846">
        <w:rPr>
          <w:color w:val="000000" w:themeColor="text1"/>
        </w:rPr>
        <w:t xml:space="preserve">rgest seller, </w:t>
      </w:r>
      <w:r w:rsidR="00283776">
        <w:rPr>
          <w:color w:val="000000" w:themeColor="text1"/>
        </w:rPr>
        <w:t>at 16.7% of dollar sales, but sales were down by 10.4% year-on year</w:t>
      </w:r>
      <w:r w:rsidRPr="00B11421">
        <w:rPr>
          <w:color w:val="000000" w:themeColor="text1"/>
        </w:rPr>
        <w:t>.</w:t>
      </w:r>
      <w:r w:rsidR="00834A70">
        <w:rPr>
          <w:color w:val="000000" w:themeColor="text1"/>
        </w:rPr>
        <w:t xml:space="preserve"> </w:t>
      </w:r>
    </w:p>
    <w:p w14:paraId="5A086945" w14:textId="701782CF" w:rsidR="00B11421" w:rsidRPr="00B11421" w:rsidRDefault="004462C1" w:rsidP="00F55B8D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11421">
        <w:rPr>
          <w:color w:val="000000" w:themeColor="text1"/>
          <w:u w:val="single"/>
        </w:rPr>
        <w:t>Organic vs</w:t>
      </w:r>
      <w:r w:rsidR="005B6968" w:rsidRPr="00B11421">
        <w:rPr>
          <w:color w:val="000000" w:themeColor="text1"/>
          <w:u w:val="single"/>
        </w:rPr>
        <w:t>.</w:t>
      </w:r>
      <w:r w:rsidRPr="00B11421">
        <w:rPr>
          <w:color w:val="000000" w:themeColor="text1"/>
          <w:u w:val="single"/>
        </w:rPr>
        <w:t xml:space="preserve"> conventional</w:t>
      </w:r>
      <w:r w:rsidRPr="00B11421">
        <w:rPr>
          <w:color w:val="000000" w:themeColor="text1"/>
        </w:rPr>
        <w:t xml:space="preserve">: Organic </w:t>
      </w:r>
      <w:r w:rsidR="005B6968" w:rsidRPr="00B11421">
        <w:rPr>
          <w:color w:val="000000" w:themeColor="text1"/>
        </w:rPr>
        <w:t xml:space="preserve">mushrooms </w:t>
      </w:r>
      <w:r w:rsidRPr="00B11421">
        <w:rPr>
          <w:color w:val="000000" w:themeColor="text1"/>
        </w:rPr>
        <w:t>made up</w:t>
      </w:r>
      <w:r w:rsidR="007946B0">
        <w:rPr>
          <w:color w:val="000000" w:themeColor="text1"/>
        </w:rPr>
        <w:t xml:space="preserve"> </w:t>
      </w:r>
      <w:r w:rsidR="00DB35E6">
        <w:rPr>
          <w:color w:val="000000" w:themeColor="text1"/>
        </w:rPr>
        <w:t>9.4</w:t>
      </w:r>
      <w:r w:rsidRPr="00B11421">
        <w:rPr>
          <w:color w:val="000000" w:themeColor="text1"/>
        </w:rPr>
        <w:t xml:space="preserve">% of </w:t>
      </w:r>
      <w:r w:rsidR="00BE7EF2" w:rsidRPr="00B11421">
        <w:rPr>
          <w:color w:val="000000" w:themeColor="text1"/>
        </w:rPr>
        <w:t>pounds</w:t>
      </w:r>
      <w:r w:rsidR="00F12F2D">
        <w:rPr>
          <w:color w:val="000000" w:themeColor="text1"/>
        </w:rPr>
        <w:t>, but sales fell below year ago levels</w:t>
      </w:r>
      <w:r w:rsidR="00283776">
        <w:rPr>
          <w:color w:val="000000" w:themeColor="text1"/>
        </w:rPr>
        <w:t xml:space="preserve"> by 4.2%. Units were down as well, but pounds were up 5.1%</w:t>
      </w:r>
      <w:r w:rsidR="00B42A49" w:rsidRPr="00B11421">
        <w:rPr>
          <w:color w:val="000000" w:themeColor="text1"/>
        </w:rPr>
        <w:t xml:space="preserve"> </w:t>
      </w:r>
    </w:p>
    <w:p w14:paraId="5CC8E748" w14:textId="7232B546" w:rsidR="00300A5F" w:rsidRPr="00B11421" w:rsidRDefault="00B11421" w:rsidP="00F55B8D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D7CF0">
        <w:rPr>
          <w:color w:val="000000" w:themeColor="text1"/>
          <w:u w:val="single"/>
        </w:rPr>
        <w:t>Whole vs. sliced/diced</w:t>
      </w:r>
      <w:r>
        <w:rPr>
          <w:color w:val="000000" w:themeColor="text1"/>
        </w:rPr>
        <w:t>: whole mushrooms are outperforming sliced/cut/diced wi</w:t>
      </w:r>
      <w:r w:rsidR="0083255B">
        <w:rPr>
          <w:color w:val="000000" w:themeColor="text1"/>
        </w:rPr>
        <w:t>th</w:t>
      </w:r>
      <w:r w:rsidR="007946B0">
        <w:rPr>
          <w:color w:val="000000" w:themeColor="text1"/>
        </w:rPr>
        <w:t xml:space="preserve"> </w:t>
      </w:r>
      <w:r w:rsidR="001A33F9">
        <w:rPr>
          <w:color w:val="000000" w:themeColor="text1"/>
        </w:rPr>
        <w:t xml:space="preserve">a </w:t>
      </w:r>
      <w:r w:rsidR="007946B0">
        <w:rPr>
          <w:color w:val="000000" w:themeColor="text1"/>
        </w:rPr>
        <w:t xml:space="preserve">volume </w:t>
      </w:r>
      <w:r w:rsidR="001A33F9">
        <w:rPr>
          <w:color w:val="000000" w:themeColor="text1"/>
        </w:rPr>
        <w:t xml:space="preserve">change </w:t>
      </w:r>
      <w:r w:rsidR="007946B0">
        <w:rPr>
          <w:color w:val="000000" w:themeColor="text1"/>
        </w:rPr>
        <w:t>of</w:t>
      </w:r>
      <w:r w:rsidR="00C06C77">
        <w:rPr>
          <w:color w:val="000000" w:themeColor="text1"/>
        </w:rPr>
        <w:t xml:space="preserve">       </w:t>
      </w:r>
      <w:r w:rsidR="007946B0">
        <w:rPr>
          <w:color w:val="000000" w:themeColor="text1"/>
        </w:rPr>
        <w:t xml:space="preserve"> </w:t>
      </w:r>
      <w:r w:rsidR="00663846">
        <w:rPr>
          <w:color w:val="000000" w:themeColor="text1"/>
        </w:rPr>
        <w:t>-</w:t>
      </w:r>
      <w:r w:rsidR="00283776">
        <w:rPr>
          <w:color w:val="000000" w:themeColor="text1"/>
        </w:rPr>
        <w:t>1.5</w:t>
      </w:r>
      <w:r w:rsidR="007946B0">
        <w:rPr>
          <w:color w:val="000000" w:themeColor="text1"/>
        </w:rPr>
        <w:t>% for no preparation and -</w:t>
      </w:r>
      <w:r w:rsidR="00283776">
        <w:rPr>
          <w:color w:val="000000" w:themeColor="text1"/>
        </w:rPr>
        <w:t>6.1</w:t>
      </w:r>
      <w:r>
        <w:rPr>
          <w:color w:val="000000" w:themeColor="text1"/>
        </w:rPr>
        <w:t>% for</w:t>
      </w:r>
      <w:r w:rsidR="007946B0">
        <w:rPr>
          <w:color w:val="000000" w:themeColor="text1"/>
        </w:rPr>
        <w:t xml:space="preserve"> cut/sliced</w:t>
      </w:r>
      <w:r w:rsidR="001A33F9">
        <w:rPr>
          <w:color w:val="000000" w:themeColor="text1"/>
        </w:rPr>
        <w:t xml:space="preserve"> mushrooms</w:t>
      </w:r>
      <w:r w:rsidR="007946B0">
        <w:rPr>
          <w:color w:val="000000" w:themeColor="text1"/>
        </w:rPr>
        <w:t xml:space="preserve">, which reflect </w:t>
      </w:r>
      <w:r w:rsidR="00DB35E6">
        <w:rPr>
          <w:color w:val="000000" w:themeColor="text1"/>
        </w:rPr>
        <w:t>48.0</w:t>
      </w:r>
      <w:r>
        <w:rPr>
          <w:color w:val="000000" w:themeColor="text1"/>
        </w:rPr>
        <w:t xml:space="preserve">% of pound sales. </w:t>
      </w:r>
      <w:r w:rsidR="0009067E" w:rsidRPr="00B11421">
        <w:rPr>
          <w:color w:val="000000" w:themeColor="text1"/>
        </w:rPr>
        <w:t xml:space="preserve"> </w:t>
      </w:r>
    </w:p>
    <w:p w14:paraId="780AB35F" w14:textId="77777777" w:rsidR="000E0D6B" w:rsidRPr="00B11421" w:rsidRDefault="000E0D6B" w:rsidP="00C9550B">
      <w:pPr>
        <w:pStyle w:val="NoSpacing"/>
        <w:rPr>
          <w:color w:val="000000" w:themeColor="text1"/>
          <w:sz w:val="14"/>
          <w:szCs w:val="14"/>
        </w:rPr>
      </w:pPr>
    </w:p>
    <w:p w14:paraId="5DBFDF80" w14:textId="3FFCA5DD" w:rsidR="00B34EF7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EB30C7">
        <w:rPr>
          <w:color w:val="7F7F7F" w:themeColor="text1" w:themeTint="80"/>
          <w:sz w:val="16"/>
          <w:szCs w:val="16"/>
        </w:rPr>
        <w:t xml:space="preserve">, Integrated Fresh, MULO,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="0009067E">
        <w:rPr>
          <w:color w:val="7F7F7F" w:themeColor="text1" w:themeTint="80"/>
          <w:sz w:val="16"/>
          <w:szCs w:val="16"/>
        </w:rPr>
        <w:t xml:space="preserve"> or 52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1C7D0B">
        <w:rPr>
          <w:color w:val="7F7F7F" w:themeColor="text1" w:themeTint="80"/>
          <w:sz w:val="16"/>
          <w:szCs w:val="16"/>
        </w:rPr>
        <w:t>3/24/2024</w:t>
      </w:r>
      <w:r w:rsidR="00B34EF7">
        <w:t xml:space="preserve"> </w:t>
      </w:r>
    </w:p>
    <w:sectPr w:rsidR="00B34EF7" w:rsidRPr="00B34EF7" w:rsidSect="00F24118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9646" w14:textId="77777777" w:rsidR="00F24118" w:rsidRDefault="00F24118" w:rsidP="004E49DD">
      <w:pPr>
        <w:spacing w:after="0" w:line="240" w:lineRule="auto"/>
      </w:pPr>
      <w:r>
        <w:separator/>
      </w:r>
    </w:p>
  </w:endnote>
  <w:endnote w:type="continuationSeparator" w:id="0">
    <w:p w14:paraId="62868EBE" w14:textId="77777777" w:rsidR="00F24118" w:rsidRDefault="00F24118" w:rsidP="004E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A17DA" w14:textId="77777777" w:rsidR="00F24118" w:rsidRDefault="00F24118" w:rsidP="004E49DD">
      <w:pPr>
        <w:spacing w:after="0" w:line="240" w:lineRule="auto"/>
      </w:pPr>
      <w:r>
        <w:separator/>
      </w:r>
    </w:p>
  </w:footnote>
  <w:footnote w:type="continuationSeparator" w:id="0">
    <w:p w14:paraId="7DEEAC37" w14:textId="77777777" w:rsidR="00F24118" w:rsidRDefault="00F24118" w:rsidP="004E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7DB0"/>
    <w:multiLevelType w:val="hybridMultilevel"/>
    <w:tmpl w:val="4F1C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0259"/>
    <w:multiLevelType w:val="hybridMultilevel"/>
    <w:tmpl w:val="908CB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777733"/>
    <w:multiLevelType w:val="hybridMultilevel"/>
    <w:tmpl w:val="6B4226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B7EE9"/>
    <w:multiLevelType w:val="hybridMultilevel"/>
    <w:tmpl w:val="2954D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106E38"/>
    <w:multiLevelType w:val="hybridMultilevel"/>
    <w:tmpl w:val="682851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3B0A5F"/>
    <w:multiLevelType w:val="hybridMultilevel"/>
    <w:tmpl w:val="07A24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856333"/>
    <w:multiLevelType w:val="hybridMultilevel"/>
    <w:tmpl w:val="DBDAD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632060"/>
    <w:multiLevelType w:val="hybridMultilevel"/>
    <w:tmpl w:val="727C6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543B87"/>
    <w:multiLevelType w:val="hybridMultilevel"/>
    <w:tmpl w:val="F7BE0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92F24"/>
    <w:multiLevelType w:val="hybridMultilevel"/>
    <w:tmpl w:val="B5BC8C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E31FD0"/>
    <w:multiLevelType w:val="hybridMultilevel"/>
    <w:tmpl w:val="49DCE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C266F7"/>
    <w:multiLevelType w:val="hybridMultilevel"/>
    <w:tmpl w:val="AB3EF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1B0A5F"/>
    <w:multiLevelType w:val="hybridMultilevel"/>
    <w:tmpl w:val="2056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214409"/>
    <w:multiLevelType w:val="hybridMultilevel"/>
    <w:tmpl w:val="3BF6A0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952958"/>
    <w:multiLevelType w:val="hybridMultilevel"/>
    <w:tmpl w:val="A35C8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DD128A"/>
    <w:multiLevelType w:val="hybridMultilevel"/>
    <w:tmpl w:val="E18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BD39AD"/>
    <w:multiLevelType w:val="hybridMultilevel"/>
    <w:tmpl w:val="3A285B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580017">
    <w:abstractNumId w:val="13"/>
  </w:num>
  <w:num w:numId="2" w16cid:durableId="64190257">
    <w:abstractNumId w:val="15"/>
  </w:num>
  <w:num w:numId="3" w16cid:durableId="71661545">
    <w:abstractNumId w:val="18"/>
  </w:num>
  <w:num w:numId="4" w16cid:durableId="2021196491">
    <w:abstractNumId w:val="7"/>
  </w:num>
  <w:num w:numId="5" w16cid:durableId="277881297">
    <w:abstractNumId w:val="23"/>
  </w:num>
  <w:num w:numId="6" w16cid:durableId="673996481">
    <w:abstractNumId w:val="16"/>
  </w:num>
  <w:num w:numId="7" w16cid:durableId="1878739292">
    <w:abstractNumId w:val="9"/>
  </w:num>
  <w:num w:numId="8" w16cid:durableId="571617845">
    <w:abstractNumId w:val="6"/>
  </w:num>
  <w:num w:numId="9" w16cid:durableId="1502505735">
    <w:abstractNumId w:val="4"/>
  </w:num>
  <w:num w:numId="10" w16cid:durableId="1246956206">
    <w:abstractNumId w:val="20"/>
  </w:num>
  <w:num w:numId="11" w16cid:durableId="988485736">
    <w:abstractNumId w:val="5"/>
  </w:num>
  <w:num w:numId="12" w16cid:durableId="182406450">
    <w:abstractNumId w:val="19"/>
  </w:num>
  <w:num w:numId="13" w16cid:durableId="144205097">
    <w:abstractNumId w:val="8"/>
  </w:num>
  <w:num w:numId="14" w16cid:durableId="597905518">
    <w:abstractNumId w:val="11"/>
  </w:num>
  <w:num w:numId="15" w16cid:durableId="1028288352">
    <w:abstractNumId w:val="25"/>
  </w:num>
  <w:num w:numId="16" w16cid:durableId="1845901640">
    <w:abstractNumId w:val="0"/>
  </w:num>
  <w:num w:numId="17" w16cid:durableId="6949054">
    <w:abstractNumId w:val="14"/>
  </w:num>
  <w:num w:numId="18" w16cid:durableId="758912408">
    <w:abstractNumId w:val="24"/>
  </w:num>
  <w:num w:numId="19" w16cid:durableId="1766002101">
    <w:abstractNumId w:val="12"/>
  </w:num>
  <w:num w:numId="20" w16cid:durableId="141235517">
    <w:abstractNumId w:val="21"/>
  </w:num>
  <w:num w:numId="21" w16cid:durableId="1528368648">
    <w:abstractNumId w:val="10"/>
  </w:num>
  <w:num w:numId="22" w16cid:durableId="1440487094">
    <w:abstractNumId w:val="1"/>
  </w:num>
  <w:num w:numId="23" w16cid:durableId="848908707">
    <w:abstractNumId w:val="3"/>
  </w:num>
  <w:num w:numId="24" w16cid:durableId="1713311247">
    <w:abstractNumId w:val="17"/>
  </w:num>
  <w:num w:numId="25" w16cid:durableId="1397049761">
    <w:abstractNumId w:val="22"/>
  </w:num>
  <w:num w:numId="26" w16cid:durableId="1543907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02FF4"/>
    <w:rsid w:val="00014870"/>
    <w:rsid w:val="00015E7B"/>
    <w:rsid w:val="00026928"/>
    <w:rsid w:val="00030ABF"/>
    <w:rsid w:val="00035D16"/>
    <w:rsid w:val="0003642F"/>
    <w:rsid w:val="00040942"/>
    <w:rsid w:val="0004266D"/>
    <w:rsid w:val="00044279"/>
    <w:rsid w:val="00047054"/>
    <w:rsid w:val="00052654"/>
    <w:rsid w:val="0005390A"/>
    <w:rsid w:val="00057984"/>
    <w:rsid w:val="00070F7C"/>
    <w:rsid w:val="0007328F"/>
    <w:rsid w:val="00074705"/>
    <w:rsid w:val="0007660D"/>
    <w:rsid w:val="000809C3"/>
    <w:rsid w:val="00085508"/>
    <w:rsid w:val="00085F10"/>
    <w:rsid w:val="00090109"/>
    <w:rsid w:val="0009067E"/>
    <w:rsid w:val="000963FA"/>
    <w:rsid w:val="000A4146"/>
    <w:rsid w:val="000C03B1"/>
    <w:rsid w:val="000C1DF9"/>
    <w:rsid w:val="000C29FA"/>
    <w:rsid w:val="000C3CC4"/>
    <w:rsid w:val="000D5A69"/>
    <w:rsid w:val="000D7A79"/>
    <w:rsid w:val="000E0D6B"/>
    <w:rsid w:val="000E2A1D"/>
    <w:rsid w:val="000E537C"/>
    <w:rsid w:val="000E61FF"/>
    <w:rsid w:val="001026FB"/>
    <w:rsid w:val="001055A7"/>
    <w:rsid w:val="001119BD"/>
    <w:rsid w:val="00113A33"/>
    <w:rsid w:val="0011683C"/>
    <w:rsid w:val="00117FE8"/>
    <w:rsid w:val="00124C8B"/>
    <w:rsid w:val="00124CB7"/>
    <w:rsid w:val="00133971"/>
    <w:rsid w:val="00137C12"/>
    <w:rsid w:val="00142A42"/>
    <w:rsid w:val="00145E27"/>
    <w:rsid w:val="00157136"/>
    <w:rsid w:val="00164656"/>
    <w:rsid w:val="00170260"/>
    <w:rsid w:val="00181944"/>
    <w:rsid w:val="00184281"/>
    <w:rsid w:val="001A33F9"/>
    <w:rsid w:val="001A4D44"/>
    <w:rsid w:val="001A601E"/>
    <w:rsid w:val="001B1351"/>
    <w:rsid w:val="001B18A2"/>
    <w:rsid w:val="001B762B"/>
    <w:rsid w:val="001C4DB2"/>
    <w:rsid w:val="001C7D0B"/>
    <w:rsid w:val="001D16CA"/>
    <w:rsid w:val="001D2675"/>
    <w:rsid w:val="001D4C76"/>
    <w:rsid w:val="001E7C8B"/>
    <w:rsid w:val="002007AF"/>
    <w:rsid w:val="00200AD1"/>
    <w:rsid w:val="00221F2D"/>
    <w:rsid w:val="00222054"/>
    <w:rsid w:val="002225C6"/>
    <w:rsid w:val="00224A21"/>
    <w:rsid w:val="002253FE"/>
    <w:rsid w:val="0022580E"/>
    <w:rsid w:val="00226D0D"/>
    <w:rsid w:val="00232F2D"/>
    <w:rsid w:val="00240137"/>
    <w:rsid w:val="002437CE"/>
    <w:rsid w:val="00251BBC"/>
    <w:rsid w:val="00253F46"/>
    <w:rsid w:val="00264BA7"/>
    <w:rsid w:val="00264EDA"/>
    <w:rsid w:val="002712E8"/>
    <w:rsid w:val="00273580"/>
    <w:rsid w:val="00276C09"/>
    <w:rsid w:val="00277D7C"/>
    <w:rsid w:val="00281498"/>
    <w:rsid w:val="0028314E"/>
    <w:rsid w:val="00283776"/>
    <w:rsid w:val="00283DB2"/>
    <w:rsid w:val="00284A86"/>
    <w:rsid w:val="0029118F"/>
    <w:rsid w:val="00291F75"/>
    <w:rsid w:val="00292678"/>
    <w:rsid w:val="002B3879"/>
    <w:rsid w:val="002B7DCE"/>
    <w:rsid w:val="002B7E48"/>
    <w:rsid w:val="002E2CD2"/>
    <w:rsid w:val="002F23A1"/>
    <w:rsid w:val="002F442E"/>
    <w:rsid w:val="00300A5F"/>
    <w:rsid w:val="003045B7"/>
    <w:rsid w:val="003070A2"/>
    <w:rsid w:val="0031233D"/>
    <w:rsid w:val="00312734"/>
    <w:rsid w:val="00314DA1"/>
    <w:rsid w:val="00322039"/>
    <w:rsid w:val="003223C7"/>
    <w:rsid w:val="00323F77"/>
    <w:rsid w:val="003263AC"/>
    <w:rsid w:val="003305B1"/>
    <w:rsid w:val="00337F18"/>
    <w:rsid w:val="00347118"/>
    <w:rsid w:val="00347E3A"/>
    <w:rsid w:val="003534A1"/>
    <w:rsid w:val="003621B3"/>
    <w:rsid w:val="00362BB1"/>
    <w:rsid w:val="003648C5"/>
    <w:rsid w:val="00375863"/>
    <w:rsid w:val="00395541"/>
    <w:rsid w:val="00396448"/>
    <w:rsid w:val="003A3323"/>
    <w:rsid w:val="003A5AFE"/>
    <w:rsid w:val="003A6A4B"/>
    <w:rsid w:val="003C014B"/>
    <w:rsid w:val="003C1DD2"/>
    <w:rsid w:val="003C4CCE"/>
    <w:rsid w:val="003C72DD"/>
    <w:rsid w:val="003D184D"/>
    <w:rsid w:val="003D3BDA"/>
    <w:rsid w:val="003D3C99"/>
    <w:rsid w:val="003D5B00"/>
    <w:rsid w:val="003D6A0F"/>
    <w:rsid w:val="003E466E"/>
    <w:rsid w:val="003E61D0"/>
    <w:rsid w:val="003E75D3"/>
    <w:rsid w:val="003F4A65"/>
    <w:rsid w:val="003F77CF"/>
    <w:rsid w:val="003F7D52"/>
    <w:rsid w:val="00403666"/>
    <w:rsid w:val="00406762"/>
    <w:rsid w:val="00411710"/>
    <w:rsid w:val="004147E0"/>
    <w:rsid w:val="00417945"/>
    <w:rsid w:val="00421D7D"/>
    <w:rsid w:val="00423CCF"/>
    <w:rsid w:val="00424BD4"/>
    <w:rsid w:val="00432D1F"/>
    <w:rsid w:val="00445779"/>
    <w:rsid w:val="004462C1"/>
    <w:rsid w:val="00451263"/>
    <w:rsid w:val="00455F77"/>
    <w:rsid w:val="0045625B"/>
    <w:rsid w:val="0045784D"/>
    <w:rsid w:val="00461D8C"/>
    <w:rsid w:val="00467FB5"/>
    <w:rsid w:val="00471DC7"/>
    <w:rsid w:val="00472B02"/>
    <w:rsid w:val="0047570E"/>
    <w:rsid w:val="00476A3C"/>
    <w:rsid w:val="00476C12"/>
    <w:rsid w:val="00483711"/>
    <w:rsid w:val="00485429"/>
    <w:rsid w:val="00487F75"/>
    <w:rsid w:val="00496964"/>
    <w:rsid w:val="004A3A95"/>
    <w:rsid w:val="004A50D2"/>
    <w:rsid w:val="004B6371"/>
    <w:rsid w:val="004B7951"/>
    <w:rsid w:val="004C088A"/>
    <w:rsid w:val="004C1DB1"/>
    <w:rsid w:val="004C2808"/>
    <w:rsid w:val="004C5B27"/>
    <w:rsid w:val="004C625A"/>
    <w:rsid w:val="004E1EE4"/>
    <w:rsid w:val="004E49DD"/>
    <w:rsid w:val="004E4F69"/>
    <w:rsid w:val="004E6889"/>
    <w:rsid w:val="004F4C4D"/>
    <w:rsid w:val="004F7487"/>
    <w:rsid w:val="00504377"/>
    <w:rsid w:val="00504861"/>
    <w:rsid w:val="005049A9"/>
    <w:rsid w:val="00511CD0"/>
    <w:rsid w:val="00525F06"/>
    <w:rsid w:val="00526E95"/>
    <w:rsid w:val="00527BE9"/>
    <w:rsid w:val="00535D22"/>
    <w:rsid w:val="0054182D"/>
    <w:rsid w:val="00541AFF"/>
    <w:rsid w:val="00543607"/>
    <w:rsid w:val="0055095F"/>
    <w:rsid w:val="00552C5D"/>
    <w:rsid w:val="005547EE"/>
    <w:rsid w:val="00555250"/>
    <w:rsid w:val="005571F3"/>
    <w:rsid w:val="00562346"/>
    <w:rsid w:val="0056284A"/>
    <w:rsid w:val="00591D5D"/>
    <w:rsid w:val="0059588E"/>
    <w:rsid w:val="005A3316"/>
    <w:rsid w:val="005A54F2"/>
    <w:rsid w:val="005B1FEE"/>
    <w:rsid w:val="005B6968"/>
    <w:rsid w:val="005C6AEE"/>
    <w:rsid w:val="005C75C7"/>
    <w:rsid w:val="005E1A66"/>
    <w:rsid w:val="005E212C"/>
    <w:rsid w:val="005E5127"/>
    <w:rsid w:val="005F1173"/>
    <w:rsid w:val="006035CB"/>
    <w:rsid w:val="00606FA3"/>
    <w:rsid w:val="00615709"/>
    <w:rsid w:val="00617504"/>
    <w:rsid w:val="00617712"/>
    <w:rsid w:val="0062044B"/>
    <w:rsid w:val="00620ED9"/>
    <w:rsid w:val="00621E2A"/>
    <w:rsid w:val="00630F34"/>
    <w:rsid w:val="00632993"/>
    <w:rsid w:val="00645A58"/>
    <w:rsid w:val="006617FB"/>
    <w:rsid w:val="006636C7"/>
    <w:rsid w:val="00663846"/>
    <w:rsid w:val="00666D40"/>
    <w:rsid w:val="006673B8"/>
    <w:rsid w:val="0066746E"/>
    <w:rsid w:val="00677889"/>
    <w:rsid w:val="00684918"/>
    <w:rsid w:val="00694050"/>
    <w:rsid w:val="00697E4D"/>
    <w:rsid w:val="006A1766"/>
    <w:rsid w:val="006A7A6E"/>
    <w:rsid w:val="006C31E3"/>
    <w:rsid w:val="006C6780"/>
    <w:rsid w:val="006D5DC2"/>
    <w:rsid w:val="006E50F3"/>
    <w:rsid w:val="006F1F55"/>
    <w:rsid w:val="006F64AE"/>
    <w:rsid w:val="006F765A"/>
    <w:rsid w:val="00705769"/>
    <w:rsid w:val="00706FA9"/>
    <w:rsid w:val="007070AC"/>
    <w:rsid w:val="0071051A"/>
    <w:rsid w:val="007106F4"/>
    <w:rsid w:val="00727F74"/>
    <w:rsid w:val="00730897"/>
    <w:rsid w:val="00731BCD"/>
    <w:rsid w:val="00734289"/>
    <w:rsid w:val="007501A6"/>
    <w:rsid w:val="00752CD4"/>
    <w:rsid w:val="00757C0B"/>
    <w:rsid w:val="007764C7"/>
    <w:rsid w:val="00782D09"/>
    <w:rsid w:val="00785D0D"/>
    <w:rsid w:val="00787068"/>
    <w:rsid w:val="00787BBD"/>
    <w:rsid w:val="007946B0"/>
    <w:rsid w:val="00795483"/>
    <w:rsid w:val="007A01C9"/>
    <w:rsid w:val="007A0B40"/>
    <w:rsid w:val="007A67D7"/>
    <w:rsid w:val="007B4A25"/>
    <w:rsid w:val="007C6DB2"/>
    <w:rsid w:val="007D30DA"/>
    <w:rsid w:val="007D3393"/>
    <w:rsid w:val="007D33D8"/>
    <w:rsid w:val="007D3D1C"/>
    <w:rsid w:val="007F098A"/>
    <w:rsid w:val="007F1F55"/>
    <w:rsid w:val="007F2EF8"/>
    <w:rsid w:val="007F35D3"/>
    <w:rsid w:val="007F7149"/>
    <w:rsid w:val="007F7823"/>
    <w:rsid w:val="00802E32"/>
    <w:rsid w:val="00826014"/>
    <w:rsid w:val="0083255B"/>
    <w:rsid w:val="00832F0A"/>
    <w:rsid w:val="00834A70"/>
    <w:rsid w:val="00837283"/>
    <w:rsid w:val="00851AC9"/>
    <w:rsid w:val="00851FDB"/>
    <w:rsid w:val="0086198D"/>
    <w:rsid w:val="00863641"/>
    <w:rsid w:val="0086536E"/>
    <w:rsid w:val="00866A7D"/>
    <w:rsid w:val="008717C6"/>
    <w:rsid w:val="00873884"/>
    <w:rsid w:val="008815E3"/>
    <w:rsid w:val="008857EE"/>
    <w:rsid w:val="008A084A"/>
    <w:rsid w:val="008A1DBB"/>
    <w:rsid w:val="008A56E2"/>
    <w:rsid w:val="008B128D"/>
    <w:rsid w:val="008B46B0"/>
    <w:rsid w:val="008B633D"/>
    <w:rsid w:val="008B6971"/>
    <w:rsid w:val="008B7FFD"/>
    <w:rsid w:val="008C7975"/>
    <w:rsid w:val="008D2A88"/>
    <w:rsid w:val="008D3EBE"/>
    <w:rsid w:val="008E48B1"/>
    <w:rsid w:val="008F2AA0"/>
    <w:rsid w:val="008F5801"/>
    <w:rsid w:val="009040DB"/>
    <w:rsid w:val="0090410F"/>
    <w:rsid w:val="00904C5C"/>
    <w:rsid w:val="00910CD7"/>
    <w:rsid w:val="00911960"/>
    <w:rsid w:val="009169B9"/>
    <w:rsid w:val="00916DE2"/>
    <w:rsid w:val="0092088E"/>
    <w:rsid w:val="00920FBD"/>
    <w:rsid w:val="009232D4"/>
    <w:rsid w:val="00926E8A"/>
    <w:rsid w:val="00927EAC"/>
    <w:rsid w:val="00933A14"/>
    <w:rsid w:val="009362D0"/>
    <w:rsid w:val="0094103D"/>
    <w:rsid w:val="00941C01"/>
    <w:rsid w:val="0094219B"/>
    <w:rsid w:val="00943FF6"/>
    <w:rsid w:val="009442FF"/>
    <w:rsid w:val="00956FE2"/>
    <w:rsid w:val="00957F25"/>
    <w:rsid w:val="00972570"/>
    <w:rsid w:val="00975AF5"/>
    <w:rsid w:val="00977F7F"/>
    <w:rsid w:val="00986D1F"/>
    <w:rsid w:val="009B0330"/>
    <w:rsid w:val="009B3A61"/>
    <w:rsid w:val="009B71AE"/>
    <w:rsid w:val="009B7AC3"/>
    <w:rsid w:val="009D40C5"/>
    <w:rsid w:val="009D5574"/>
    <w:rsid w:val="009D6711"/>
    <w:rsid w:val="009E4486"/>
    <w:rsid w:val="009F6363"/>
    <w:rsid w:val="00A00697"/>
    <w:rsid w:val="00A050F9"/>
    <w:rsid w:val="00A13601"/>
    <w:rsid w:val="00A142BB"/>
    <w:rsid w:val="00A14586"/>
    <w:rsid w:val="00A14882"/>
    <w:rsid w:val="00A14C2B"/>
    <w:rsid w:val="00A30FD1"/>
    <w:rsid w:val="00A337DE"/>
    <w:rsid w:val="00A35305"/>
    <w:rsid w:val="00A36245"/>
    <w:rsid w:val="00A41711"/>
    <w:rsid w:val="00A43A45"/>
    <w:rsid w:val="00A45D51"/>
    <w:rsid w:val="00A50806"/>
    <w:rsid w:val="00A5084B"/>
    <w:rsid w:val="00A51F5B"/>
    <w:rsid w:val="00A52411"/>
    <w:rsid w:val="00A52B14"/>
    <w:rsid w:val="00A52EB4"/>
    <w:rsid w:val="00A53BAA"/>
    <w:rsid w:val="00A542DA"/>
    <w:rsid w:val="00A657C4"/>
    <w:rsid w:val="00A668C3"/>
    <w:rsid w:val="00A70428"/>
    <w:rsid w:val="00A72B72"/>
    <w:rsid w:val="00A76558"/>
    <w:rsid w:val="00A80980"/>
    <w:rsid w:val="00A86F80"/>
    <w:rsid w:val="00A94A88"/>
    <w:rsid w:val="00A95B14"/>
    <w:rsid w:val="00A96E20"/>
    <w:rsid w:val="00AA721E"/>
    <w:rsid w:val="00AB019A"/>
    <w:rsid w:val="00AB06EA"/>
    <w:rsid w:val="00AC2BFD"/>
    <w:rsid w:val="00AC2C09"/>
    <w:rsid w:val="00AC5D3F"/>
    <w:rsid w:val="00AC6C8B"/>
    <w:rsid w:val="00AD00F7"/>
    <w:rsid w:val="00AD30B8"/>
    <w:rsid w:val="00AD7044"/>
    <w:rsid w:val="00AE0F54"/>
    <w:rsid w:val="00AE32A2"/>
    <w:rsid w:val="00AE7908"/>
    <w:rsid w:val="00AF14BD"/>
    <w:rsid w:val="00AF55E3"/>
    <w:rsid w:val="00AF5F52"/>
    <w:rsid w:val="00B01FA0"/>
    <w:rsid w:val="00B03343"/>
    <w:rsid w:val="00B0627A"/>
    <w:rsid w:val="00B11421"/>
    <w:rsid w:val="00B135D9"/>
    <w:rsid w:val="00B13706"/>
    <w:rsid w:val="00B1715B"/>
    <w:rsid w:val="00B24BBD"/>
    <w:rsid w:val="00B25DFD"/>
    <w:rsid w:val="00B33A73"/>
    <w:rsid w:val="00B34EF7"/>
    <w:rsid w:val="00B362B8"/>
    <w:rsid w:val="00B40974"/>
    <w:rsid w:val="00B40C43"/>
    <w:rsid w:val="00B42A49"/>
    <w:rsid w:val="00B42A84"/>
    <w:rsid w:val="00B542D1"/>
    <w:rsid w:val="00B562D5"/>
    <w:rsid w:val="00B66E92"/>
    <w:rsid w:val="00B672D0"/>
    <w:rsid w:val="00B8232B"/>
    <w:rsid w:val="00B913BB"/>
    <w:rsid w:val="00B9392A"/>
    <w:rsid w:val="00B94AB0"/>
    <w:rsid w:val="00B96FC1"/>
    <w:rsid w:val="00B979CF"/>
    <w:rsid w:val="00BA5F60"/>
    <w:rsid w:val="00BB03F4"/>
    <w:rsid w:val="00BB197D"/>
    <w:rsid w:val="00BC1A46"/>
    <w:rsid w:val="00BC34B2"/>
    <w:rsid w:val="00BC63FC"/>
    <w:rsid w:val="00BD7CF0"/>
    <w:rsid w:val="00BE7EF2"/>
    <w:rsid w:val="00BF2F6B"/>
    <w:rsid w:val="00BF3DAE"/>
    <w:rsid w:val="00BF5D9C"/>
    <w:rsid w:val="00BF62D3"/>
    <w:rsid w:val="00BF713B"/>
    <w:rsid w:val="00C00809"/>
    <w:rsid w:val="00C00CFD"/>
    <w:rsid w:val="00C0288B"/>
    <w:rsid w:val="00C06C77"/>
    <w:rsid w:val="00C12877"/>
    <w:rsid w:val="00C12E18"/>
    <w:rsid w:val="00C329D7"/>
    <w:rsid w:val="00C3750A"/>
    <w:rsid w:val="00C3770B"/>
    <w:rsid w:val="00C422D1"/>
    <w:rsid w:val="00C469D3"/>
    <w:rsid w:val="00C61921"/>
    <w:rsid w:val="00C65479"/>
    <w:rsid w:val="00C71FDD"/>
    <w:rsid w:val="00C72284"/>
    <w:rsid w:val="00C81CBF"/>
    <w:rsid w:val="00C8545B"/>
    <w:rsid w:val="00C86BBC"/>
    <w:rsid w:val="00C92074"/>
    <w:rsid w:val="00C954F2"/>
    <w:rsid w:val="00C9550B"/>
    <w:rsid w:val="00CB0BBD"/>
    <w:rsid w:val="00CB4067"/>
    <w:rsid w:val="00CB592A"/>
    <w:rsid w:val="00CB6109"/>
    <w:rsid w:val="00CE27CF"/>
    <w:rsid w:val="00CE4BEB"/>
    <w:rsid w:val="00CE621C"/>
    <w:rsid w:val="00D03B05"/>
    <w:rsid w:val="00D116C0"/>
    <w:rsid w:val="00D1241B"/>
    <w:rsid w:val="00D131C5"/>
    <w:rsid w:val="00D14991"/>
    <w:rsid w:val="00D2073F"/>
    <w:rsid w:val="00D22E21"/>
    <w:rsid w:val="00D261F8"/>
    <w:rsid w:val="00D26DE8"/>
    <w:rsid w:val="00D305A5"/>
    <w:rsid w:val="00D31C81"/>
    <w:rsid w:val="00D44344"/>
    <w:rsid w:val="00D4752E"/>
    <w:rsid w:val="00D55AB1"/>
    <w:rsid w:val="00D66EF8"/>
    <w:rsid w:val="00D81FBA"/>
    <w:rsid w:val="00D8225F"/>
    <w:rsid w:val="00D8798E"/>
    <w:rsid w:val="00D9097A"/>
    <w:rsid w:val="00D96AEE"/>
    <w:rsid w:val="00D97BC7"/>
    <w:rsid w:val="00DA553C"/>
    <w:rsid w:val="00DB35E6"/>
    <w:rsid w:val="00DB764D"/>
    <w:rsid w:val="00DD1737"/>
    <w:rsid w:val="00DD58ED"/>
    <w:rsid w:val="00DD59DA"/>
    <w:rsid w:val="00DE4C4C"/>
    <w:rsid w:val="00DE66CE"/>
    <w:rsid w:val="00DF1F77"/>
    <w:rsid w:val="00E20285"/>
    <w:rsid w:val="00E20E22"/>
    <w:rsid w:val="00E22317"/>
    <w:rsid w:val="00E229C8"/>
    <w:rsid w:val="00E23359"/>
    <w:rsid w:val="00E26986"/>
    <w:rsid w:val="00E26AD1"/>
    <w:rsid w:val="00E34CF4"/>
    <w:rsid w:val="00E37DF5"/>
    <w:rsid w:val="00E4438B"/>
    <w:rsid w:val="00E46DB2"/>
    <w:rsid w:val="00E477C3"/>
    <w:rsid w:val="00E508BB"/>
    <w:rsid w:val="00E54683"/>
    <w:rsid w:val="00E57C49"/>
    <w:rsid w:val="00E629E0"/>
    <w:rsid w:val="00E65269"/>
    <w:rsid w:val="00E65A4C"/>
    <w:rsid w:val="00E758A0"/>
    <w:rsid w:val="00E81634"/>
    <w:rsid w:val="00E85C62"/>
    <w:rsid w:val="00EA0CB5"/>
    <w:rsid w:val="00EB090C"/>
    <w:rsid w:val="00EB30C7"/>
    <w:rsid w:val="00ED0859"/>
    <w:rsid w:val="00ED2B2E"/>
    <w:rsid w:val="00EE6AB6"/>
    <w:rsid w:val="00EF1E09"/>
    <w:rsid w:val="00EF1F27"/>
    <w:rsid w:val="00EF20EE"/>
    <w:rsid w:val="00EF25E4"/>
    <w:rsid w:val="00F02776"/>
    <w:rsid w:val="00F04FAB"/>
    <w:rsid w:val="00F0742E"/>
    <w:rsid w:val="00F12F2D"/>
    <w:rsid w:val="00F16E5F"/>
    <w:rsid w:val="00F20BAF"/>
    <w:rsid w:val="00F24118"/>
    <w:rsid w:val="00F24969"/>
    <w:rsid w:val="00F26DD2"/>
    <w:rsid w:val="00F273C5"/>
    <w:rsid w:val="00F31822"/>
    <w:rsid w:val="00F40BC0"/>
    <w:rsid w:val="00F4460A"/>
    <w:rsid w:val="00F47EA1"/>
    <w:rsid w:val="00F55228"/>
    <w:rsid w:val="00F57DFC"/>
    <w:rsid w:val="00F65EBE"/>
    <w:rsid w:val="00F71485"/>
    <w:rsid w:val="00F800A5"/>
    <w:rsid w:val="00F86B08"/>
    <w:rsid w:val="00F93404"/>
    <w:rsid w:val="00F96C98"/>
    <w:rsid w:val="00FA1CDF"/>
    <w:rsid w:val="00FA3219"/>
    <w:rsid w:val="00FA7124"/>
    <w:rsid w:val="00FB15C0"/>
    <w:rsid w:val="00FC01AA"/>
    <w:rsid w:val="00FC1B34"/>
    <w:rsid w:val="00FC364A"/>
    <w:rsid w:val="00FC53C7"/>
    <w:rsid w:val="00FC56B0"/>
    <w:rsid w:val="00FE57C6"/>
    <w:rsid w:val="00FE6030"/>
    <w:rsid w:val="00FF2D4A"/>
    <w:rsid w:val="00FF42F9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table" w:styleId="GridTable4-Accent2">
    <w:name w:val="Grid Table 4 Accent 2"/>
    <w:basedOn w:val="TableNormal"/>
    <w:uiPriority w:val="49"/>
    <w:rsid w:val="00EE6A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DD"/>
  </w:style>
  <w:style w:type="paragraph" w:styleId="Footer">
    <w:name w:val="footer"/>
    <w:basedOn w:val="Normal"/>
    <w:link w:val="Foot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DD"/>
  </w:style>
  <w:style w:type="table" w:styleId="ListTable6Colorful-Accent2">
    <w:name w:val="List Table 6 Colorful Accent 2"/>
    <w:basedOn w:val="TableNormal"/>
    <w:uiPriority w:val="51"/>
    <w:rsid w:val="001842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aliases w:val="FooterText,Bullet List,cS List Paragraph,numbered,Paragraphe de liste1,Bulletr List Paragraph,列  出  段  落,列  出  段  落  1,List Paragraph2,List Paragraph21,List Paragraph11,Parágrafo da Lista1,Párrafo de lista1,リ  ス  ト  段  落  1,Listeafsnit1"/>
    <w:basedOn w:val="Normal"/>
    <w:link w:val="ListParagraphChar"/>
    <w:uiPriority w:val="99"/>
    <w:qFormat/>
    <w:rsid w:val="007764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0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istTable1Light-Accent4">
    <w:name w:val="List Table 1 Light Accent 4"/>
    <w:basedOn w:val="TableNormal"/>
    <w:uiPriority w:val="46"/>
    <w:rsid w:val="005B1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2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ListParagraphChar">
    <w:name w:val="List Paragraph Char"/>
    <w:aliases w:val="FooterText Char,Bullet List Char,cS List Paragraph Char,numbered Char,Paragraphe de liste1 Char,Bulletr List Paragraph Char,列  出  段  落 Char,列  出  段  落  1 Char,List Paragraph2 Char,List Paragraph21 Char,List Paragraph11 Char"/>
    <w:basedOn w:val="DefaultParagraphFont"/>
    <w:link w:val="ListParagraph"/>
    <w:uiPriority w:val="99"/>
    <w:locked/>
    <w:rsid w:val="00226D0D"/>
  </w:style>
  <w:style w:type="table" w:styleId="ListTable1Light-Accent1">
    <w:name w:val="List Table 1 Light Accent 1"/>
    <w:basedOn w:val="TableNormal"/>
    <w:uiPriority w:val="46"/>
    <w:rsid w:val="0022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3</cp:revision>
  <dcterms:created xsi:type="dcterms:W3CDTF">2024-04-10T14:51:00Z</dcterms:created>
  <dcterms:modified xsi:type="dcterms:W3CDTF">2024-04-10T15:54:00Z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