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0B6A7" w14:textId="39842917" w:rsidR="005049A9" w:rsidRDefault="005049A9" w:rsidP="005049A9">
      <w:pPr>
        <w:pStyle w:val="Title"/>
        <w:jc w:val="center"/>
      </w:pPr>
      <w:r w:rsidRPr="005049A9">
        <w:rPr>
          <w:noProof/>
          <w:lang w:val="nl-NL" w:eastAsia="nl-NL"/>
        </w:rPr>
        <w:drawing>
          <wp:anchor distT="0" distB="0" distL="114300" distR="114300" simplePos="0" relativeHeight="251658240" behindDoc="0" locked="0" layoutInCell="1" allowOverlap="1" wp14:anchorId="53E5FC2F" wp14:editId="7C44EFA9">
            <wp:simplePos x="0" y="0"/>
            <wp:positionH relativeFrom="margin">
              <wp:align>center</wp:align>
            </wp:positionH>
            <wp:positionV relativeFrom="paragraph">
              <wp:posOffset>-22860</wp:posOffset>
            </wp:positionV>
            <wp:extent cx="2098415" cy="752475"/>
            <wp:effectExtent l="0" t="0" r="0" b="0"/>
            <wp:wrapNone/>
            <wp:docPr id="2050" name="Picture 2">
              <a:extLst xmlns:a="http://schemas.openxmlformats.org/drawingml/2006/main">
                <a:ext uri="{FF2B5EF4-FFF2-40B4-BE49-F238E27FC236}">
                  <a16:creationId xmlns:a16="http://schemas.microsoft.com/office/drawing/2014/main" id="{DC5CF1A7-753C-4952-8F0D-A77DEE87FB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a:extLst>
                        <a:ext uri="{FF2B5EF4-FFF2-40B4-BE49-F238E27FC236}">
                          <a16:creationId xmlns:a16="http://schemas.microsoft.com/office/drawing/2014/main" id="{DC5CF1A7-753C-4952-8F0D-A77DEE87FB7E}"/>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8415" cy="752475"/>
                    </a:xfrm>
                    <a:prstGeom prst="rect">
                      <a:avLst/>
                    </a:prstGeom>
                    <a:noFill/>
                  </pic:spPr>
                </pic:pic>
              </a:graphicData>
            </a:graphic>
            <wp14:sizeRelH relativeFrom="margin">
              <wp14:pctWidth>0</wp14:pctWidth>
            </wp14:sizeRelH>
            <wp14:sizeRelV relativeFrom="margin">
              <wp14:pctHeight>0</wp14:pctHeight>
            </wp14:sizeRelV>
          </wp:anchor>
        </w:drawing>
      </w:r>
    </w:p>
    <w:p w14:paraId="6F4D26D3" w14:textId="77777777" w:rsidR="0054182D" w:rsidRPr="00A72B72" w:rsidRDefault="0054182D" w:rsidP="00B34EF7">
      <w:pPr>
        <w:pStyle w:val="Title"/>
        <w:rPr>
          <w:sz w:val="48"/>
          <w:szCs w:val="48"/>
        </w:rPr>
      </w:pPr>
    </w:p>
    <w:p w14:paraId="2AC16FEE" w14:textId="5C002955" w:rsidR="00A5084B" w:rsidRPr="000C3CC4" w:rsidRDefault="001119BD" w:rsidP="001119BD">
      <w:pPr>
        <w:pStyle w:val="Title"/>
        <w:ind w:right="-180"/>
        <w:rPr>
          <w:sz w:val="44"/>
          <w:szCs w:val="44"/>
        </w:rPr>
      </w:pPr>
      <w:r w:rsidRPr="000C3CC4">
        <w:rPr>
          <w:sz w:val="44"/>
          <w:szCs w:val="44"/>
        </w:rPr>
        <w:t>Fresh Mushroom Sales Review</w:t>
      </w:r>
      <w:r w:rsidR="000C3CC4" w:rsidRPr="000C3CC4">
        <w:rPr>
          <w:sz w:val="44"/>
          <w:szCs w:val="44"/>
        </w:rPr>
        <w:t>; 4</w:t>
      </w:r>
      <w:r w:rsidR="00AE32A2">
        <w:rPr>
          <w:sz w:val="44"/>
          <w:szCs w:val="44"/>
        </w:rPr>
        <w:t xml:space="preserve"> and 52</w:t>
      </w:r>
      <w:r w:rsidR="000C3CC4" w:rsidRPr="000C3CC4">
        <w:rPr>
          <w:sz w:val="44"/>
          <w:szCs w:val="44"/>
        </w:rPr>
        <w:t xml:space="preserve"> </w:t>
      </w:r>
      <w:proofErr w:type="spellStart"/>
      <w:r w:rsidR="000C3CC4" w:rsidRPr="000C3CC4">
        <w:rPr>
          <w:sz w:val="44"/>
          <w:szCs w:val="44"/>
        </w:rPr>
        <w:t>w</w:t>
      </w:r>
      <w:r w:rsidR="00D22E21">
        <w:rPr>
          <w:sz w:val="44"/>
          <w:szCs w:val="44"/>
        </w:rPr>
        <w:t>.e</w:t>
      </w:r>
      <w:proofErr w:type="spellEnd"/>
      <w:r w:rsidR="00D22E21">
        <w:rPr>
          <w:sz w:val="44"/>
          <w:szCs w:val="44"/>
        </w:rPr>
        <w:t>.</w:t>
      </w:r>
      <w:r w:rsidR="000C3CC4" w:rsidRPr="000C3CC4">
        <w:rPr>
          <w:sz w:val="44"/>
          <w:szCs w:val="44"/>
        </w:rPr>
        <w:t xml:space="preserve"> </w:t>
      </w:r>
      <w:r w:rsidR="004147E0">
        <w:rPr>
          <w:sz w:val="44"/>
          <w:szCs w:val="44"/>
        </w:rPr>
        <w:t>1.28.2024</w:t>
      </w:r>
    </w:p>
    <w:p w14:paraId="022A5B42" w14:textId="605814EC" w:rsidR="00B34EF7" w:rsidRDefault="00B34EF7" w:rsidP="00B34EF7">
      <w:pPr>
        <w:pStyle w:val="NoSpacing"/>
      </w:pPr>
    </w:p>
    <w:p w14:paraId="5B083E85" w14:textId="115BC051" w:rsidR="00F86B08" w:rsidRDefault="006D5DC2" w:rsidP="00927EAC">
      <w:pPr>
        <w:pStyle w:val="Heading2"/>
        <w:rPr>
          <w:b/>
          <w:bCs/>
          <w:color w:val="ED7D31" w:themeColor="accent2"/>
        </w:rPr>
      </w:pPr>
      <w:r>
        <w:rPr>
          <w:b/>
          <w:bCs/>
          <w:color w:val="ED7D31" w:themeColor="accent2"/>
        </w:rPr>
        <w:t>January Marketplace</w:t>
      </w:r>
    </w:p>
    <w:p w14:paraId="79AE7A35" w14:textId="30A2C52E" w:rsidR="006D5DC2" w:rsidRPr="006D5DC2" w:rsidRDefault="006D5DC2" w:rsidP="006D5DC2">
      <w:pPr>
        <w:pStyle w:val="NoSpacing"/>
      </w:pPr>
      <w:r w:rsidRPr="006D5DC2">
        <w:t>In January 2024, beleaguered consumers received some good news with the USDA predicting a slight reduction in grocery prices in 2024. Additionally, the U.N. Food and Agriculture Organization announced that its food price index is at the lowest level in three years. However, rising labor and other operational costs have been eroding margins</w:t>
      </w:r>
      <w:r w:rsidRPr="006D5DC2">
        <w:t xml:space="preserve"> for retailers and restaurants alike, fueling the </w:t>
      </w:r>
      <w:r w:rsidRPr="006D5DC2">
        <w:t xml:space="preserve">USDA </w:t>
      </w:r>
      <w:r w:rsidRPr="006D5DC2">
        <w:t xml:space="preserve">prediction that </w:t>
      </w:r>
      <w:r w:rsidRPr="006D5DC2">
        <w:t xml:space="preserve">restaurant prices </w:t>
      </w:r>
      <w:r w:rsidRPr="006D5DC2">
        <w:t>will</w:t>
      </w:r>
      <w:r w:rsidRPr="006D5DC2">
        <w:t xml:space="preserve"> continue their </w:t>
      </w:r>
      <w:r w:rsidRPr="006D5DC2">
        <w:t xml:space="preserve">much steeper </w:t>
      </w:r>
      <w:r w:rsidRPr="006D5DC2">
        <w:t xml:space="preserve">fourth-quarter increase in 2024. </w:t>
      </w:r>
    </w:p>
    <w:p w14:paraId="35933093" w14:textId="77777777" w:rsidR="006D5DC2" w:rsidRPr="006D5DC2" w:rsidRDefault="006D5DC2" w:rsidP="006D5DC2">
      <w:pPr>
        <w:pStyle w:val="NoSpacing"/>
      </w:pPr>
    </w:p>
    <w:p w14:paraId="3369C0CC" w14:textId="72625800" w:rsidR="006D5DC2" w:rsidRPr="006D5DC2" w:rsidRDefault="006D5DC2" w:rsidP="006D5DC2">
      <w:pPr>
        <w:pStyle w:val="NoSpacing"/>
      </w:pPr>
      <w:r w:rsidRPr="006D5DC2">
        <w:t xml:space="preserve">According to the </w:t>
      </w:r>
      <w:proofErr w:type="spellStart"/>
      <w:r w:rsidRPr="006D5DC2">
        <w:t>Circana</w:t>
      </w:r>
      <w:proofErr w:type="spellEnd"/>
      <w:r w:rsidRPr="006D5DC2">
        <w:t xml:space="preserve"> survey of primary grocery shoppers:</w:t>
      </w:r>
    </w:p>
    <w:p w14:paraId="5513DE62" w14:textId="6E2E3C4C" w:rsidR="006D5DC2" w:rsidRPr="006D5DC2" w:rsidRDefault="006D5DC2" w:rsidP="006D5DC2">
      <w:pPr>
        <w:pStyle w:val="NoSpacing"/>
        <w:numPr>
          <w:ilvl w:val="0"/>
          <w:numId w:val="23"/>
        </w:numPr>
      </w:pPr>
      <w:r>
        <w:t xml:space="preserve">In January, an unchanged </w:t>
      </w:r>
      <w:r w:rsidRPr="006D5DC2">
        <w:t xml:space="preserve">80% of consumers dined at restaurants or ordered takeout or delivery. </w:t>
      </w:r>
    </w:p>
    <w:p w14:paraId="48106841" w14:textId="77777777" w:rsidR="006D5DC2" w:rsidRPr="006D5DC2" w:rsidRDefault="006D5DC2" w:rsidP="006D5DC2">
      <w:pPr>
        <w:pStyle w:val="NoSpacing"/>
        <w:numPr>
          <w:ilvl w:val="0"/>
          <w:numId w:val="23"/>
        </w:numPr>
      </w:pPr>
      <w:r w:rsidRPr="006D5DC2">
        <w:t>The home-cooked share of meals also continued to average around 78% to 80% for most households.</w:t>
      </w:r>
    </w:p>
    <w:p w14:paraId="68B61E9D" w14:textId="77777777" w:rsidR="006D5DC2" w:rsidRPr="006D5DC2" w:rsidRDefault="006D5DC2" w:rsidP="006D5DC2">
      <w:pPr>
        <w:pStyle w:val="NoSpacing"/>
        <w:numPr>
          <w:ilvl w:val="0"/>
          <w:numId w:val="23"/>
        </w:numPr>
      </w:pPr>
      <w:r w:rsidRPr="006D5DC2">
        <w:t>When shopping for groceries, the survey found that 81% of consumers applied one or more money-saving measures in January, led by looking for sales promotions (53% of households), cutting back on non-essentials (40%) and looking for coupons (33%).</w:t>
      </w:r>
    </w:p>
    <w:p w14:paraId="45A4886A" w14:textId="6D1A5279" w:rsidR="006D5DC2" w:rsidRPr="006D5DC2" w:rsidRDefault="006D5DC2" w:rsidP="006D5DC2">
      <w:pPr>
        <w:pStyle w:val="NoSpacing"/>
        <w:numPr>
          <w:ilvl w:val="0"/>
          <w:numId w:val="23"/>
        </w:numPr>
      </w:pPr>
      <w:r>
        <w:t>Out of the 70% of</w:t>
      </w:r>
      <w:r w:rsidRPr="006D5DC2">
        <w:t xml:space="preserve"> consumers </w:t>
      </w:r>
      <w:r>
        <w:t xml:space="preserve">who </w:t>
      </w:r>
      <w:r w:rsidRPr="006D5DC2">
        <w:t>started the year with one or more New Year’s resolutions</w:t>
      </w:r>
      <w:r>
        <w:t xml:space="preserve">, </w:t>
      </w:r>
      <w:r w:rsidRPr="006D5DC2">
        <w:t xml:space="preserve">“eating healthier or starting a diet” was easily the number one resolution, at 42% of consumers. </w:t>
      </w:r>
    </w:p>
    <w:p w14:paraId="5588E0F4" w14:textId="32A128AB" w:rsidR="006D5DC2" w:rsidRPr="006D5DC2" w:rsidRDefault="006D5DC2" w:rsidP="006D5DC2">
      <w:pPr>
        <w:pStyle w:val="NoSpacing"/>
        <w:numPr>
          <w:ilvl w:val="0"/>
          <w:numId w:val="23"/>
        </w:numPr>
      </w:pPr>
      <w:r w:rsidRPr="006D5DC2">
        <w:t xml:space="preserve">Important touchpoints for February and March include Valentine’s Day, St. Patrick’s Day and an early Easter Sunday on March 31st. If Thanksgiving, Christmas and New Year’s patterns hold, the sales peak will likely shift back to the holiday week itself instead of the week prior. The party size continues to creep up to an average of 8.2 people, with consumers expecting to spend a little more than last year. </w:t>
      </w:r>
    </w:p>
    <w:p w14:paraId="015B38D8" w14:textId="77777777" w:rsidR="00F12F2D" w:rsidRPr="006D5DC2" w:rsidRDefault="00F12F2D" w:rsidP="006D5DC2">
      <w:pPr>
        <w:pStyle w:val="NoSpacing"/>
      </w:pPr>
    </w:p>
    <w:p w14:paraId="737234D5" w14:textId="3B512D43" w:rsidR="00927EAC" w:rsidRPr="00927EAC" w:rsidRDefault="007D3393" w:rsidP="00927EAC">
      <w:pPr>
        <w:pStyle w:val="Heading2"/>
        <w:rPr>
          <w:b/>
          <w:bCs/>
          <w:color w:val="ED7D31" w:themeColor="accent2"/>
        </w:rPr>
      </w:pPr>
      <w:r>
        <w:rPr>
          <w:b/>
          <w:bCs/>
          <w:color w:val="ED7D31" w:themeColor="accent2"/>
        </w:rPr>
        <w:t xml:space="preserve">Fresh Mushroom </w:t>
      </w:r>
      <w:r w:rsidR="00927EAC" w:rsidRPr="00927EAC">
        <w:rPr>
          <w:b/>
          <w:bCs/>
          <w:color w:val="ED7D31" w:themeColor="accent2"/>
        </w:rPr>
        <w:t>Dollars, Units and Volume Performance</w:t>
      </w:r>
    </w:p>
    <w:p w14:paraId="47797D03" w14:textId="302EE0F1" w:rsidR="00472B02" w:rsidRDefault="006D5DC2" w:rsidP="00472B02">
      <w:pPr>
        <w:pStyle w:val="NoSpacing"/>
      </w:pPr>
      <w:r>
        <w:t>January and the 52-week period show dollar sales within 4 percentage points of year-ago levels.</w:t>
      </w:r>
    </w:p>
    <w:p w14:paraId="40FAA348" w14:textId="6A56CCC2" w:rsidR="00AD7044" w:rsidRPr="006D5DC2" w:rsidRDefault="00AD7044" w:rsidP="00472B02">
      <w:pPr>
        <w:pStyle w:val="NoSpacing"/>
        <w:rPr>
          <w:sz w:val="6"/>
          <w:szCs w:val="6"/>
        </w:rPr>
      </w:pPr>
    </w:p>
    <w:tbl>
      <w:tblPr>
        <w:tblStyle w:val="ListTable3-Accent2"/>
        <w:tblW w:w="10269" w:type="dxa"/>
        <w:tblLook w:val="04A0" w:firstRow="1" w:lastRow="0" w:firstColumn="1" w:lastColumn="0" w:noHBand="0" w:noVBand="1"/>
      </w:tblPr>
      <w:tblGrid>
        <w:gridCol w:w="1792"/>
        <w:gridCol w:w="2096"/>
        <w:gridCol w:w="148"/>
        <w:gridCol w:w="873"/>
        <w:gridCol w:w="971"/>
        <w:gridCol w:w="2074"/>
        <w:gridCol w:w="1121"/>
        <w:gridCol w:w="1194"/>
      </w:tblGrid>
      <w:tr w:rsidR="00B672D0" w:rsidRPr="00124CB7" w14:paraId="5D073D77" w14:textId="77777777" w:rsidTr="0018194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792" w:type="dxa"/>
          </w:tcPr>
          <w:p w14:paraId="0624EE87" w14:textId="452C2900" w:rsidR="00B672D0" w:rsidRPr="00124CB7" w:rsidRDefault="00B672D0" w:rsidP="00B672D0">
            <w:pPr>
              <w:pStyle w:val="NoSpacing"/>
            </w:pPr>
            <w:r>
              <w:t>Fresh mushrooms</w:t>
            </w:r>
          </w:p>
        </w:tc>
        <w:tc>
          <w:tcPr>
            <w:tcW w:w="2244" w:type="dxa"/>
            <w:gridSpan w:val="2"/>
          </w:tcPr>
          <w:p w14:paraId="51DF6E55" w14:textId="416C3414"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4 weeks ending </w:t>
            </w:r>
            <w:r w:rsidR="00A36245">
              <w:t>1/28/2024</w:t>
            </w:r>
          </w:p>
        </w:tc>
        <w:tc>
          <w:tcPr>
            <w:tcW w:w="873" w:type="dxa"/>
          </w:tcPr>
          <w:p w14:paraId="0398A30D" w14:textId="284A3FA4"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Vs. 2023</w:t>
            </w:r>
          </w:p>
        </w:tc>
        <w:tc>
          <w:tcPr>
            <w:tcW w:w="971" w:type="dxa"/>
            <w:tcBorders>
              <w:right w:val="single" w:sz="4" w:space="0" w:color="ED7D31" w:themeColor="accent2"/>
            </w:tcBorders>
          </w:tcPr>
          <w:p w14:paraId="11B3D9FB" w14:textId="5D6F5088"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Vs. 2021</w:t>
            </w:r>
          </w:p>
        </w:tc>
        <w:tc>
          <w:tcPr>
            <w:tcW w:w="2074" w:type="dxa"/>
            <w:tcBorders>
              <w:left w:val="single" w:sz="4" w:space="0" w:color="ED7D31" w:themeColor="accent2"/>
            </w:tcBorders>
          </w:tcPr>
          <w:p w14:paraId="3BBE24C3" w14:textId="54399F4F" w:rsidR="00B672D0" w:rsidRPr="00124CB7"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 xml:space="preserve">. </w:t>
            </w:r>
            <w:r w:rsidR="00A36245">
              <w:t>1/28/2024</w:t>
            </w:r>
          </w:p>
        </w:tc>
        <w:tc>
          <w:tcPr>
            <w:tcW w:w="1121" w:type="dxa"/>
          </w:tcPr>
          <w:p w14:paraId="40EE3430"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0895179F" w14:textId="5824EC77" w:rsidR="00B672D0" w:rsidRPr="00124CB7" w:rsidRDefault="00FA3219" w:rsidP="00B672D0">
            <w:pPr>
              <w:pStyle w:val="NoSpacing"/>
              <w:jc w:val="right"/>
              <w:cnfStyle w:val="100000000000" w:firstRow="1" w:lastRow="0" w:firstColumn="0" w:lastColumn="0" w:oddVBand="0" w:evenVBand="0" w:oddHBand="0" w:evenHBand="0" w:firstRowFirstColumn="0" w:firstRowLastColumn="0" w:lastRowFirstColumn="0" w:lastRowLastColumn="0"/>
            </w:pPr>
            <w:r>
              <w:t>Vs. 2023</w:t>
            </w:r>
          </w:p>
        </w:tc>
        <w:tc>
          <w:tcPr>
            <w:tcW w:w="1194" w:type="dxa"/>
          </w:tcPr>
          <w:p w14:paraId="0BDA0615" w14:textId="77777777" w:rsidR="00B672D0" w:rsidRDefault="00B672D0" w:rsidP="00B672D0">
            <w:pPr>
              <w:pStyle w:val="NoSpacing"/>
              <w:jc w:val="right"/>
              <w:cnfStyle w:val="100000000000" w:firstRow="1" w:lastRow="0" w:firstColumn="0" w:lastColumn="0" w:oddVBand="0" w:evenVBand="0" w:oddHBand="0" w:evenHBand="0" w:firstRowFirstColumn="0" w:firstRowLastColumn="0" w:lastRowFirstColumn="0" w:lastRowLastColumn="0"/>
              <w:rPr>
                <w:b w:val="0"/>
                <w:bCs w:val="0"/>
              </w:rPr>
            </w:pPr>
          </w:p>
          <w:p w14:paraId="5AB7ECE0" w14:textId="10B5A8B4" w:rsidR="00B672D0" w:rsidRPr="00124CB7" w:rsidRDefault="00B672D0" w:rsidP="00FA3219">
            <w:pPr>
              <w:pStyle w:val="NoSpacing"/>
              <w:jc w:val="right"/>
              <w:cnfStyle w:val="100000000000" w:firstRow="1" w:lastRow="0" w:firstColumn="0" w:lastColumn="0" w:oddVBand="0" w:evenVBand="0" w:oddHBand="0" w:evenHBand="0" w:firstRowFirstColumn="0" w:firstRowLastColumn="0" w:lastRowFirstColumn="0" w:lastRowLastColumn="0"/>
            </w:pPr>
            <w:r>
              <w:t>Vs. 202</w:t>
            </w:r>
            <w:r w:rsidR="00FA3219">
              <w:t>1</w:t>
            </w:r>
          </w:p>
        </w:tc>
      </w:tr>
      <w:tr w:rsidR="00AB019A" w14:paraId="22401D5B" w14:textId="77777777" w:rsidTr="0003642F">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1792" w:type="dxa"/>
          </w:tcPr>
          <w:p w14:paraId="79CDF43D" w14:textId="166854D6" w:rsidR="00AB019A" w:rsidRPr="00124CB7" w:rsidRDefault="00AB019A" w:rsidP="00AB019A">
            <w:pPr>
              <w:pStyle w:val="NoSpacing"/>
              <w:rPr>
                <w:b w:val="0"/>
                <w:bCs w:val="0"/>
              </w:rPr>
            </w:pPr>
            <w:r>
              <w:rPr>
                <w:b w:val="0"/>
                <w:bCs w:val="0"/>
              </w:rPr>
              <w:t>Dollars</w:t>
            </w:r>
          </w:p>
        </w:tc>
        <w:tc>
          <w:tcPr>
            <w:tcW w:w="2096" w:type="dxa"/>
          </w:tcPr>
          <w:p w14:paraId="6D1FCB95" w14:textId="66D936F3"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t xml:space="preserve">          $</w:t>
            </w:r>
            <w:r w:rsidR="00FC1B34">
              <w:t>103.8</w:t>
            </w:r>
            <w:r>
              <w:t xml:space="preserve"> million</w:t>
            </w:r>
          </w:p>
        </w:tc>
        <w:tc>
          <w:tcPr>
            <w:tcW w:w="1021" w:type="dxa"/>
            <w:gridSpan w:val="2"/>
          </w:tcPr>
          <w:p w14:paraId="77D2040B" w14:textId="2D57D0CB"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FC1B34">
              <w:rPr>
                <w:rFonts w:cstheme="minorHAnsi"/>
                <w:color w:val="000000" w:themeColor="text1"/>
              </w:rPr>
              <w:t>3.6</w:t>
            </w:r>
            <w:r w:rsidRPr="00B4625C">
              <w:rPr>
                <w:rFonts w:cstheme="minorHAnsi"/>
                <w:color w:val="000000" w:themeColor="text1"/>
              </w:rPr>
              <w:t>%</w:t>
            </w:r>
          </w:p>
        </w:tc>
        <w:tc>
          <w:tcPr>
            <w:tcW w:w="971" w:type="dxa"/>
            <w:tcBorders>
              <w:right w:val="single" w:sz="4" w:space="0" w:color="ED7D31" w:themeColor="accent2"/>
            </w:tcBorders>
          </w:tcPr>
          <w:p w14:paraId="4EF21002" w14:textId="4C353B59"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FC1B34">
              <w:rPr>
                <w:rFonts w:cstheme="minorHAnsi"/>
                <w:color w:val="000000" w:themeColor="text1"/>
              </w:rPr>
              <w:t>12.5</w:t>
            </w:r>
            <w:r w:rsidRPr="00B4625C">
              <w:rPr>
                <w:rFonts w:cstheme="minorHAnsi"/>
                <w:color w:val="000000" w:themeColor="text1"/>
              </w:rPr>
              <w:t>%</w:t>
            </w:r>
          </w:p>
        </w:tc>
        <w:tc>
          <w:tcPr>
            <w:tcW w:w="2074" w:type="dxa"/>
            <w:tcBorders>
              <w:left w:val="single" w:sz="4" w:space="0" w:color="ED7D31" w:themeColor="accent2"/>
            </w:tcBorders>
          </w:tcPr>
          <w:p w14:paraId="375CF9DD" w14:textId="0C911AFA"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t xml:space="preserve">        </w:t>
            </w:r>
            <w:r w:rsidR="003D3C99">
              <w:t>$</w:t>
            </w:r>
            <w:r w:rsidR="00D261F8">
              <w:t>1.2</w:t>
            </w:r>
            <w:r>
              <w:t xml:space="preserve"> billion</w:t>
            </w:r>
          </w:p>
        </w:tc>
        <w:tc>
          <w:tcPr>
            <w:tcW w:w="1121" w:type="dxa"/>
          </w:tcPr>
          <w:p w14:paraId="04EA64A9" w14:textId="1AE1015F"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D261F8">
              <w:rPr>
                <w:rFonts w:cstheme="minorHAnsi"/>
                <w:color w:val="000000" w:themeColor="text1"/>
              </w:rPr>
              <w:t>3.2</w:t>
            </w:r>
            <w:r w:rsidRPr="007E5D4E">
              <w:rPr>
                <w:rFonts w:cstheme="minorHAnsi"/>
                <w:color w:val="000000" w:themeColor="text1"/>
              </w:rPr>
              <w:t>%</w:t>
            </w:r>
          </w:p>
        </w:tc>
        <w:tc>
          <w:tcPr>
            <w:tcW w:w="1194" w:type="dxa"/>
          </w:tcPr>
          <w:p w14:paraId="2F2464E9" w14:textId="5BB33697"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D261F8">
              <w:rPr>
                <w:rFonts w:cstheme="minorHAnsi"/>
                <w:color w:val="000000" w:themeColor="text1"/>
              </w:rPr>
              <w:t>11.9</w:t>
            </w:r>
            <w:r w:rsidRPr="007E5D4E">
              <w:rPr>
                <w:rFonts w:cstheme="minorHAnsi"/>
                <w:color w:val="000000" w:themeColor="text1"/>
              </w:rPr>
              <w:t>%</w:t>
            </w:r>
          </w:p>
        </w:tc>
      </w:tr>
      <w:tr w:rsidR="00181944" w14:paraId="31FB8D29" w14:textId="77777777" w:rsidTr="0003642F">
        <w:tc>
          <w:tcPr>
            <w:cnfStyle w:val="001000000000" w:firstRow="0" w:lastRow="0" w:firstColumn="1" w:lastColumn="0" w:oddVBand="0" w:evenVBand="0" w:oddHBand="0" w:evenHBand="0" w:firstRowFirstColumn="0" w:firstRowLastColumn="0" w:lastRowFirstColumn="0" w:lastRowLastColumn="0"/>
            <w:tcW w:w="1792" w:type="dxa"/>
          </w:tcPr>
          <w:p w14:paraId="10B2F651" w14:textId="48542DFC" w:rsidR="00181944" w:rsidRPr="00124CB7" w:rsidRDefault="00181944" w:rsidP="00181944">
            <w:pPr>
              <w:pStyle w:val="NoSpacing"/>
              <w:rPr>
                <w:b w:val="0"/>
                <w:bCs w:val="0"/>
              </w:rPr>
            </w:pPr>
            <w:r>
              <w:rPr>
                <w:b w:val="0"/>
                <w:bCs w:val="0"/>
              </w:rPr>
              <w:t>Units</w:t>
            </w:r>
          </w:p>
        </w:tc>
        <w:tc>
          <w:tcPr>
            <w:tcW w:w="2096" w:type="dxa"/>
          </w:tcPr>
          <w:p w14:paraId="3CA03520" w14:textId="4839F36E"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t xml:space="preserve">            </w:t>
            </w:r>
            <w:r w:rsidR="00A86F80">
              <w:t>34.7</w:t>
            </w:r>
            <w:r>
              <w:t xml:space="preserve"> million</w:t>
            </w:r>
          </w:p>
        </w:tc>
        <w:tc>
          <w:tcPr>
            <w:tcW w:w="1021" w:type="dxa"/>
            <w:gridSpan w:val="2"/>
          </w:tcPr>
          <w:p w14:paraId="6922F333" w14:textId="74849E58"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rsidRPr="00B4625C">
              <w:rPr>
                <w:rFonts w:cstheme="minorHAnsi"/>
                <w:color w:val="000000" w:themeColor="text1"/>
              </w:rPr>
              <w:t>-</w:t>
            </w:r>
            <w:r w:rsidR="00FC1B34">
              <w:rPr>
                <w:rFonts w:cstheme="minorHAnsi"/>
                <w:color w:val="000000" w:themeColor="text1"/>
              </w:rPr>
              <w:t>4.8%</w:t>
            </w:r>
          </w:p>
        </w:tc>
        <w:tc>
          <w:tcPr>
            <w:tcW w:w="971" w:type="dxa"/>
            <w:tcBorders>
              <w:right w:val="single" w:sz="4" w:space="0" w:color="ED7D31" w:themeColor="accent2"/>
            </w:tcBorders>
          </w:tcPr>
          <w:p w14:paraId="7CD8DEEA" w14:textId="2E6B0D45"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rsidRPr="00B4625C">
              <w:rPr>
                <w:rFonts w:cstheme="minorHAnsi"/>
                <w:color w:val="000000" w:themeColor="text1"/>
              </w:rPr>
              <w:t>-</w:t>
            </w:r>
            <w:r w:rsidR="00FC1B34">
              <w:rPr>
                <w:rFonts w:cstheme="minorHAnsi"/>
                <w:color w:val="000000" w:themeColor="text1"/>
              </w:rPr>
              <w:t>21.3</w:t>
            </w:r>
            <w:r w:rsidRPr="00B4625C">
              <w:rPr>
                <w:rFonts w:cstheme="minorHAnsi"/>
                <w:color w:val="000000" w:themeColor="text1"/>
              </w:rPr>
              <w:t>%</w:t>
            </w:r>
          </w:p>
        </w:tc>
        <w:tc>
          <w:tcPr>
            <w:tcW w:w="2074" w:type="dxa"/>
            <w:tcBorders>
              <w:left w:val="single" w:sz="4" w:space="0" w:color="ED7D31" w:themeColor="accent2"/>
            </w:tcBorders>
          </w:tcPr>
          <w:p w14:paraId="26ECACB9" w14:textId="51738F61" w:rsidR="00181944" w:rsidRDefault="00D261F8" w:rsidP="00181944">
            <w:pPr>
              <w:pStyle w:val="NoSpacing"/>
              <w:jc w:val="right"/>
              <w:cnfStyle w:val="000000000000" w:firstRow="0" w:lastRow="0" w:firstColumn="0" w:lastColumn="0" w:oddVBand="0" w:evenVBand="0" w:oddHBand="0" w:evenHBand="0" w:firstRowFirstColumn="0" w:firstRowLastColumn="0" w:lastRowFirstColumn="0" w:lastRowLastColumn="0"/>
            </w:pPr>
            <w:r>
              <w:t>4</w:t>
            </w:r>
            <w:r w:rsidR="003D3C99">
              <w:t>20.</w:t>
            </w:r>
            <w:r>
              <w:t>2</w:t>
            </w:r>
            <w:r w:rsidR="00181944">
              <w:t xml:space="preserve"> million</w:t>
            </w:r>
          </w:p>
        </w:tc>
        <w:tc>
          <w:tcPr>
            <w:tcW w:w="1121" w:type="dxa"/>
          </w:tcPr>
          <w:p w14:paraId="60AAF678" w14:textId="0B72FDAB"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rsidRPr="007E5D4E">
              <w:rPr>
                <w:rFonts w:cstheme="minorHAnsi"/>
                <w:color w:val="000000" w:themeColor="text1"/>
              </w:rPr>
              <w:t>-</w:t>
            </w:r>
            <w:r w:rsidR="00D261F8">
              <w:rPr>
                <w:rFonts w:cstheme="minorHAnsi"/>
                <w:color w:val="000000" w:themeColor="text1"/>
              </w:rPr>
              <w:t>4.8</w:t>
            </w:r>
            <w:r w:rsidRPr="007E5D4E">
              <w:rPr>
                <w:rFonts w:cstheme="minorHAnsi"/>
                <w:color w:val="000000" w:themeColor="text1"/>
              </w:rPr>
              <w:t>%</w:t>
            </w:r>
          </w:p>
        </w:tc>
        <w:tc>
          <w:tcPr>
            <w:tcW w:w="1194" w:type="dxa"/>
          </w:tcPr>
          <w:p w14:paraId="19BE3B74" w14:textId="24FF87FA" w:rsidR="00181944" w:rsidRDefault="00181944" w:rsidP="00181944">
            <w:pPr>
              <w:pStyle w:val="NoSpacing"/>
              <w:jc w:val="right"/>
              <w:cnfStyle w:val="000000000000" w:firstRow="0" w:lastRow="0" w:firstColumn="0" w:lastColumn="0" w:oddVBand="0" w:evenVBand="0" w:oddHBand="0" w:evenHBand="0" w:firstRowFirstColumn="0" w:firstRowLastColumn="0" w:lastRowFirstColumn="0" w:lastRowLastColumn="0"/>
            </w:pPr>
            <w:r w:rsidRPr="007E5D4E">
              <w:rPr>
                <w:rFonts w:cstheme="minorHAnsi"/>
                <w:color w:val="000000" w:themeColor="text1"/>
              </w:rPr>
              <w:t>-</w:t>
            </w:r>
            <w:r w:rsidR="00D261F8">
              <w:rPr>
                <w:rFonts w:cstheme="minorHAnsi"/>
                <w:color w:val="000000" w:themeColor="text1"/>
              </w:rPr>
              <w:t>20.7</w:t>
            </w:r>
            <w:r w:rsidRPr="007E5D4E">
              <w:rPr>
                <w:rFonts w:cstheme="minorHAnsi"/>
                <w:color w:val="000000" w:themeColor="text1"/>
              </w:rPr>
              <w:t>%</w:t>
            </w:r>
          </w:p>
        </w:tc>
      </w:tr>
      <w:tr w:rsidR="00AB019A" w14:paraId="2EB720F3" w14:textId="77777777" w:rsidTr="0003642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2" w:type="dxa"/>
          </w:tcPr>
          <w:p w14:paraId="1A632454" w14:textId="04CEBBF8" w:rsidR="00AB019A" w:rsidRPr="00124CB7" w:rsidRDefault="00AB019A" w:rsidP="00AB019A">
            <w:pPr>
              <w:pStyle w:val="NoSpacing"/>
              <w:rPr>
                <w:b w:val="0"/>
                <w:bCs w:val="0"/>
              </w:rPr>
            </w:pPr>
            <w:r>
              <w:rPr>
                <w:b w:val="0"/>
                <w:bCs w:val="0"/>
              </w:rPr>
              <w:t>Volume (pounds)</w:t>
            </w:r>
          </w:p>
        </w:tc>
        <w:tc>
          <w:tcPr>
            <w:tcW w:w="2096" w:type="dxa"/>
          </w:tcPr>
          <w:p w14:paraId="68757A76" w14:textId="26FFDFF0" w:rsidR="00AB019A" w:rsidRDefault="00AB019A" w:rsidP="00AB019A">
            <w:pPr>
              <w:pStyle w:val="NoSpacing"/>
              <w:tabs>
                <w:tab w:val="center" w:pos="747"/>
                <w:tab w:val="right" w:pos="1494"/>
              </w:tabs>
              <w:jc w:val="right"/>
              <w:cnfStyle w:val="000000100000" w:firstRow="0" w:lastRow="0" w:firstColumn="0" w:lastColumn="0" w:oddVBand="0" w:evenVBand="0" w:oddHBand="1" w:evenHBand="0" w:firstRowFirstColumn="0" w:firstRowLastColumn="0" w:lastRowFirstColumn="0" w:lastRowLastColumn="0"/>
            </w:pPr>
            <w:r>
              <w:t xml:space="preserve">            </w:t>
            </w:r>
            <w:r w:rsidR="00FC1B34">
              <w:t>21.7</w:t>
            </w:r>
            <w:r>
              <w:t xml:space="preserve"> million</w:t>
            </w:r>
          </w:p>
        </w:tc>
        <w:tc>
          <w:tcPr>
            <w:tcW w:w="1021" w:type="dxa"/>
            <w:gridSpan w:val="2"/>
          </w:tcPr>
          <w:p w14:paraId="7DE7F9CC" w14:textId="2CA9A352"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FC1B34">
              <w:rPr>
                <w:rFonts w:cstheme="minorHAnsi"/>
                <w:color w:val="000000" w:themeColor="text1"/>
              </w:rPr>
              <w:t>5.1%</w:t>
            </w:r>
          </w:p>
        </w:tc>
        <w:tc>
          <w:tcPr>
            <w:tcW w:w="971" w:type="dxa"/>
            <w:tcBorders>
              <w:right w:val="single" w:sz="4" w:space="0" w:color="ED7D31" w:themeColor="accent2"/>
            </w:tcBorders>
          </w:tcPr>
          <w:p w14:paraId="47670DC1" w14:textId="04051948"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B4625C">
              <w:rPr>
                <w:rFonts w:cstheme="minorHAnsi"/>
                <w:color w:val="000000" w:themeColor="text1"/>
              </w:rPr>
              <w:t>-</w:t>
            </w:r>
            <w:r w:rsidR="00FC1B34">
              <w:rPr>
                <w:rFonts w:cstheme="minorHAnsi"/>
                <w:color w:val="000000" w:themeColor="text1"/>
              </w:rPr>
              <w:t>21.6</w:t>
            </w:r>
            <w:r w:rsidRPr="00B4625C">
              <w:rPr>
                <w:rFonts w:cstheme="minorHAnsi"/>
                <w:color w:val="000000" w:themeColor="text1"/>
              </w:rPr>
              <w:t>%</w:t>
            </w:r>
          </w:p>
        </w:tc>
        <w:tc>
          <w:tcPr>
            <w:tcW w:w="2074" w:type="dxa"/>
            <w:tcBorders>
              <w:left w:val="single" w:sz="4" w:space="0" w:color="ED7D31" w:themeColor="accent2"/>
            </w:tcBorders>
          </w:tcPr>
          <w:p w14:paraId="57878EB0" w14:textId="46F8C1C3" w:rsidR="00AB019A" w:rsidRDefault="00D261F8" w:rsidP="00AB019A">
            <w:pPr>
              <w:pStyle w:val="NoSpacing"/>
              <w:tabs>
                <w:tab w:val="center" w:pos="743"/>
                <w:tab w:val="right" w:pos="1487"/>
              </w:tabs>
              <w:jc w:val="right"/>
              <w:cnfStyle w:val="000000100000" w:firstRow="0" w:lastRow="0" w:firstColumn="0" w:lastColumn="0" w:oddVBand="0" w:evenVBand="0" w:oddHBand="1" w:evenHBand="0" w:firstRowFirstColumn="0" w:firstRowLastColumn="0" w:lastRowFirstColumn="0" w:lastRowLastColumn="0"/>
            </w:pPr>
            <w:r>
              <w:t>265.3</w:t>
            </w:r>
            <w:r w:rsidR="00AB019A">
              <w:t xml:space="preserve"> million</w:t>
            </w:r>
          </w:p>
        </w:tc>
        <w:tc>
          <w:tcPr>
            <w:tcW w:w="1121" w:type="dxa"/>
          </w:tcPr>
          <w:p w14:paraId="0679CD28" w14:textId="0AB19EA7"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D261F8">
              <w:rPr>
                <w:rFonts w:cstheme="minorHAnsi"/>
                <w:color w:val="000000" w:themeColor="text1"/>
              </w:rPr>
              <w:t>4.4</w:t>
            </w:r>
            <w:r w:rsidRPr="007E5D4E">
              <w:rPr>
                <w:rFonts w:cstheme="minorHAnsi"/>
                <w:color w:val="000000" w:themeColor="text1"/>
              </w:rPr>
              <w:t>%</w:t>
            </w:r>
          </w:p>
        </w:tc>
        <w:tc>
          <w:tcPr>
            <w:tcW w:w="1194" w:type="dxa"/>
          </w:tcPr>
          <w:p w14:paraId="09C03B7F" w14:textId="123A46D2" w:rsidR="00AB019A" w:rsidRDefault="00AB019A" w:rsidP="00AB019A">
            <w:pPr>
              <w:pStyle w:val="NoSpacing"/>
              <w:jc w:val="right"/>
              <w:cnfStyle w:val="000000100000" w:firstRow="0" w:lastRow="0" w:firstColumn="0" w:lastColumn="0" w:oddVBand="0" w:evenVBand="0" w:oddHBand="1" w:evenHBand="0" w:firstRowFirstColumn="0" w:firstRowLastColumn="0" w:lastRowFirstColumn="0" w:lastRowLastColumn="0"/>
            </w:pPr>
            <w:r w:rsidRPr="007E5D4E">
              <w:rPr>
                <w:rFonts w:cstheme="minorHAnsi"/>
                <w:color w:val="000000" w:themeColor="text1"/>
              </w:rPr>
              <w:t>-</w:t>
            </w:r>
            <w:r w:rsidR="00D261F8">
              <w:rPr>
                <w:rFonts w:cstheme="minorHAnsi"/>
                <w:color w:val="000000" w:themeColor="text1"/>
              </w:rPr>
              <w:t>20.2</w:t>
            </w:r>
            <w:r w:rsidRPr="007E5D4E">
              <w:rPr>
                <w:rFonts w:cstheme="minorHAnsi"/>
                <w:color w:val="000000" w:themeColor="text1"/>
              </w:rPr>
              <w:t>%</w:t>
            </w:r>
          </w:p>
        </w:tc>
      </w:tr>
    </w:tbl>
    <w:p w14:paraId="5B1F1AF6" w14:textId="6D669DEF" w:rsidR="0092088E"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555250">
        <w:rPr>
          <w:color w:val="7F7F7F" w:themeColor="text1" w:themeTint="80"/>
          <w:sz w:val="16"/>
          <w:szCs w:val="16"/>
        </w:rPr>
        <w:t xml:space="preserve">, Integrated Fresh, MULO, </w:t>
      </w:r>
      <w:r w:rsidR="00977F7F">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A36245">
        <w:rPr>
          <w:color w:val="7F7F7F" w:themeColor="text1" w:themeTint="80"/>
          <w:sz w:val="16"/>
          <w:szCs w:val="16"/>
        </w:rPr>
        <w:t>1/28/2024</w:t>
      </w:r>
    </w:p>
    <w:p w14:paraId="693975F5" w14:textId="5C6F2673" w:rsidR="000809C3" w:rsidRDefault="000809C3" w:rsidP="00472B02">
      <w:pPr>
        <w:pStyle w:val="NoSpacing"/>
      </w:pPr>
    </w:p>
    <w:p w14:paraId="3FBF647C" w14:textId="4F7B0EAA" w:rsidR="000E0D6B" w:rsidRDefault="006D5DC2">
      <w:r>
        <w:t xml:space="preserve">Prior year sales </w:t>
      </w:r>
      <w:r w:rsidR="00432D1F">
        <w:t xml:space="preserve">patterns </w:t>
      </w:r>
      <w:r>
        <w:t xml:space="preserve">comparing the quad-week to the prior quad-week held. </w:t>
      </w:r>
      <w:r w:rsidR="00432D1F">
        <w:t>In quad-week one, sales increased 0.5% over quad-week 13 of 2023 — the same increase as last year (see forecasting tab).</w:t>
      </w:r>
    </w:p>
    <w:tbl>
      <w:tblPr>
        <w:tblW w:w="10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657"/>
        <w:gridCol w:w="657"/>
        <w:gridCol w:w="714"/>
        <w:gridCol w:w="657"/>
        <w:gridCol w:w="657"/>
        <w:gridCol w:w="657"/>
        <w:gridCol w:w="657"/>
        <w:gridCol w:w="657"/>
        <w:gridCol w:w="657"/>
        <w:gridCol w:w="720"/>
        <w:gridCol w:w="720"/>
        <w:gridCol w:w="720"/>
        <w:gridCol w:w="720"/>
      </w:tblGrid>
      <w:tr w:rsidR="000E0D6B" w:rsidRPr="000E0D6B" w14:paraId="2CE5BD2B" w14:textId="77777777" w:rsidTr="000E0D6B">
        <w:trPr>
          <w:trHeight w:val="552"/>
        </w:trPr>
        <w:tc>
          <w:tcPr>
            <w:tcW w:w="1440" w:type="dxa"/>
            <w:shd w:val="clear" w:color="auto" w:fill="auto"/>
            <w:hideMark/>
          </w:tcPr>
          <w:p w14:paraId="0137593C" w14:textId="77777777" w:rsidR="000E0D6B" w:rsidRPr="000E0D6B" w:rsidRDefault="000E0D6B" w:rsidP="000E0D6B">
            <w:pPr>
              <w:spacing w:after="0" w:line="240" w:lineRule="auto"/>
              <w:rPr>
                <w:rFonts w:eastAsia="Times New Roman" w:cstheme="minorHAnsi"/>
                <w:color w:val="000000"/>
                <w:sz w:val="18"/>
                <w:szCs w:val="18"/>
              </w:rPr>
            </w:pPr>
            <w:r w:rsidRPr="000E0D6B">
              <w:rPr>
                <w:rFonts w:eastAsia="Times New Roman" w:cstheme="minorHAnsi"/>
                <w:color w:val="000000"/>
                <w:sz w:val="18"/>
                <w:szCs w:val="18"/>
              </w:rPr>
              <w:t xml:space="preserve">Pound growth rates </w:t>
            </w:r>
            <w:r w:rsidRPr="000E0D6B">
              <w:rPr>
                <w:rFonts w:eastAsia="Times New Roman" w:cstheme="minorHAnsi"/>
                <w:b/>
                <w:bCs/>
                <w:color w:val="000000"/>
                <w:sz w:val="18"/>
                <w:szCs w:val="18"/>
              </w:rPr>
              <w:t>versus PRIOR PERIOD</w:t>
            </w:r>
          </w:p>
        </w:tc>
        <w:tc>
          <w:tcPr>
            <w:tcW w:w="657" w:type="dxa"/>
            <w:shd w:val="clear" w:color="auto" w:fill="auto"/>
            <w:vAlign w:val="center"/>
            <w:hideMark/>
          </w:tcPr>
          <w:p w14:paraId="4366F69D"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w:t>
            </w:r>
          </w:p>
        </w:tc>
        <w:tc>
          <w:tcPr>
            <w:tcW w:w="657" w:type="dxa"/>
            <w:shd w:val="clear" w:color="auto" w:fill="auto"/>
            <w:vAlign w:val="center"/>
            <w:hideMark/>
          </w:tcPr>
          <w:p w14:paraId="600FB821"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2</w:t>
            </w:r>
          </w:p>
        </w:tc>
        <w:tc>
          <w:tcPr>
            <w:tcW w:w="714" w:type="dxa"/>
            <w:shd w:val="clear" w:color="auto" w:fill="auto"/>
            <w:vAlign w:val="center"/>
            <w:hideMark/>
          </w:tcPr>
          <w:p w14:paraId="5617C026"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3</w:t>
            </w:r>
          </w:p>
        </w:tc>
        <w:tc>
          <w:tcPr>
            <w:tcW w:w="657" w:type="dxa"/>
            <w:shd w:val="clear" w:color="auto" w:fill="auto"/>
            <w:vAlign w:val="center"/>
            <w:hideMark/>
          </w:tcPr>
          <w:p w14:paraId="68335CCD"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4</w:t>
            </w:r>
          </w:p>
        </w:tc>
        <w:tc>
          <w:tcPr>
            <w:tcW w:w="657" w:type="dxa"/>
            <w:shd w:val="clear" w:color="auto" w:fill="auto"/>
            <w:vAlign w:val="center"/>
            <w:hideMark/>
          </w:tcPr>
          <w:p w14:paraId="157C0D00"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5</w:t>
            </w:r>
          </w:p>
        </w:tc>
        <w:tc>
          <w:tcPr>
            <w:tcW w:w="657" w:type="dxa"/>
            <w:shd w:val="clear" w:color="auto" w:fill="auto"/>
            <w:vAlign w:val="center"/>
            <w:hideMark/>
          </w:tcPr>
          <w:p w14:paraId="530B7B63"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6</w:t>
            </w:r>
          </w:p>
        </w:tc>
        <w:tc>
          <w:tcPr>
            <w:tcW w:w="657" w:type="dxa"/>
            <w:shd w:val="clear" w:color="auto" w:fill="auto"/>
            <w:vAlign w:val="center"/>
            <w:hideMark/>
          </w:tcPr>
          <w:p w14:paraId="7A895C41"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7</w:t>
            </w:r>
          </w:p>
        </w:tc>
        <w:tc>
          <w:tcPr>
            <w:tcW w:w="657" w:type="dxa"/>
            <w:shd w:val="clear" w:color="auto" w:fill="auto"/>
            <w:vAlign w:val="center"/>
            <w:hideMark/>
          </w:tcPr>
          <w:p w14:paraId="02A51AE9"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8</w:t>
            </w:r>
          </w:p>
        </w:tc>
        <w:tc>
          <w:tcPr>
            <w:tcW w:w="657" w:type="dxa"/>
            <w:shd w:val="clear" w:color="auto" w:fill="auto"/>
            <w:vAlign w:val="center"/>
            <w:hideMark/>
          </w:tcPr>
          <w:p w14:paraId="13060256"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9</w:t>
            </w:r>
          </w:p>
        </w:tc>
        <w:tc>
          <w:tcPr>
            <w:tcW w:w="720" w:type="dxa"/>
            <w:shd w:val="clear" w:color="auto" w:fill="auto"/>
            <w:vAlign w:val="center"/>
            <w:hideMark/>
          </w:tcPr>
          <w:p w14:paraId="68945EBB"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10</w:t>
            </w:r>
          </w:p>
        </w:tc>
        <w:tc>
          <w:tcPr>
            <w:tcW w:w="720" w:type="dxa"/>
            <w:shd w:val="clear" w:color="auto" w:fill="auto"/>
            <w:vAlign w:val="center"/>
            <w:hideMark/>
          </w:tcPr>
          <w:p w14:paraId="1F031356"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11</w:t>
            </w:r>
          </w:p>
        </w:tc>
        <w:tc>
          <w:tcPr>
            <w:tcW w:w="720" w:type="dxa"/>
            <w:shd w:val="clear" w:color="auto" w:fill="auto"/>
            <w:vAlign w:val="center"/>
            <w:hideMark/>
          </w:tcPr>
          <w:p w14:paraId="54099731"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12</w:t>
            </w:r>
          </w:p>
        </w:tc>
        <w:tc>
          <w:tcPr>
            <w:tcW w:w="720" w:type="dxa"/>
            <w:shd w:val="clear" w:color="auto" w:fill="auto"/>
            <w:vAlign w:val="center"/>
            <w:hideMark/>
          </w:tcPr>
          <w:p w14:paraId="0EFA218C" w14:textId="77777777" w:rsidR="000E0D6B" w:rsidRPr="000E0D6B" w:rsidRDefault="000E0D6B" w:rsidP="000E0D6B">
            <w:pPr>
              <w:spacing w:after="0" w:line="240" w:lineRule="auto"/>
              <w:jc w:val="center"/>
              <w:rPr>
                <w:rFonts w:eastAsia="Times New Roman" w:cstheme="minorHAnsi"/>
                <w:sz w:val="18"/>
                <w:szCs w:val="18"/>
              </w:rPr>
            </w:pPr>
            <w:r w:rsidRPr="000E0D6B">
              <w:rPr>
                <w:rFonts w:eastAsia="Times New Roman" w:cstheme="minorHAnsi"/>
                <w:sz w:val="18"/>
                <w:szCs w:val="18"/>
              </w:rPr>
              <w:t>Quad week 13</w:t>
            </w:r>
          </w:p>
        </w:tc>
      </w:tr>
      <w:tr w:rsidR="000E0D6B" w:rsidRPr="000E0D6B" w14:paraId="7083EDA9" w14:textId="77777777" w:rsidTr="000E0D6B">
        <w:trPr>
          <w:trHeight w:val="144"/>
        </w:trPr>
        <w:tc>
          <w:tcPr>
            <w:tcW w:w="1440" w:type="dxa"/>
            <w:shd w:val="clear" w:color="auto" w:fill="auto"/>
            <w:noWrap/>
            <w:vAlign w:val="bottom"/>
            <w:hideMark/>
          </w:tcPr>
          <w:p w14:paraId="0496F523"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2017</w:t>
            </w:r>
          </w:p>
        </w:tc>
        <w:tc>
          <w:tcPr>
            <w:tcW w:w="657" w:type="dxa"/>
            <w:shd w:val="clear" w:color="auto" w:fill="auto"/>
            <w:noWrap/>
            <w:vAlign w:val="bottom"/>
            <w:hideMark/>
          </w:tcPr>
          <w:p w14:paraId="2E470360"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 </w:t>
            </w:r>
          </w:p>
        </w:tc>
        <w:tc>
          <w:tcPr>
            <w:tcW w:w="657" w:type="dxa"/>
            <w:shd w:val="clear" w:color="000000" w:fill="E6B8B7"/>
            <w:noWrap/>
            <w:vAlign w:val="bottom"/>
            <w:hideMark/>
          </w:tcPr>
          <w:p w14:paraId="7559548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-1.5%</w:t>
            </w:r>
          </w:p>
        </w:tc>
        <w:tc>
          <w:tcPr>
            <w:tcW w:w="714" w:type="dxa"/>
            <w:shd w:val="clear" w:color="000000" w:fill="E6B8B7"/>
            <w:noWrap/>
            <w:vAlign w:val="bottom"/>
            <w:hideMark/>
          </w:tcPr>
          <w:p w14:paraId="7F0D03B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-2.6%</w:t>
            </w:r>
          </w:p>
        </w:tc>
        <w:tc>
          <w:tcPr>
            <w:tcW w:w="657" w:type="dxa"/>
            <w:shd w:val="clear" w:color="000000" w:fill="E6B8B7"/>
            <w:noWrap/>
            <w:vAlign w:val="bottom"/>
            <w:hideMark/>
          </w:tcPr>
          <w:p w14:paraId="3154EF6E"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-1.8%</w:t>
            </w:r>
          </w:p>
        </w:tc>
        <w:tc>
          <w:tcPr>
            <w:tcW w:w="657" w:type="dxa"/>
            <w:shd w:val="clear" w:color="000000" w:fill="DA9694"/>
            <w:noWrap/>
            <w:vAlign w:val="bottom"/>
            <w:hideMark/>
          </w:tcPr>
          <w:p w14:paraId="2272285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-3.2%</w:t>
            </w:r>
          </w:p>
        </w:tc>
        <w:tc>
          <w:tcPr>
            <w:tcW w:w="657" w:type="dxa"/>
            <w:shd w:val="clear" w:color="000000" w:fill="DA9694"/>
            <w:noWrap/>
            <w:vAlign w:val="bottom"/>
            <w:hideMark/>
          </w:tcPr>
          <w:p w14:paraId="1082D2E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-3.5%</w:t>
            </w:r>
          </w:p>
        </w:tc>
        <w:tc>
          <w:tcPr>
            <w:tcW w:w="657" w:type="dxa"/>
            <w:shd w:val="clear" w:color="000000" w:fill="E6B8B7"/>
            <w:noWrap/>
            <w:vAlign w:val="bottom"/>
            <w:hideMark/>
          </w:tcPr>
          <w:p w14:paraId="05E2737E"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-1.6%</w:t>
            </w:r>
          </w:p>
        </w:tc>
        <w:tc>
          <w:tcPr>
            <w:tcW w:w="657" w:type="dxa"/>
            <w:shd w:val="clear" w:color="000000" w:fill="E6B8B7"/>
            <w:noWrap/>
            <w:vAlign w:val="bottom"/>
            <w:hideMark/>
          </w:tcPr>
          <w:p w14:paraId="5B754E6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-0.5%</w:t>
            </w:r>
          </w:p>
        </w:tc>
        <w:tc>
          <w:tcPr>
            <w:tcW w:w="657" w:type="dxa"/>
            <w:shd w:val="clear" w:color="000000" w:fill="D8E4BC"/>
            <w:noWrap/>
            <w:vAlign w:val="bottom"/>
            <w:hideMark/>
          </w:tcPr>
          <w:p w14:paraId="3E4D0CD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1.0%</w:t>
            </w:r>
          </w:p>
        </w:tc>
        <w:tc>
          <w:tcPr>
            <w:tcW w:w="720" w:type="dxa"/>
            <w:shd w:val="clear" w:color="000000" w:fill="D8E4BC"/>
            <w:noWrap/>
            <w:vAlign w:val="bottom"/>
            <w:hideMark/>
          </w:tcPr>
          <w:p w14:paraId="2CF2B55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1.5%</w:t>
            </w:r>
          </w:p>
        </w:tc>
        <w:tc>
          <w:tcPr>
            <w:tcW w:w="720" w:type="dxa"/>
            <w:shd w:val="clear" w:color="000000" w:fill="D8E4BC"/>
            <w:noWrap/>
            <w:vAlign w:val="bottom"/>
            <w:hideMark/>
          </w:tcPr>
          <w:p w14:paraId="7624135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1.4%</w:t>
            </w:r>
          </w:p>
        </w:tc>
        <w:tc>
          <w:tcPr>
            <w:tcW w:w="720" w:type="dxa"/>
            <w:shd w:val="clear" w:color="000000" w:fill="C4D79B"/>
            <w:noWrap/>
            <w:vAlign w:val="bottom"/>
            <w:hideMark/>
          </w:tcPr>
          <w:p w14:paraId="6106BBA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7.9%</w:t>
            </w:r>
          </w:p>
        </w:tc>
        <w:tc>
          <w:tcPr>
            <w:tcW w:w="720" w:type="dxa"/>
            <w:shd w:val="clear" w:color="000000" w:fill="D8E4BC"/>
            <w:noWrap/>
            <w:vAlign w:val="bottom"/>
            <w:hideMark/>
          </w:tcPr>
          <w:p w14:paraId="5A5B02B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7.3%</w:t>
            </w:r>
          </w:p>
        </w:tc>
      </w:tr>
      <w:tr w:rsidR="000E0D6B" w:rsidRPr="000E0D6B" w14:paraId="3B8C9CB3" w14:textId="77777777" w:rsidTr="000E0D6B">
        <w:trPr>
          <w:trHeight w:val="144"/>
        </w:trPr>
        <w:tc>
          <w:tcPr>
            <w:tcW w:w="1440" w:type="dxa"/>
            <w:shd w:val="clear" w:color="auto" w:fill="auto"/>
            <w:noWrap/>
            <w:vAlign w:val="bottom"/>
            <w:hideMark/>
          </w:tcPr>
          <w:p w14:paraId="10415BAB"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2018</w:t>
            </w:r>
          </w:p>
        </w:tc>
        <w:tc>
          <w:tcPr>
            <w:tcW w:w="657" w:type="dxa"/>
            <w:shd w:val="clear" w:color="000000" w:fill="C4D79B"/>
            <w:noWrap/>
            <w:vAlign w:val="bottom"/>
            <w:hideMark/>
          </w:tcPr>
          <w:p w14:paraId="3666588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-1.0%</w:t>
            </w:r>
          </w:p>
        </w:tc>
        <w:tc>
          <w:tcPr>
            <w:tcW w:w="657" w:type="dxa"/>
            <w:shd w:val="clear" w:color="000000" w:fill="DA9694"/>
            <w:noWrap/>
            <w:vAlign w:val="bottom"/>
            <w:hideMark/>
          </w:tcPr>
          <w:p w14:paraId="0F602A9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-3.3%</w:t>
            </w:r>
          </w:p>
        </w:tc>
        <w:tc>
          <w:tcPr>
            <w:tcW w:w="714" w:type="dxa"/>
            <w:shd w:val="clear" w:color="000000" w:fill="F2DCDB"/>
            <w:noWrap/>
            <w:vAlign w:val="bottom"/>
            <w:hideMark/>
          </w:tcPr>
          <w:p w14:paraId="774E7EA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-0.9%</w:t>
            </w:r>
          </w:p>
        </w:tc>
        <w:tc>
          <w:tcPr>
            <w:tcW w:w="657" w:type="dxa"/>
            <w:shd w:val="clear" w:color="000000" w:fill="DA9694"/>
            <w:noWrap/>
            <w:vAlign w:val="bottom"/>
            <w:hideMark/>
          </w:tcPr>
          <w:p w14:paraId="195DB56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-3.2%</w:t>
            </w:r>
          </w:p>
        </w:tc>
        <w:tc>
          <w:tcPr>
            <w:tcW w:w="657" w:type="dxa"/>
            <w:shd w:val="clear" w:color="000000" w:fill="E6B8B7"/>
            <w:noWrap/>
            <w:vAlign w:val="bottom"/>
            <w:hideMark/>
          </w:tcPr>
          <w:p w14:paraId="3B05A15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-1.9%</w:t>
            </w:r>
          </w:p>
        </w:tc>
        <w:tc>
          <w:tcPr>
            <w:tcW w:w="657" w:type="dxa"/>
            <w:shd w:val="clear" w:color="000000" w:fill="DA9694"/>
            <w:noWrap/>
            <w:vAlign w:val="bottom"/>
            <w:hideMark/>
          </w:tcPr>
          <w:p w14:paraId="620A52E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-3.8%</w:t>
            </w:r>
          </w:p>
        </w:tc>
        <w:tc>
          <w:tcPr>
            <w:tcW w:w="657" w:type="dxa"/>
            <w:shd w:val="clear" w:color="000000" w:fill="DA9694"/>
            <w:noWrap/>
            <w:vAlign w:val="bottom"/>
            <w:hideMark/>
          </w:tcPr>
          <w:p w14:paraId="411C3845"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-3.4%</w:t>
            </w:r>
          </w:p>
        </w:tc>
        <w:tc>
          <w:tcPr>
            <w:tcW w:w="657" w:type="dxa"/>
            <w:shd w:val="clear" w:color="000000" w:fill="E6B8B7"/>
            <w:noWrap/>
            <w:vAlign w:val="bottom"/>
            <w:hideMark/>
          </w:tcPr>
          <w:p w14:paraId="72A797A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-2.0%</w:t>
            </w:r>
          </w:p>
        </w:tc>
        <w:tc>
          <w:tcPr>
            <w:tcW w:w="657" w:type="dxa"/>
            <w:shd w:val="clear" w:color="000000" w:fill="D8E4BC"/>
            <w:noWrap/>
            <w:vAlign w:val="bottom"/>
            <w:hideMark/>
          </w:tcPr>
          <w:p w14:paraId="2272447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2.9%</w:t>
            </w:r>
          </w:p>
        </w:tc>
        <w:tc>
          <w:tcPr>
            <w:tcW w:w="720" w:type="dxa"/>
            <w:shd w:val="clear" w:color="000000" w:fill="D8E4BC"/>
            <w:noWrap/>
            <w:vAlign w:val="bottom"/>
            <w:hideMark/>
          </w:tcPr>
          <w:p w14:paraId="14B9CF92"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1.7%</w:t>
            </w:r>
          </w:p>
        </w:tc>
        <w:tc>
          <w:tcPr>
            <w:tcW w:w="720" w:type="dxa"/>
            <w:shd w:val="clear" w:color="000000" w:fill="D8E4BC"/>
            <w:noWrap/>
            <w:vAlign w:val="bottom"/>
            <w:hideMark/>
          </w:tcPr>
          <w:p w14:paraId="375CBFF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0.4%</w:t>
            </w:r>
          </w:p>
        </w:tc>
        <w:tc>
          <w:tcPr>
            <w:tcW w:w="720" w:type="dxa"/>
            <w:shd w:val="clear" w:color="000000" w:fill="C4D79B"/>
            <w:noWrap/>
            <w:vAlign w:val="bottom"/>
            <w:hideMark/>
          </w:tcPr>
          <w:p w14:paraId="7C3C91A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9.4%</w:t>
            </w:r>
          </w:p>
        </w:tc>
        <w:tc>
          <w:tcPr>
            <w:tcW w:w="720" w:type="dxa"/>
            <w:shd w:val="clear" w:color="000000" w:fill="C4D79B"/>
            <w:noWrap/>
            <w:vAlign w:val="bottom"/>
            <w:hideMark/>
          </w:tcPr>
          <w:p w14:paraId="3AADE08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4.1%</w:t>
            </w:r>
          </w:p>
        </w:tc>
      </w:tr>
      <w:tr w:rsidR="000E0D6B" w:rsidRPr="000E0D6B" w14:paraId="5F93CA96" w14:textId="77777777" w:rsidTr="000E0D6B">
        <w:trPr>
          <w:trHeight w:val="144"/>
        </w:trPr>
        <w:tc>
          <w:tcPr>
            <w:tcW w:w="1440" w:type="dxa"/>
            <w:shd w:val="clear" w:color="auto" w:fill="auto"/>
            <w:noWrap/>
            <w:vAlign w:val="bottom"/>
            <w:hideMark/>
          </w:tcPr>
          <w:p w14:paraId="1C645533" w14:textId="77777777" w:rsidR="000E0D6B" w:rsidRPr="000E0D6B" w:rsidRDefault="000E0D6B" w:rsidP="000E0D6B">
            <w:pPr>
              <w:spacing w:after="0" w:line="240" w:lineRule="auto"/>
              <w:rPr>
                <w:rFonts w:eastAsia="Times New Roman" w:cstheme="minorHAnsi"/>
                <w:color w:val="000000"/>
                <w:sz w:val="18"/>
                <w:szCs w:val="18"/>
              </w:rPr>
            </w:pPr>
            <w:r w:rsidRPr="000E0D6B">
              <w:rPr>
                <w:rFonts w:eastAsia="Times New Roman" w:cstheme="minorHAnsi"/>
                <w:color w:val="000000"/>
                <w:sz w:val="18"/>
                <w:szCs w:val="18"/>
              </w:rPr>
              <w:t>2019</w:t>
            </w:r>
          </w:p>
        </w:tc>
        <w:tc>
          <w:tcPr>
            <w:tcW w:w="657" w:type="dxa"/>
            <w:shd w:val="clear" w:color="000000" w:fill="C4D79B"/>
            <w:noWrap/>
            <w:vAlign w:val="bottom"/>
            <w:hideMark/>
          </w:tcPr>
          <w:p w14:paraId="502534A8"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1.9%</w:t>
            </w:r>
          </w:p>
        </w:tc>
        <w:tc>
          <w:tcPr>
            <w:tcW w:w="657" w:type="dxa"/>
            <w:shd w:val="clear" w:color="000000" w:fill="DA9694"/>
            <w:noWrap/>
            <w:vAlign w:val="bottom"/>
            <w:hideMark/>
          </w:tcPr>
          <w:p w14:paraId="3E61F48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-5.9%</w:t>
            </w:r>
          </w:p>
        </w:tc>
        <w:tc>
          <w:tcPr>
            <w:tcW w:w="714" w:type="dxa"/>
            <w:shd w:val="clear" w:color="000000" w:fill="E6B8B7"/>
            <w:noWrap/>
            <w:vAlign w:val="bottom"/>
            <w:hideMark/>
          </w:tcPr>
          <w:p w14:paraId="4EEF0E0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-2.7%</w:t>
            </w:r>
          </w:p>
        </w:tc>
        <w:tc>
          <w:tcPr>
            <w:tcW w:w="657" w:type="dxa"/>
            <w:shd w:val="clear" w:color="000000" w:fill="E6B8B7"/>
            <w:noWrap/>
            <w:vAlign w:val="bottom"/>
            <w:hideMark/>
          </w:tcPr>
          <w:p w14:paraId="43F8F4D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-1.5%</w:t>
            </w:r>
          </w:p>
        </w:tc>
        <w:tc>
          <w:tcPr>
            <w:tcW w:w="657" w:type="dxa"/>
            <w:shd w:val="clear" w:color="000000" w:fill="DA9694"/>
            <w:noWrap/>
            <w:vAlign w:val="bottom"/>
            <w:hideMark/>
          </w:tcPr>
          <w:p w14:paraId="40D6741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-2.9%</w:t>
            </w:r>
          </w:p>
        </w:tc>
        <w:tc>
          <w:tcPr>
            <w:tcW w:w="657" w:type="dxa"/>
            <w:shd w:val="clear" w:color="000000" w:fill="DA9694"/>
            <w:noWrap/>
            <w:vAlign w:val="bottom"/>
            <w:hideMark/>
          </w:tcPr>
          <w:p w14:paraId="7E314E5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-4.0%</w:t>
            </w:r>
          </w:p>
        </w:tc>
        <w:tc>
          <w:tcPr>
            <w:tcW w:w="657" w:type="dxa"/>
            <w:shd w:val="clear" w:color="000000" w:fill="E6B8B7"/>
            <w:noWrap/>
            <w:vAlign w:val="bottom"/>
            <w:hideMark/>
          </w:tcPr>
          <w:p w14:paraId="4497E062"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-2.6%</w:t>
            </w:r>
          </w:p>
        </w:tc>
        <w:tc>
          <w:tcPr>
            <w:tcW w:w="657" w:type="dxa"/>
            <w:shd w:val="clear" w:color="000000" w:fill="F2DCDB"/>
            <w:noWrap/>
            <w:vAlign w:val="bottom"/>
            <w:hideMark/>
          </w:tcPr>
          <w:p w14:paraId="1187FC0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-0.6%</w:t>
            </w:r>
          </w:p>
        </w:tc>
        <w:tc>
          <w:tcPr>
            <w:tcW w:w="657" w:type="dxa"/>
            <w:shd w:val="clear" w:color="000000" w:fill="D8E4BC"/>
            <w:noWrap/>
            <w:vAlign w:val="bottom"/>
            <w:hideMark/>
          </w:tcPr>
          <w:p w14:paraId="28DC45A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1.7%</w:t>
            </w:r>
          </w:p>
        </w:tc>
        <w:tc>
          <w:tcPr>
            <w:tcW w:w="720" w:type="dxa"/>
            <w:shd w:val="clear" w:color="000000" w:fill="D8E4BC"/>
            <w:noWrap/>
            <w:vAlign w:val="bottom"/>
            <w:hideMark/>
          </w:tcPr>
          <w:p w14:paraId="2568D87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1.1%</w:t>
            </w:r>
          </w:p>
        </w:tc>
        <w:tc>
          <w:tcPr>
            <w:tcW w:w="720" w:type="dxa"/>
            <w:shd w:val="clear" w:color="000000" w:fill="D8E4BC"/>
            <w:noWrap/>
            <w:vAlign w:val="bottom"/>
            <w:hideMark/>
          </w:tcPr>
          <w:p w14:paraId="4245C518"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1.5%</w:t>
            </w:r>
          </w:p>
        </w:tc>
        <w:tc>
          <w:tcPr>
            <w:tcW w:w="720" w:type="dxa"/>
            <w:shd w:val="clear" w:color="000000" w:fill="C4D79B"/>
            <w:noWrap/>
            <w:vAlign w:val="bottom"/>
            <w:hideMark/>
          </w:tcPr>
          <w:p w14:paraId="09A6FE7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9.0%</w:t>
            </w:r>
          </w:p>
        </w:tc>
        <w:tc>
          <w:tcPr>
            <w:tcW w:w="720" w:type="dxa"/>
            <w:shd w:val="clear" w:color="000000" w:fill="C4D79B"/>
            <w:noWrap/>
            <w:vAlign w:val="bottom"/>
            <w:hideMark/>
          </w:tcPr>
          <w:p w14:paraId="667CDF6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4.9%</w:t>
            </w:r>
          </w:p>
        </w:tc>
      </w:tr>
      <w:tr w:rsidR="000E0D6B" w:rsidRPr="000E0D6B" w14:paraId="56075657" w14:textId="77777777" w:rsidTr="005E212C">
        <w:trPr>
          <w:trHeight w:val="144"/>
        </w:trPr>
        <w:tc>
          <w:tcPr>
            <w:tcW w:w="1440" w:type="dxa"/>
            <w:shd w:val="clear" w:color="auto" w:fill="auto"/>
            <w:noWrap/>
            <w:vAlign w:val="bottom"/>
            <w:hideMark/>
          </w:tcPr>
          <w:p w14:paraId="43CFB79B"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2020</w:t>
            </w:r>
          </w:p>
        </w:tc>
        <w:tc>
          <w:tcPr>
            <w:tcW w:w="657" w:type="dxa"/>
            <w:shd w:val="clear" w:color="auto" w:fill="C4D79B"/>
            <w:noWrap/>
            <w:vAlign w:val="bottom"/>
            <w:hideMark/>
          </w:tcPr>
          <w:p w14:paraId="12C38A5B"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1.4%</w:t>
            </w:r>
          </w:p>
        </w:tc>
        <w:tc>
          <w:tcPr>
            <w:tcW w:w="657" w:type="dxa"/>
            <w:shd w:val="clear" w:color="000000" w:fill="E6B8B7"/>
            <w:noWrap/>
            <w:vAlign w:val="bottom"/>
            <w:hideMark/>
          </w:tcPr>
          <w:p w14:paraId="729F7EC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-2.8%</w:t>
            </w:r>
          </w:p>
        </w:tc>
        <w:tc>
          <w:tcPr>
            <w:tcW w:w="714" w:type="dxa"/>
            <w:shd w:val="clear" w:color="000000" w:fill="76933C"/>
            <w:noWrap/>
            <w:vAlign w:val="bottom"/>
            <w:hideMark/>
          </w:tcPr>
          <w:p w14:paraId="6BCE86B4"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13.6%</w:t>
            </w:r>
          </w:p>
        </w:tc>
        <w:tc>
          <w:tcPr>
            <w:tcW w:w="657" w:type="dxa"/>
            <w:shd w:val="clear" w:color="000000" w:fill="D8E4BC"/>
            <w:noWrap/>
            <w:vAlign w:val="bottom"/>
            <w:hideMark/>
          </w:tcPr>
          <w:p w14:paraId="6D12AA7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4.4%</w:t>
            </w:r>
          </w:p>
        </w:tc>
        <w:tc>
          <w:tcPr>
            <w:tcW w:w="657" w:type="dxa"/>
            <w:shd w:val="clear" w:color="000000" w:fill="C4D79B"/>
            <w:noWrap/>
            <w:vAlign w:val="bottom"/>
            <w:hideMark/>
          </w:tcPr>
          <w:p w14:paraId="00217F0E"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0.9%</w:t>
            </w:r>
          </w:p>
        </w:tc>
        <w:tc>
          <w:tcPr>
            <w:tcW w:w="657" w:type="dxa"/>
            <w:shd w:val="clear" w:color="000000" w:fill="DA9694"/>
            <w:noWrap/>
            <w:vAlign w:val="bottom"/>
            <w:hideMark/>
          </w:tcPr>
          <w:p w14:paraId="2013F30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-7.7%</w:t>
            </w:r>
          </w:p>
        </w:tc>
        <w:tc>
          <w:tcPr>
            <w:tcW w:w="657" w:type="dxa"/>
            <w:shd w:val="clear" w:color="000000" w:fill="DA9694"/>
            <w:noWrap/>
            <w:vAlign w:val="bottom"/>
            <w:hideMark/>
          </w:tcPr>
          <w:p w14:paraId="385E730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-4.7%</w:t>
            </w:r>
          </w:p>
        </w:tc>
        <w:tc>
          <w:tcPr>
            <w:tcW w:w="657" w:type="dxa"/>
            <w:shd w:val="clear" w:color="000000" w:fill="E6B8B7"/>
            <w:noWrap/>
            <w:vAlign w:val="bottom"/>
            <w:hideMark/>
          </w:tcPr>
          <w:p w14:paraId="1A700A4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-2.3%</w:t>
            </w:r>
          </w:p>
        </w:tc>
        <w:tc>
          <w:tcPr>
            <w:tcW w:w="657" w:type="dxa"/>
            <w:shd w:val="clear" w:color="000000" w:fill="F2DCDB"/>
            <w:noWrap/>
            <w:vAlign w:val="bottom"/>
            <w:hideMark/>
          </w:tcPr>
          <w:p w14:paraId="5747B9E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-0.2%</w:t>
            </w:r>
          </w:p>
        </w:tc>
        <w:tc>
          <w:tcPr>
            <w:tcW w:w="720" w:type="dxa"/>
            <w:shd w:val="clear" w:color="000000" w:fill="EBF1DE"/>
            <w:noWrap/>
            <w:vAlign w:val="bottom"/>
            <w:hideMark/>
          </w:tcPr>
          <w:p w14:paraId="75B3F13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0.5%</w:t>
            </w:r>
          </w:p>
        </w:tc>
        <w:tc>
          <w:tcPr>
            <w:tcW w:w="720" w:type="dxa"/>
            <w:shd w:val="clear" w:color="000000" w:fill="EBF1DE"/>
            <w:noWrap/>
            <w:vAlign w:val="bottom"/>
            <w:hideMark/>
          </w:tcPr>
          <w:p w14:paraId="133AA9F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0.2%</w:t>
            </w:r>
          </w:p>
        </w:tc>
        <w:tc>
          <w:tcPr>
            <w:tcW w:w="720" w:type="dxa"/>
            <w:shd w:val="clear" w:color="000000" w:fill="C4D79B"/>
            <w:noWrap/>
            <w:vAlign w:val="bottom"/>
            <w:hideMark/>
          </w:tcPr>
          <w:p w14:paraId="4C967B4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6.1%</w:t>
            </w:r>
          </w:p>
        </w:tc>
        <w:tc>
          <w:tcPr>
            <w:tcW w:w="720" w:type="dxa"/>
            <w:shd w:val="clear" w:color="000000" w:fill="C4D79B"/>
            <w:noWrap/>
            <w:vAlign w:val="bottom"/>
            <w:hideMark/>
          </w:tcPr>
          <w:p w14:paraId="440384B8"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4.6%</w:t>
            </w:r>
          </w:p>
        </w:tc>
      </w:tr>
      <w:tr w:rsidR="000E0D6B" w:rsidRPr="000E0D6B" w14:paraId="273BB044" w14:textId="77777777" w:rsidTr="000E0D6B">
        <w:trPr>
          <w:trHeight w:val="144"/>
        </w:trPr>
        <w:tc>
          <w:tcPr>
            <w:tcW w:w="1440" w:type="dxa"/>
            <w:shd w:val="clear" w:color="auto" w:fill="auto"/>
            <w:noWrap/>
            <w:vAlign w:val="bottom"/>
            <w:hideMark/>
          </w:tcPr>
          <w:p w14:paraId="72883D17"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2021</w:t>
            </w:r>
          </w:p>
        </w:tc>
        <w:tc>
          <w:tcPr>
            <w:tcW w:w="657" w:type="dxa"/>
            <w:shd w:val="clear" w:color="000000" w:fill="C4D79B"/>
            <w:noWrap/>
            <w:vAlign w:val="bottom"/>
            <w:hideMark/>
          </w:tcPr>
          <w:p w14:paraId="6F9C945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2.5%</w:t>
            </w:r>
          </w:p>
        </w:tc>
        <w:tc>
          <w:tcPr>
            <w:tcW w:w="657" w:type="dxa"/>
            <w:shd w:val="clear" w:color="000000" w:fill="DA9694"/>
            <w:noWrap/>
            <w:vAlign w:val="bottom"/>
            <w:hideMark/>
          </w:tcPr>
          <w:p w14:paraId="64F49B1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-4.6%</w:t>
            </w:r>
          </w:p>
        </w:tc>
        <w:tc>
          <w:tcPr>
            <w:tcW w:w="714" w:type="dxa"/>
            <w:shd w:val="clear" w:color="000000" w:fill="DA9694"/>
            <w:noWrap/>
            <w:vAlign w:val="bottom"/>
            <w:hideMark/>
          </w:tcPr>
          <w:p w14:paraId="16EF6D9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-5.1%</w:t>
            </w:r>
          </w:p>
        </w:tc>
        <w:tc>
          <w:tcPr>
            <w:tcW w:w="657" w:type="dxa"/>
            <w:shd w:val="clear" w:color="000000" w:fill="E6B8B7"/>
            <w:noWrap/>
            <w:vAlign w:val="bottom"/>
            <w:hideMark/>
          </w:tcPr>
          <w:p w14:paraId="7A4C33B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-1.3%</w:t>
            </w:r>
          </w:p>
        </w:tc>
        <w:tc>
          <w:tcPr>
            <w:tcW w:w="657" w:type="dxa"/>
            <w:shd w:val="clear" w:color="000000" w:fill="DA9694"/>
            <w:noWrap/>
            <w:vAlign w:val="bottom"/>
            <w:hideMark/>
          </w:tcPr>
          <w:p w14:paraId="5867CE1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-4.6%</w:t>
            </w:r>
          </w:p>
        </w:tc>
        <w:tc>
          <w:tcPr>
            <w:tcW w:w="657" w:type="dxa"/>
            <w:shd w:val="clear" w:color="000000" w:fill="E6B8B7"/>
            <w:noWrap/>
            <w:vAlign w:val="bottom"/>
            <w:hideMark/>
          </w:tcPr>
          <w:p w14:paraId="215B0D0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-2.7%</w:t>
            </w:r>
          </w:p>
        </w:tc>
        <w:tc>
          <w:tcPr>
            <w:tcW w:w="657" w:type="dxa"/>
            <w:shd w:val="clear" w:color="000000" w:fill="DA9694"/>
            <w:noWrap/>
            <w:vAlign w:val="bottom"/>
            <w:hideMark/>
          </w:tcPr>
          <w:p w14:paraId="3D0F548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-4.8%</w:t>
            </w:r>
          </w:p>
        </w:tc>
        <w:tc>
          <w:tcPr>
            <w:tcW w:w="657" w:type="dxa"/>
            <w:shd w:val="clear" w:color="000000" w:fill="E6B8B7"/>
            <w:noWrap/>
            <w:vAlign w:val="bottom"/>
            <w:hideMark/>
          </w:tcPr>
          <w:p w14:paraId="102AA57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-2.4%</w:t>
            </w:r>
          </w:p>
        </w:tc>
        <w:tc>
          <w:tcPr>
            <w:tcW w:w="657" w:type="dxa"/>
            <w:shd w:val="clear" w:color="000000" w:fill="C4D79B"/>
            <w:noWrap/>
            <w:vAlign w:val="bottom"/>
            <w:hideMark/>
          </w:tcPr>
          <w:p w14:paraId="4F1AD20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2.6%</w:t>
            </w:r>
          </w:p>
        </w:tc>
        <w:tc>
          <w:tcPr>
            <w:tcW w:w="720" w:type="dxa"/>
            <w:shd w:val="clear" w:color="000000" w:fill="F2DCDB"/>
            <w:noWrap/>
            <w:vAlign w:val="bottom"/>
            <w:hideMark/>
          </w:tcPr>
          <w:p w14:paraId="52F8EDF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-0.1%</w:t>
            </w:r>
          </w:p>
        </w:tc>
        <w:tc>
          <w:tcPr>
            <w:tcW w:w="720" w:type="dxa"/>
            <w:shd w:val="clear" w:color="000000" w:fill="EBF1DE"/>
            <w:noWrap/>
            <w:vAlign w:val="bottom"/>
            <w:hideMark/>
          </w:tcPr>
          <w:p w14:paraId="32CD6A15"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0.2%</w:t>
            </w:r>
          </w:p>
        </w:tc>
        <w:tc>
          <w:tcPr>
            <w:tcW w:w="720" w:type="dxa"/>
            <w:shd w:val="clear" w:color="000000" w:fill="C4D79B"/>
            <w:noWrap/>
            <w:vAlign w:val="bottom"/>
            <w:hideMark/>
          </w:tcPr>
          <w:p w14:paraId="0D6B633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7.3%</w:t>
            </w:r>
          </w:p>
        </w:tc>
        <w:tc>
          <w:tcPr>
            <w:tcW w:w="720" w:type="dxa"/>
            <w:shd w:val="clear" w:color="000000" w:fill="C4D79B"/>
            <w:noWrap/>
            <w:vAlign w:val="bottom"/>
            <w:hideMark/>
          </w:tcPr>
          <w:p w14:paraId="6BC95E8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3.3%</w:t>
            </w:r>
          </w:p>
        </w:tc>
      </w:tr>
      <w:tr w:rsidR="000E0D6B" w:rsidRPr="000E0D6B" w14:paraId="40AFE043" w14:textId="77777777" w:rsidTr="0003642F">
        <w:trPr>
          <w:trHeight w:val="144"/>
        </w:trPr>
        <w:tc>
          <w:tcPr>
            <w:tcW w:w="1440" w:type="dxa"/>
            <w:shd w:val="clear" w:color="auto" w:fill="auto"/>
            <w:noWrap/>
            <w:vAlign w:val="bottom"/>
            <w:hideMark/>
          </w:tcPr>
          <w:p w14:paraId="37E5F11A"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2022</w:t>
            </w:r>
          </w:p>
        </w:tc>
        <w:tc>
          <w:tcPr>
            <w:tcW w:w="657" w:type="dxa"/>
            <w:shd w:val="clear" w:color="000000" w:fill="C4D79B"/>
            <w:noWrap/>
            <w:vAlign w:val="bottom"/>
            <w:hideMark/>
          </w:tcPr>
          <w:p w14:paraId="0B5F487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2.5%</w:t>
            </w:r>
          </w:p>
        </w:tc>
        <w:tc>
          <w:tcPr>
            <w:tcW w:w="657" w:type="dxa"/>
            <w:shd w:val="clear" w:color="000000" w:fill="DA9694"/>
            <w:noWrap/>
            <w:vAlign w:val="bottom"/>
            <w:hideMark/>
          </w:tcPr>
          <w:p w14:paraId="616BC4C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-5.2%</w:t>
            </w:r>
          </w:p>
        </w:tc>
        <w:tc>
          <w:tcPr>
            <w:tcW w:w="714" w:type="dxa"/>
            <w:shd w:val="clear" w:color="000000" w:fill="E6B8B7"/>
            <w:noWrap/>
            <w:vAlign w:val="bottom"/>
            <w:hideMark/>
          </w:tcPr>
          <w:p w14:paraId="7E693EC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-2.3%</w:t>
            </w:r>
          </w:p>
        </w:tc>
        <w:tc>
          <w:tcPr>
            <w:tcW w:w="657" w:type="dxa"/>
            <w:shd w:val="clear" w:color="000000" w:fill="DA9694"/>
            <w:noWrap/>
            <w:vAlign w:val="bottom"/>
            <w:hideMark/>
          </w:tcPr>
          <w:p w14:paraId="2699C6B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-3.9%</w:t>
            </w:r>
          </w:p>
        </w:tc>
        <w:tc>
          <w:tcPr>
            <w:tcW w:w="657" w:type="dxa"/>
            <w:shd w:val="clear" w:color="000000" w:fill="DA9694"/>
            <w:noWrap/>
            <w:vAlign w:val="bottom"/>
            <w:hideMark/>
          </w:tcPr>
          <w:p w14:paraId="74680D8C"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-3.2%</w:t>
            </w:r>
          </w:p>
        </w:tc>
        <w:tc>
          <w:tcPr>
            <w:tcW w:w="657" w:type="dxa"/>
            <w:shd w:val="clear" w:color="000000" w:fill="DA9694"/>
            <w:noWrap/>
            <w:vAlign w:val="bottom"/>
            <w:hideMark/>
          </w:tcPr>
          <w:p w14:paraId="56DCBC3A"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-4.2%</w:t>
            </w:r>
          </w:p>
        </w:tc>
        <w:tc>
          <w:tcPr>
            <w:tcW w:w="657" w:type="dxa"/>
            <w:shd w:val="clear" w:color="000000" w:fill="E6B8B7"/>
            <w:noWrap/>
            <w:vAlign w:val="bottom"/>
            <w:hideMark/>
          </w:tcPr>
          <w:p w14:paraId="6D2DED6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-2.7%</w:t>
            </w:r>
          </w:p>
        </w:tc>
        <w:tc>
          <w:tcPr>
            <w:tcW w:w="657" w:type="dxa"/>
            <w:shd w:val="clear" w:color="000000" w:fill="E6B8B7"/>
            <w:noWrap/>
            <w:vAlign w:val="bottom"/>
            <w:hideMark/>
          </w:tcPr>
          <w:p w14:paraId="15F8D38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-2.0%</w:t>
            </w:r>
          </w:p>
        </w:tc>
        <w:tc>
          <w:tcPr>
            <w:tcW w:w="657" w:type="dxa"/>
            <w:shd w:val="clear" w:color="000000" w:fill="D8E4BC"/>
            <w:noWrap/>
            <w:vAlign w:val="bottom"/>
            <w:hideMark/>
          </w:tcPr>
          <w:p w14:paraId="05D7662B"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1.2%</w:t>
            </w:r>
          </w:p>
        </w:tc>
        <w:tc>
          <w:tcPr>
            <w:tcW w:w="720" w:type="dxa"/>
            <w:shd w:val="clear" w:color="000000" w:fill="D8E4BC"/>
            <w:noWrap/>
            <w:vAlign w:val="bottom"/>
            <w:hideMark/>
          </w:tcPr>
          <w:p w14:paraId="337732B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1.2%</w:t>
            </w:r>
          </w:p>
        </w:tc>
        <w:tc>
          <w:tcPr>
            <w:tcW w:w="720" w:type="dxa"/>
            <w:shd w:val="clear" w:color="000000" w:fill="C4D79B"/>
            <w:noWrap/>
            <w:vAlign w:val="bottom"/>
            <w:hideMark/>
          </w:tcPr>
          <w:p w14:paraId="7EE1B86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3.2%</w:t>
            </w:r>
          </w:p>
        </w:tc>
        <w:tc>
          <w:tcPr>
            <w:tcW w:w="720" w:type="dxa"/>
            <w:shd w:val="clear" w:color="000000" w:fill="C4D79B"/>
            <w:noWrap/>
            <w:vAlign w:val="bottom"/>
            <w:hideMark/>
          </w:tcPr>
          <w:p w14:paraId="346C0F0D"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7.9%</w:t>
            </w:r>
          </w:p>
        </w:tc>
        <w:tc>
          <w:tcPr>
            <w:tcW w:w="720" w:type="dxa"/>
            <w:shd w:val="clear" w:color="auto" w:fill="D8E4BC"/>
            <w:noWrap/>
            <w:vAlign w:val="bottom"/>
            <w:hideMark/>
          </w:tcPr>
          <w:p w14:paraId="308A3213"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2.5%</w:t>
            </w:r>
          </w:p>
        </w:tc>
      </w:tr>
      <w:tr w:rsidR="000E0D6B" w:rsidRPr="000E0D6B" w14:paraId="7F8D09D9" w14:textId="77777777" w:rsidTr="0003642F">
        <w:trPr>
          <w:trHeight w:val="144"/>
        </w:trPr>
        <w:tc>
          <w:tcPr>
            <w:tcW w:w="1440" w:type="dxa"/>
            <w:shd w:val="clear" w:color="auto" w:fill="auto"/>
            <w:noWrap/>
            <w:vAlign w:val="bottom"/>
            <w:hideMark/>
          </w:tcPr>
          <w:p w14:paraId="363B509E" w14:textId="77777777" w:rsidR="000E0D6B" w:rsidRPr="000E0D6B" w:rsidRDefault="000E0D6B" w:rsidP="000E0D6B">
            <w:pPr>
              <w:spacing w:after="0" w:line="240" w:lineRule="auto"/>
              <w:rPr>
                <w:rFonts w:eastAsia="Times New Roman" w:cstheme="minorHAnsi"/>
                <w:sz w:val="18"/>
                <w:szCs w:val="18"/>
              </w:rPr>
            </w:pPr>
            <w:r w:rsidRPr="000E0D6B">
              <w:rPr>
                <w:rFonts w:eastAsia="Times New Roman" w:cstheme="minorHAnsi"/>
                <w:sz w:val="18"/>
                <w:szCs w:val="18"/>
              </w:rPr>
              <w:t>2023</w:t>
            </w:r>
          </w:p>
        </w:tc>
        <w:tc>
          <w:tcPr>
            <w:tcW w:w="657" w:type="dxa"/>
            <w:shd w:val="clear" w:color="000000" w:fill="EBF1DE"/>
            <w:noWrap/>
            <w:vAlign w:val="bottom"/>
            <w:hideMark/>
          </w:tcPr>
          <w:p w14:paraId="1C9094EB"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0.5%</w:t>
            </w:r>
          </w:p>
        </w:tc>
        <w:tc>
          <w:tcPr>
            <w:tcW w:w="657" w:type="dxa"/>
            <w:shd w:val="clear" w:color="000000" w:fill="DA9694"/>
            <w:noWrap/>
            <w:vAlign w:val="bottom"/>
            <w:hideMark/>
          </w:tcPr>
          <w:p w14:paraId="71ADB4D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-4.2%</w:t>
            </w:r>
          </w:p>
        </w:tc>
        <w:tc>
          <w:tcPr>
            <w:tcW w:w="714" w:type="dxa"/>
            <w:shd w:val="clear" w:color="000000" w:fill="E6B8B7"/>
            <w:noWrap/>
            <w:vAlign w:val="bottom"/>
            <w:hideMark/>
          </w:tcPr>
          <w:p w14:paraId="2FFF8229"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-1.2%</w:t>
            </w:r>
          </w:p>
        </w:tc>
        <w:tc>
          <w:tcPr>
            <w:tcW w:w="657" w:type="dxa"/>
            <w:shd w:val="clear" w:color="000000" w:fill="E6B8B7"/>
            <w:noWrap/>
            <w:vAlign w:val="bottom"/>
            <w:hideMark/>
          </w:tcPr>
          <w:p w14:paraId="783121A7"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-2.2%</w:t>
            </w:r>
          </w:p>
        </w:tc>
        <w:tc>
          <w:tcPr>
            <w:tcW w:w="657" w:type="dxa"/>
            <w:shd w:val="clear" w:color="000000" w:fill="E6B8B7"/>
            <w:noWrap/>
            <w:vAlign w:val="bottom"/>
            <w:hideMark/>
          </w:tcPr>
          <w:p w14:paraId="0FE4FDCE"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-2.2%</w:t>
            </w:r>
          </w:p>
        </w:tc>
        <w:tc>
          <w:tcPr>
            <w:tcW w:w="657" w:type="dxa"/>
            <w:shd w:val="clear" w:color="000000" w:fill="DA9694"/>
            <w:noWrap/>
            <w:vAlign w:val="bottom"/>
            <w:hideMark/>
          </w:tcPr>
          <w:p w14:paraId="5EE97E4F"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-4.3%</w:t>
            </w:r>
          </w:p>
        </w:tc>
        <w:tc>
          <w:tcPr>
            <w:tcW w:w="657" w:type="dxa"/>
            <w:shd w:val="clear" w:color="000000" w:fill="E6B8B7"/>
            <w:noWrap/>
            <w:vAlign w:val="bottom"/>
            <w:hideMark/>
          </w:tcPr>
          <w:p w14:paraId="3E9F7890"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-2.8%</w:t>
            </w:r>
          </w:p>
        </w:tc>
        <w:tc>
          <w:tcPr>
            <w:tcW w:w="657" w:type="dxa"/>
            <w:shd w:val="clear" w:color="000000" w:fill="E6B8B7"/>
            <w:noWrap/>
            <w:vAlign w:val="bottom"/>
            <w:hideMark/>
          </w:tcPr>
          <w:p w14:paraId="06E0FA51"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-2.7%</w:t>
            </w:r>
          </w:p>
        </w:tc>
        <w:tc>
          <w:tcPr>
            <w:tcW w:w="657" w:type="dxa"/>
            <w:shd w:val="clear" w:color="000000" w:fill="EBF1DE"/>
            <w:noWrap/>
            <w:vAlign w:val="bottom"/>
            <w:hideMark/>
          </w:tcPr>
          <w:p w14:paraId="7FEFAC45"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0.3%</w:t>
            </w:r>
          </w:p>
        </w:tc>
        <w:tc>
          <w:tcPr>
            <w:tcW w:w="720" w:type="dxa"/>
            <w:shd w:val="clear" w:color="000000" w:fill="D8E4BC"/>
            <w:noWrap/>
            <w:vAlign w:val="bottom"/>
            <w:hideMark/>
          </w:tcPr>
          <w:p w14:paraId="28B0D1C6" w14:textId="77777777" w:rsidR="000E0D6B" w:rsidRPr="000E0D6B" w:rsidRDefault="000E0D6B" w:rsidP="000E0D6B">
            <w:pPr>
              <w:spacing w:after="0" w:line="240" w:lineRule="auto"/>
              <w:jc w:val="right"/>
              <w:rPr>
                <w:rFonts w:eastAsia="Times New Roman" w:cstheme="minorHAnsi"/>
                <w:sz w:val="18"/>
                <w:szCs w:val="18"/>
              </w:rPr>
            </w:pPr>
            <w:r w:rsidRPr="000E0D6B">
              <w:rPr>
                <w:rFonts w:eastAsia="Times New Roman" w:cstheme="minorHAnsi"/>
                <w:sz w:val="18"/>
                <w:szCs w:val="18"/>
              </w:rPr>
              <w:t>2.3%</w:t>
            </w:r>
          </w:p>
        </w:tc>
        <w:tc>
          <w:tcPr>
            <w:tcW w:w="720" w:type="dxa"/>
            <w:shd w:val="clear" w:color="auto" w:fill="D8E4BC"/>
            <w:noWrap/>
            <w:vAlign w:val="bottom"/>
            <w:hideMark/>
          </w:tcPr>
          <w:p w14:paraId="226C5267" w14:textId="2F3BE56C" w:rsidR="000E0D6B" w:rsidRPr="000E0D6B" w:rsidRDefault="000E0D6B" w:rsidP="00EF20EE">
            <w:pPr>
              <w:spacing w:after="0" w:line="240" w:lineRule="auto"/>
              <w:jc w:val="right"/>
              <w:rPr>
                <w:rFonts w:eastAsia="Times New Roman" w:cstheme="minorHAnsi"/>
                <w:sz w:val="18"/>
                <w:szCs w:val="18"/>
              </w:rPr>
            </w:pPr>
            <w:r w:rsidRPr="000E0D6B">
              <w:rPr>
                <w:rFonts w:eastAsia="Times New Roman" w:cstheme="minorHAnsi"/>
                <w:sz w:val="18"/>
                <w:szCs w:val="18"/>
              </w:rPr>
              <w:t> </w:t>
            </w:r>
            <w:r w:rsidR="00EF20EE">
              <w:rPr>
                <w:rFonts w:eastAsia="Times New Roman" w:cstheme="minorHAnsi"/>
                <w:sz w:val="18"/>
                <w:szCs w:val="18"/>
              </w:rPr>
              <w:t>1.</w:t>
            </w:r>
            <w:r w:rsidR="005E212C" w:rsidRPr="00A337DE">
              <w:rPr>
                <w:rFonts w:eastAsia="Times New Roman" w:cstheme="minorHAnsi"/>
                <w:sz w:val="18"/>
                <w:szCs w:val="18"/>
                <w:shd w:val="clear" w:color="auto" w:fill="D8E4BC"/>
              </w:rPr>
              <w:t>4</w:t>
            </w:r>
            <w:r w:rsidR="005E212C" w:rsidRPr="005E212C">
              <w:rPr>
                <w:rFonts w:eastAsia="Times New Roman" w:cstheme="minorHAnsi"/>
                <w:sz w:val="18"/>
                <w:szCs w:val="18"/>
              </w:rPr>
              <w:t>%</w:t>
            </w:r>
          </w:p>
        </w:tc>
        <w:tc>
          <w:tcPr>
            <w:tcW w:w="720" w:type="dxa"/>
            <w:shd w:val="clear" w:color="auto" w:fill="CFE0AE"/>
            <w:noWrap/>
            <w:vAlign w:val="bottom"/>
            <w:hideMark/>
          </w:tcPr>
          <w:p w14:paraId="30A1F91C" w14:textId="11647EE7" w:rsidR="000E0D6B" w:rsidRPr="000E0D6B" w:rsidRDefault="000E0D6B" w:rsidP="00264BA7">
            <w:pPr>
              <w:spacing w:after="0" w:line="240" w:lineRule="auto"/>
              <w:jc w:val="right"/>
              <w:rPr>
                <w:rFonts w:eastAsia="Times New Roman" w:cstheme="minorHAnsi"/>
                <w:sz w:val="18"/>
                <w:szCs w:val="18"/>
              </w:rPr>
            </w:pPr>
            <w:r w:rsidRPr="000E0D6B">
              <w:rPr>
                <w:rFonts w:eastAsia="Times New Roman" w:cstheme="minorHAnsi"/>
                <w:sz w:val="18"/>
                <w:szCs w:val="18"/>
              </w:rPr>
              <w:t> </w:t>
            </w:r>
            <w:r w:rsidR="00264BA7">
              <w:rPr>
                <w:rFonts w:eastAsia="Times New Roman" w:cstheme="minorHAnsi"/>
                <w:sz w:val="18"/>
                <w:szCs w:val="18"/>
              </w:rPr>
              <w:t>8.4%</w:t>
            </w:r>
          </w:p>
        </w:tc>
        <w:tc>
          <w:tcPr>
            <w:tcW w:w="720" w:type="dxa"/>
            <w:shd w:val="clear" w:color="auto" w:fill="D8E4BC"/>
            <w:noWrap/>
            <w:vAlign w:val="bottom"/>
            <w:hideMark/>
          </w:tcPr>
          <w:p w14:paraId="50DE69C8" w14:textId="40960A13" w:rsidR="000E0D6B" w:rsidRPr="000E0D6B" w:rsidRDefault="0003642F" w:rsidP="0003642F">
            <w:pPr>
              <w:spacing w:after="0" w:line="240" w:lineRule="auto"/>
              <w:jc w:val="right"/>
              <w:rPr>
                <w:rFonts w:eastAsia="Times New Roman" w:cstheme="minorHAnsi"/>
                <w:sz w:val="18"/>
                <w:szCs w:val="18"/>
              </w:rPr>
            </w:pPr>
            <w:r>
              <w:rPr>
                <w:rFonts w:eastAsia="Times New Roman" w:cstheme="minorHAnsi"/>
                <w:sz w:val="18"/>
                <w:szCs w:val="18"/>
              </w:rPr>
              <w:t>2.3%</w:t>
            </w:r>
          </w:p>
        </w:tc>
      </w:tr>
      <w:tr w:rsidR="00A36245" w:rsidRPr="000E0D6B" w14:paraId="7B47B861" w14:textId="77777777" w:rsidTr="00A36245">
        <w:trPr>
          <w:trHeight w:val="144"/>
        </w:trPr>
        <w:tc>
          <w:tcPr>
            <w:tcW w:w="1440" w:type="dxa"/>
            <w:shd w:val="clear" w:color="auto" w:fill="auto"/>
            <w:noWrap/>
            <w:vAlign w:val="bottom"/>
          </w:tcPr>
          <w:p w14:paraId="1D977EE7" w14:textId="0C851143" w:rsidR="00A36245" w:rsidRPr="000E0D6B" w:rsidRDefault="00A36245" w:rsidP="000E0D6B">
            <w:pPr>
              <w:spacing w:after="0" w:line="240" w:lineRule="auto"/>
              <w:rPr>
                <w:rFonts w:eastAsia="Times New Roman" w:cstheme="minorHAnsi"/>
                <w:sz w:val="18"/>
                <w:szCs w:val="18"/>
              </w:rPr>
            </w:pPr>
            <w:r>
              <w:rPr>
                <w:rFonts w:eastAsia="Times New Roman" w:cstheme="minorHAnsi"/>
                <w:sz w:val="18"/>
                <w:szCs w:val="18"/>
              </w:rPr>
              <w:t>2024</w:t>
            </w:r>
          </w:p>
        </w:tc>
        <w:tc>
          <w:tcPr>
            <w:tcW w:w="657" w:type="dxa"/>
            <w:shd w:val="clear" w:color="000000" w:fill="EBF1DE"/>
            <w:noWrap/>
            <w:vAlign w:val="bottom"/>
          </w:tcPr>
          <w:p w14:paraId="57EC2CD2" w14:textId="5CED7EE9" w:rsidR="00A36245" w:rsidRPr="000E0D6B" w:rsidRDefault="00DF1F77" w:rsidP="000E0D6B">
            <w:pPr>
              <w:spacing w:after="0" w:line="240" w:lineRule="auto"/>
              <w:jc w:val="right"/>
              <w:rPr>
                <w:rFonts w:eastAsia="Times New Roman" w:cstheme="minorHAnsi"/>
                <w:sz w:val="18"/>
                <w:szCs w:val="18"/>
              </w:rPr>
            </w:pPr>
            <w:r>
              <w:rPr>
                <w:rFonts w:eastAsia="Times New Roman" w:cstheme="minorHAnsi"/>
                <w:sz w:val="18"/>
                <w:szCs w:val="18"/>
              </w:rPr>
              <w:t>0.5%</w:t>
            </w:r>
          </w:p>
        </w:tc>
        <w:tc>
          <w:tcPr>
            <w:tcW w:w="657" w:type="dxa"/>
            <w:shd w:val="clear" w:color="auto" w:fill="auto"/>
            <w:noWrap/>
            <w:vAlign w:val="bottom"/>
          </w:tcPr>
          <w:p w14:paraId="1A806A61" w14:textId="77777777" w:rsidR="00A36245" w:rsidRPr="000E0D6B" w:rsidRDefault="00A36245" w:rsidP="000E0D6B">
            <w:pPr>
              <w:spacing w:after="0" w:line="240" w:lineRule="auto"/>
              <w:jc w:val="right"/>
              <w:rPr>
                <w:rFonts w:eastAsia="Times New Roman" w:cstheme="minorHAnsi"/>
                <w:sz w:val="18"/>
                <w:szCs w:val="18"/>
              </w:rPr>
            </w:pPr>
          </w:p>
        </w:tc>
        <w:tc>
          <w:tcPr>
            <w:tcW w:w="714" w:type="dxa"/>
            <w:shd w:val="clear" w:color="auto" w:fill="auto"/>
            <w:noWrap/>
            <w:vAlign w:val="bottom"/>
          </w:tcPr>
          <w:p w14:paraId="4B7DC8E7" w14:textId="77777777" w:rsidR="00A36245" w:rsidRPr="000E0D6B" w:rsidRDefault="00A36245" w:rsidP="000E0D6B">
            <w:pPr>
              <w:spacing w:after="0" w:line="240" w:lineRule="auto"/>
              <w:jc w:val="right"/>
              <w:rPr>
                <w:rFonts w:eastAsia="Times New Roman" w:cstheme="minorHAnsi"/>
                <w:sz w:val="18"/>
                <w:szCs w:val="18"/>
              </w:rPr>
            </w:pPr>
          </w:p>
        </w:tc>
        <w:tc>
          <w:tcPr>
            <w:tcW w:w="657" w:type="dxa"/>
            <w:shd w:val="clear" w:color="auto" w:fill="auto"/>
            <w:noWrap/>
            <w:vAlign w:val="bottom"/>
          </w:tcPr>
          <w:p w14:paraId="33913291" w14:textId="77777777" w:rsidR="00A36245" w:rsidRPr="000E0D6B" w:rsidRDefault="00A36245" w:rsidP="000E0D6B">
            <w:pPr>
              <w:spacing w:after="0" w:line="240" w:lineRule="auto"/>
              <w:jc w:val="right"/>
              <w:rPr>
                <w:rFonts w:eastAsia="Times New Roman" w:cstheme="minorHAnsi"/>
                <w:sz w:val="18"/>
                <w:szCs w:val="18"/>
              </w:rPr>
            </w:pPr>
          </w:p>
        </w:tc>
        <w:tc>
          <w:tcPr>
            <w:tcW w:w="657" w:type="dxa"/>
            <w:shd w:val="clear" w:color="auto" w:fill="auto"/>
            <w:noWrap/>
            <w:vAlign w:val="bottom"/>
          </w:tcPr>
          <w:p w14:paraId="644DA6B0" w14:textId="77777777" w:rsidR="00A36245" w:rsidRPr="000E0D6B" w:rsidRDefault="00A36245" w:rsidP="000E0D6B">
            <w:pPr>
              <w:spacing w:after="0" w:line="240" w:lineRule="auto"/>
              <w:jc w:val="right"/>
              <w:rPr>
                <w:rFonts w:eastAsia="Times New Roman" w:cstheme="minorHAnsi"/>
                <w:sz w:val="18"/>
                <w:szCs w:val="18"/>
              </w:rPr>
            </w:pPr>
          </w:p>
        </w:tc>
        <w:tc>
          <w:tcPr>
            <w:tcW w:w="657" w:type="dxa"/>
            <w:shd w:val="clear" w:color="auto" w:fill="auto"/>
            <w:noWrap/>
            <w:vAlign w:val="bottom"/>
          </w:tcPr>
          <w:p w14:paraId="120088C1" w14:textId="77777777" w:rsidR="00A36245" w:rsidRPr="000E0D6B" w:rsidRDefault="00A36245" w:rsidP="000E0D6B">
            <w:pPr>
              <w:spacing w:after="0" w:line="240" w:lineRule="auto"/>
              <w:jc w:val="right"/>
              <w:rPr>
                <w:rFonts w:eastAsia="Times New Roman" w:cstheme="minorHAnsi"/>
                <w:sz w:val="18"/>
                <w:szCs w:val="18"/>
              </w:rPr>
            </w:pPr>
          </w:p>
        </w:tc>
        <w:tc>
          <w:tcPr>
            <w:tcW w:w="657" w:type="dxa"/>
            <w:shd w:val="clear" w:color="auto" w:fill="auto"/>
            <w:noWrap/>
            <w:vAlign w:val="bottom"/>
          </w:tcPr>
          <w:p w14:paraId="398B0D49" w14:textId="77777777" w:rsidR="00A36245" w:rsidRPr="000E0D6B" w:rsidRDefault="00A36245" w:rsidP="000E0D6B">
            <w:pPr>
              <w:spacing w:after="0" w:line="240" w:lineRule="auto"/>
              <w:jc w:val="right"/>
              <w:rPr>
                <w:rFonts w:eastAsia="Times New Roman" w:cstheme="minorHAnsi"/>
                <w:sz w:val="18"/>
                <w:szCs w:val="18"/>
              </w:rPr>
            </w:pPr>
          </w:p>
        </w:tc>
        <w:tc>
          <w:tcPr>
            <w:tcW w:w="657" w:type="dxa"/>
            <w:shd w:val="clear" w:color="auto" w:fill="auto"/>
            <w:noWrap/>
            <w:vAlign w:val="bottom"/>
          </w:tcPr>
          <w:p w14:paraId="268973B3" w14:textId="77777777" w:rsidR="00A36245" w:rsidRPr="000E0D6B" w:rsidRDefault="00A36245" w:rsidP="000E0D6B">
            <w:pPr>
              <w:spacing w:after="0" w:line="240" w:lineRule="auto"/>
              <w:jc w:val="right"/>
              <w:rPr>
                <w:rFonts w:eastAsia="Times New Roman" w:cstheme="minorHAnsi"/>
                <w:sz w:val="18"/>
                <w:szCs w:val="18"/>
              </w:rPr>
            </w:pPr>
          </w:p>
        </w:tc>
        <w:tc>
          <w:tcPr>
            <w:tcW w:w="657" w:type="dxa"/>
            <w:shd w:val="clear" w:color="auto" w:fill="auto"/>
            <w:noWrap/>
            <w:vAlign w:val="bottom"/>
          </w:tcPr>
          <w:p w14:paraId="02286D20" w14:textId="77777777" w:rsidR="00A36245" w:rsidRPr="000E0D6B" w:rsidRDefault="00A36245" w:rsidP="000E0D6B">
            <w:pPr>
              <w:spacing w:after="0" w:line="240" w:lineRule="auto"/>
              <w:jc w:val="right"/>
              <w:rPr>
                <w:rFonts w:eastAsia="Times New Roman" w:cstheme="minorHAnsi"/>
                <w:sz w:val="18"/>
                <w:szCs w:val="18"/>
              </w:rPr>
            </w:pPr>
          </w:p>
        </w:tc>
        <w:tc>
          <w:tcPr>
            <w:tcW w:w="720" w:type="dxa"/>
            <w:shd w:val="clear" w:color="auto" w:fill="auto"/>
            <w:noWrap/>
            <w:vAlign w:val="bottom"/>
          </w:tcPr>
          <w:p w14:paraId="63EF28F5" w14:textId="77777777" w:rsidR="00A36245" w:rsidRPr="000E0D6B" w:rsidRDefault="00A36245" w:rsidP="000E0D6B">
            <w:pPr>
              <w:spacing w:after="0" w:line="240" w:lineRule="auto"/>
              <w:jc w:val="right"/>
              <w:rPr>
                <w:rFonts w:eastAsia="Times New Roman" w:cstheme="minorHAnsi"/>
                <w:sz w:val="18"/>
                <w:szCs w:val="18"/>
              </w:rPr>
            </w:pPr>
          </w:p>
        </w:tc>
        <w:tc>
          <w:tcPr>
            <w:tcW w:w="720" w:type="dxa"/>
            <w:shd w:val="clear" w:color="auto" w:fill="auto"/>
            <w:noWrap/>
            <w:vAlign w:val="bottom"/>
          </w:tcPr>
          <w:p w14:paraId="69033205" w14:textId="77777777" w:rsidR="00A36245" w:rsidRPr="000E0D6B" w:rsidRDefault="00A36245" w:rsidP="00EF20EE">
            <w:pPr>
              <w:spacing w:after="0" w:line="240" w:lineRule="auto"/>
              <w:jc w:val="right"/>
              <w:rPr>
                <w:rFonts w:eastAsia="Times New Roman" w:cstheme="minorHAnsi"/>
                <w:sz w:val="18"/>
                <w:szCs w:val="18"/>
              </w:rPr>
            </w:pPr>
          </w:p>
        </w:tc>
        <w:tc>
          <w:tcPr>
            <w:tcW w:w="720" w:type="dxa"/>
            <w:shd w:val="clear" w:color="auto" w:fill="auto"/>
            <w:noWrap/>
            <w:vAlign w:val="bottom"/>
          </w:tcPr>
          <w:p w14:paraId="3AA2D3B1" w14:textId="77777777" w:rsidR="00A36245" w:rsidRPr="000E0D6B" w:rsidRDefault="00A36245" w:rsidP="00264BA7">
            <w:pPr>
              <w:spacing w:after="0" w:line="240" w:lineRule="auto"/>
              <w:jc w:val="right"/>
              <w:rPr>
                <w:rFonts w:eastAsia="Times New Roman" w:cstheme="minorHAnsi"/>
                <w:sz w:val="18"/>
                <w:szCs w:val="18"/>
              </w:rPr>
            </w:pPr>
          </w:p>
        </w:tc>
        <w:tc>
          <w:tcPr>
            <w:tcW w:w="720" w:type="dxa"/>
            <w:shd w:val="clear" w:color="auto" w:fill="auto"/>
            <w:noWrap/>
            <w:vAlign w:val="bottom"/>
          </w:tcPr>
          <w:p w14:paraId="139FFA08" w14:textId="77777777" w:rsidR="00A36245" w:rsidRDefault="00A36245" w:rsidP="0003642F">
            <w:pPr>
              <w:spacing w:after="0" w:line="240" w:lineRule="auto"/>
              <w:jc w:val="right"/>
              <w:rPr>
                <w:rFonts w:eastAsia="Times New Roman" w:cstheme="minorHAnsi"/>
                <w:sz w:val="18"/>
                <w:szCs w:val="18"/>
              </w:rPr>
            </w:pPr>
          </w:p>
        </w:tc>
      </w:tr>
    </w:tbl>
    <w:p w14:paraId="14458122" w14:textId="4B781D92" w:rsidR="000E0D6B" w:rsidRDefault="000E0D6B" w:rsidP="000E0D6B">
      <w:pPr>
        <w:pStyle w:val="NoSpacing"/>
        <w:spacing w:before="120"/>
        <w:rPr>
          <w:color w:val="7F7F7F" w:themeColor="text1" w:themeTint="80"/>
          <w:sz w:val="16"/>
          <w:szCs w:val="16"/>
        </w:rPr>
      </w:pPr>
      <w:r w:rsidRPr="000E0D6B">
        <w:t xml:space="preserve"> </w:t>
      </w:r>
      <w:r w:rsidRPr="00555250">
        <w:rPr>
          <w:color w:val="7F7F7F" w:themeColor="text1" w:themeTint="80"/>
          <w:sz w:val="16"/>
          <w:szCs w:val="16"/>
        </w:rPr>
        <w:t xml:space="preserve">Source: </w:t>
      </w:r>
      <w:proofErr w:type="spellStart"/>
      <w:r>
        <w:rPr>
          <w:color w:val="7F7F7F" w:themeColor="text1" w:themeTint="80"/>
          <w:sz w:val="16"/>
          <w:szCs w:val="16"/>
        </w:rPr>
        <w:t>Circana</w:t>
      </w:r>
      <w:proofErr w:type="spellEnd"/>
      <w:r w:rsidRPr="00555250">
        <w:rPr>
          <w:color w:val="7F7F7F" w:themeColor="text1" w:themeTint="80"/>
          <w:sz w:val="16"/>
          <w:szCs w:val="16"/>
        </w:rPr>
        <w:t xml:space="preserve">, Integrated Fresh, MULO, </w:t>
      </w:r>
      <w:r>
        <w:rPr>
          <w:color w:val="7F7F7F" w:themeColor="text1" w:themeTint="80"/>
          <w:sz w:val="16"/>
          <w:szCs w:val="16"/>
        </w:rPr>
        <w:t>quad weeks 2017-202</w:t>
      </w:r>
      <w:r w:rsidR="00432D1F">
        <w:rPr>
          <w:color w:val="7F7F7F" w:themeColor="text1" w:themeTint="80"/>
          <w:sz w:val="16"/>
          <w:szCs w:val="16"/>
        </w:rPr>
        <w:t>4</w:t>
      </w:r>
    </w:p>
    <w:p w14:paraId="517A6985" w14:textId="77777777" w:rsidR="00F20BAF" w:rsidRPr="000E0D6B" w:rsidRDefault="00F20BAF" w:rsidP="000E0D6B">
      <w:pPr>
        <w:pStyle w:val="NoSpacing"/>
      </w:pPr>
    </w:p>
    <w:p w14:paraId="2A45DBD8" w14:textId="04A1650F" w:rsidR="00666D40" w:rsidRPr="00927EAC" w:rsidRDefault="00666D40" w:rsidP="00927EAC">
      <w:pPr>
        <w:pStyle w:val="Heading2"/>
        <w:rPr>
          <w:b/>
          <w:bCs/>
          <w:color w:val="ED7D31" w:themeColor="accent2"/>
        </w:rPr>
      </w:pPr>
      <w:r w:rsidRPr="00927EAC">
        <w:rPr>
          <w:b/>
          <w:bCs/>
          <w:color w:val="ED7D31" w:themeColor="accent2"/>
        </w:rPr>
        <w:lastRenderedPageBreak/>
        <w:t>Inflation</w:t>
      </w:r>
    </w:p>
    <w:p w14:paraId="4A3C02BB" w14:textId="4FE24298" w:rsidR="00666D40" w:rsidRDefault="006A1766" w:rsidP="00472B02">
      <w:pPr>
        <w:pStyle w:val="NoSpacing"/>
      </w:pPr>
      <w:r>
        <w:t xml:space="preserve">Inflation </w:t>
      </w:r>
      <w:r w:rsidR="0031233D">
        <w:t xml:space="preserve">across total food and beverages is slowing down and </w:t>
      </w:r>
      <w:r>
        <w:t xml:space="preserve">mushrooms are following suit. </w:t>
      </w:r>
      <w:r w:rsidR="00030ABF">
        <w:t>M</w:t>
      </w:r>
      <w:r w:rsidR="000E2A1D">
        <w:t xml:space="preserve">ushroom prices </w:t>
      </w:r>
      <w:r w:rsidR="00C9550B">
        <w:t xml:space="preserve">per unit </w:t>
      </w:r>
      <w:r w:rsidR="004F7487">
        <w:t>inc</w:t>
      </w:r>
      <w:r w:rsidR="00795483">
        <w:t>reased</w:t>
      </w:r>
      <w:r w:rsidR="000E2A1D">
        <w:t xml:space="preserve"> </w:t>
      </w:r>
      <w:r w:rsidR="00A14586">
        <w:t xml:space="preserve">by </w:t>
      </w:r>
      <w:r w:rsidR="009E4486">
        <w:t>1.2</w:t>
      </w:r>
      <w:r w:rsidR="00322039">
        <w:t xml:space="preserve">% versus year ago </w:t>
      </w:r>
      <w:r w:rsidR="000E2A1D">
        <w:t>in the latest quad-week period</w:t>
      </w:r>
      <w:r w:rsidR="00030ABF">
        <w:t xml:space="preserve">. </w:t>
      </w:r>
      <w:r w:rsidR="00B42A49">
        <w:t xml:space="preserve">This is down from </w:t>
      </w:r>
      <w:r w:rsidR="007946B0">
        <w:t>+</w:t>
      </w:r>
      <w:r w:rsidR="009E4486">
        <w:t>1.6</w:t>
      </w:r>
      <w:r w:rsidR="00496964">
        <w:t>%</w:t>
      </w:r>
      <w:r>
        <w:t xml:space="preserve"> in the 52-week view. </w:t>
      </w:r>
      <w:r w:rsidR="000E2A1D">
        <w:t xml:space="preserve"> </w:t>
      </w:r>
    </w:p>
    <w:p w14:paraId="484C35C9" w14:textId="2EB83AFC" w:rsidR="0094219B" w:rsidRDefault="0094219B" w:rsidP="00472B02">
      <w:pPr>
        <w:pStyle w:val="NoSpacing"/>
      </w:pPr>
    </w:p>
    <w:tbl>
      <w:tblPr>
        <w:tblStyle w:val="ListTable3-Accent2"/>
        <w:tblW w:w="10075" w:type="dxa"/>
        <w:tblLook w:val="04A0" w:firstRow="1" w:lastRow="0" w:firstColumn="1" w:lastColumn="0" w:noHBand="0" w:noVBand="1"/>
      </w:tblPr>
      <w:tblGrid>
        <w:gridCol w:w="2875"/>
        <w:gridCol w:w="304"/>
        <w:gridCol w:w="1146"/>
        <w:gridCol w:w="973"/>
        <w:gridCol w:w="909"/>
        <w:gridCol w:w="1776"/>
        <w:gridCol w:w="817"/>
        <w:gridCol w:w="1275"/>
      </w:tblGrid>
      <w:tr w:rsidR="000C3CC4" w:rsidRPr="00124CB7" w14:paraId="6E9D1AEF" w14:textId="162D7E86" w:rsidTr="002F442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875" w:type="dxa"/>
          </w:tcPr>
          <w:p w14:paraId="74759AF7" w14:textId="77777777" w:rsidR="000C3CC4" w:rsidRPr="00124CB7" w:rsidRDefault="000C3CC4" w:rsidP="000C3CC4">
            <w:pPr>
              <w:pStyle w:val="NoSpacing"/>
            </w:pPr>
            <w:r w:rsidRPr="00124CB7">
              <w:t>Fresh mushrooms</w:t>
            </w:r>
          </w:p>
        </w:tc>
        <w:tc>
          <w:tcPr>
            <w:tcW w:w="1450" w:type="dxa"/>
            <w:gridSpan w:val="2"/>
          </w:tcPr>
          <w:p w14:paraId="5EC6EFF0" w14:textId="05894D73" w:rsidR="000C3CC4" w:rsidRPr="00124CB7" w:rsidRDefault="000C3CC4"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xml:space="preserve">. </w:t>
            </w:r>
            <w:r w:rsidR="00A36245">
              <w:t>1/28/2024</w:t>
            </w:r>
          </w:p>
        </w:tc>
        <w:tc>
          <w:tcPr>
            <w:tcW w:w="973" w:type="dxa"/>
          </w:tcPr>
          <w:p w14:paraId="10EFADEC" w14:textId="1DD0A0E2"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2023</w:t>
            </w:r>
          </w:p>
        </w:tc>
        <w:tc>
          <w:tcPr>
            <w:tcW w:w="909" w:type="dxa"/>
            <w:tcBorders>
              <w:right w:val="single" w:sz="4" w:space="0" w:color="ED7D31"/>
            </w:tcBorders>
          </w:tcPr>
          <w:p w14:paraId="55EFE125" w14:textId="55B2EEEC"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2021</w:t>
            </w:r>
          </w:p>
        </w:tc>
        <w:tc>
          <w:tcPr>
            <w:tcW w:w="1776" w:type="dxa"/>
            <w:tcBorders>
              <w:left w:val="single" w:sz="4" w:space="0" w:color="ED7D31"/>
            </w:tcBorders>
          </w:tcPr>
          <w:p w14:paraId="6A5B944C" w14:textId="0EFA4417" w:rsidR="000C3CC4"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w:t>
            </w:r>
            <w:r w:rsidR="000C3CC4">
              <w:t xml:space="preserve"> </w:t>
            </w:r>
            <w:r w:rsidR="00A36245">
              <w:t>1/28/2024</w:t>
            </w:r>
          </w:p>
        </w:tc>
        <w:tc>
          <w:tcPr>
            <w:tcW w:w="817" w:type="dxa"/>
          </w:tcPr>
          <w:p w14:paraId="56551B99" w14:textId="30E2875D" w:rsidR="000C3CC4" w:rsidRPr="00124CB7" w:rsidRDefault="000C3CC4" w:rsidP="000C3CC4">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2023</w:t>
            </w:r>
          </w:p>
        </w:tc>
        <w:tc>
          <w:tcPr>
            <w:tcW w:w="1275" w:type="dxa"/>
          </w:tcPr>
          <w:p w14:paraId="1A109D51" w14:textId="2F652848" w:rsidR="000C3CC4" w:rsidRPr="00124CB7" w:rsidRDefault="000C3CC4" w:rsidP="001E7C8B">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251BBC">
              <w:t>202</w:t>
            </w:r>
            <w:r w:rsidR="001E7C8B">
              <w:t>1</w:t>
            </w:r>
          </w:p>
        </w:tc>
      </w:tr>
      <w:tr w:rsidR="000C3CC4" w14:paraId="2B35BE12" w14:textId="0A6FF303" w:rsidTr="002F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9" w:type="dxa"/>
            <w:gridSpan w:val="2"/>
          </w:tcPr>
          <w:p w14:paraId="5B4CB702" w14:textId="77777777" w:rsidR="000C3CC4" w:rsidRPr="00124CB7" w:rsidRDefault="000C3CC4" w:rsidP="000C3CC4">
            <w:pPr>
              <w:pStyle w:val="NoSpacing"/>
              <w:rPr>
                <w:b w:val="0"/>
                <w:bCs w:val="0"/>
              </w:rPr>
            </w:pPr>
            <w:r>
              <w:rPr>
                <w:b w:val="0"/>
                <w:bCs w:val="0"/>
              </w:rPr>
              <w:t>Price/unit</w:t>
            </w:r>
          </w:p>
        </w:tc>
        <w:tc>
          <w:tcPr>
            <w:tcW w:w="1146" w:type="dxa"/>
          </w:tcPr>
          <w:p w14:paraId="2915A28B" w14:textId="4FE9AFAD"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B40974">
              <w:t>2.99</w:t>
            </w:r>
          </w:p>
        </w:tc>
        <w:tc>
          <w:tcPr>
            <w:tcW w:w="973" w:type="dxa"/>
          </w:tcPr>
          <w:p w14:paraId="3E0967AB" w14:textId="7C1417CA" w:rsidR="000C3CC4" w:rsidRDefault="00FC56B0" w:rsidP="00EA0CB5">
            <w:pPr>
              <w:pStyle w:val="NoSpacing"/>
              <w:jc w:val="right"/>
              <w:cnfStyle w:val="000000100000" w:firstRow="0" w:lastRow="0" w:firstColumn="0" w:lastColumn="0" w:oddVBand="0" w:evenVBand="0" w:oddHBand="1" w:evenHBand="0" w:firstRowFirstColumn="0" w:firstRowLastColumn="0" w:lastRowFirstColumn="0" w:lastRowLastColumn="0"/>
            </w:pPr>
            <w:r>
              <w:t>+</w:t>
            </w:r>
            <w:r w:rsidR="00B40974">
              <w:t>1.2</w:t>
            </w:r>
            <w:r w:rsidR="000C3CC4">
              <w:t>%</w:t>
            </w:r>
          </w:p>
        </w:tc>
        <w:tc>
          <w:tcPr>
            <w:tcW w:w="909" w:type="dxa"/>
            <w:tcBorders>
              <w:right w:val="single" w:sz="4" w:space="0" w:color="ED7D31"/>
            </w:tcBorders>
          </w:tcPr>
          <w:p w14:paraId="09DAD54E" w14:textId="67124241"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E57C6">
              <w:t>11.2</w:t>
            </w:r>
            <w:r>
              <w:t>%</w:t>
            </w:r>
          </w:p>
        </w:tc>
        <w:tc>
          <w:tcPr>
            <w:tcW w:w="1776" w:type="dxa"/>
            <w:tcBorders>
              <w:left w:val="single" w:sz="4" w:space="0" w:color="ED7D31"/>
            </w:tcBorders>
          </w:tcPr>
          <w:p w14:paraId="03CA719E" w14:textId="77F7A4F3"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FE57C6">
              <w:t>2.96</w:t>
            </w:r>
          </w:p>
        </w:tc>
        <w:tc>
          <w:tcPr>
            <w:tcW w:w="817" w:type="dxa"/>
          </w:tcPr>
          <w:p w14:paraId="08755E5E" w14:textId="3333CA0A" w:rsidR="000C3CC4" w:rsidRDefault="000C3CC4" w:rsidP="000C3CC4">
            <w:pPr>
              <w:pStyle w:val="NoSpacing"/>
              <w:jc w:val="right"/>
              <w:cnfStyle w:val="000000100000" w:firstRow="0" w:lastRow="0" w:firstColumn="0" w:lastColumn="0" w:oddVBand="0" w:evenVBand="0" w:oddHBand="1" w:evenHBand="0" w:firstRowFirstColumn="0" w:firstRowLastColumn="0" w:lastRowFirstColumn="0" w:lastRowLastColumn="0"/>
            </w:pPr>
            <w:r>
              <w:t>+</w:t>
            </w:r>
            <w:r w:rsidR="00FE57C6">
              <w:t>1.6</w:t>
            </w:r>
            <w:r>
              <w:t>%</w:t>
            </w:r>
          </w:p>
        </w:tc>
        <w:tc>
          <w:tcPr>
            <w:tcW w:w="1275" w:type="dxa"/>
          </w:tcPr>
          <w:p w14:paraId="19B1F6D2" w14:textId="66312CFB" w:rsidR="000C3CC4" w:rsidRDefault="000C3CC4" w:rsidP="00AB019A">
            <w:pPr>
              <w:pStyle w:val="NoSpacing"/>
              <w:jc w:val="right"/>
              <w:cnfStyle w:val="000000100000" w:firstRow="0" w:lastRow="0" w:firstColumn="0" w:lastColumn="0" w:oddVBand="0" w:evenVBand="0" w:oddHBand="1" w:evenHBand="0" w:firstRowFirstColumn="0" w:firstRowLastColumn="0" w:lastRowFirstColumn="0" w:lastRowLastColumn="0"/>
            </w:pPr>
            <w:r>
              <w:t>+</w:t>
            </w:r>
            <w:r w:rsidR="00FE57C6">
              <w:t>11.1</w:t>
            </w:r>
            <w:r>
              <w:t>%</w:t>
            </w:r>
          </w:p>
        </w:tc>
      </w:tr>
      <w:tr w:rsidR="0004266D" w14:paraId="7C18640F" w14:textId="5B569261" w:rsidTr="002F442E">
        <w:tc>
          <w:tcPr>
            <w:cnfStyle w:val="001000000000" w:firstRow="0" w:lastRow="0" w:firstColumn="1" w:lastColumn="0" w:oddVBand="0" w:evenVBand="0" w:oddHBand="0" w:evenHBand="0" w:firstRowFirstColumn="0" w:firstRowLastColumn="0" w:lastRowFirstColumn="0" w:lastRowLastColumn="0"/>
            <w:tcW w:w="3179" w:type="dxa"/>
            <w:gridSpan w:val="2"/>
          </w:tcPr>
          <w:p w14:paraId="47C97CE0" w14:textId="77777777" w:rsidR="0004266D" w:rsidRPr="00124CB7" w:rsidRDefault="0004266D" w:rsidP="0004266D">
            <w:pPr>
              <w:pStyle w:val="NoSpacing"/>
              <w:rPr>
                <w:b w:val="0"/>
                <w:bCs w:val="0"/>
              </w:rPr>
            </w:pPr>
            <w:r>
              <w:rPr>
                <w:b w:val="0"/>
                <w:bCs w:val="0"/>
              </w:rPr>
              <w:t>Price/volume</w:t>
            </w:r>
          </w:p>
        </w:tc>
        <w:tc>
          <w:tcPr>
            <w:tcW w:w="1146" w:type="dxa"/>
          </w:tcPr>
          <w:p w14:paraId="17C86A08" w14:textId="2798C5E4"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B40974">
              <w:t>4.78</w:t>
            </w:r>
          </w:p>
        </w:tc>
        <w:tc>
          <w:tcPr>
            <w:tcW w:w="973" w:type="dxa"/>
          </w:tcPr>
          <w:p w14:paraId="7E986169" w14:textId="0DB6017A" w:rsidR="0004266D" w:rsidRDefault="00B40974" w:rsidP="0004266D">
            <w:pPr>
              <w:pStyle w:val="NoSpacing"/>
              <w:jc w:val="right"/>
              <w:cnfStyle w:val="000000000000" w:firstRow="0" w:lastRow="0" w:firstColumn="0" w:lastColumn="0" w:oddVBand="0" w:evenVBand="0" w:oddHBand="0" w:evenHBand="0" w:firstRowFirstColumn="0" w:firstRowLastColumn="0" w:lastRowFirstColumn="0" w:lastRowLastColumn="0"/>
            </w:pPr>
            <w:r>
              <w:t>+1.6</w:t>
            </w:r>
            <w:r w:rsidR="0004266D">
              <w:t>%</w:t>
            </w:r>
          </w:p>
        </w:tc>
        <w:tc>
          <w:tcPr>
            <w:tcW w:w="909" w:type="dxa"/>
            <w:tcBorders>
              <w:right w:val="single" w:sz="4" w:space="0" w:color="ED7D31"/>
            </w:tcBorders>
          </w:tcPr>
          <w:p w14:paraId="36DDF54D" w14:textId="5BCC2EE7" w:rsidR="0004266D" w:rsidRDefault="0004266D" w:rsidP="00483711">
            <w:pPr>
              <w:pStyle w:val="NoSpacing"/>
              <w:jc w:val="right"/>
              <w:cnfStyle w:val="000000000000" w:firstRow="0" w:lastRow="0" w:firstColumn="0" w:lastColumn="0" w:oddVBand="0" w:evenVBand="0" w:oddHBand="0" w:evenHBand="0" w:firstRowFirstColumn="0" w:firstRowLastColumn="0" w:lastRowFirstColumn="0" w:lastRowLastColumn="0"/>
            </w:pPr>
            <w:r>
              <w:t>+</w:t>
            </w:r>
            <w:r w:rsidR="00FE57C6">
              <w:t>11.6</w:t>
            </w:r>
            <w:r>
              <w:t>%</w:t>
            </w:r>
          </w:p>
        </w:tc>
        <w:tc>
          <w:tcPr>
            <w:tcW w:w="1776" w:type="dxa"/>
            <w:tcBorders>
              <w:left w:val="single" w:sz="4" w:space="0" w:color="ED7D31"/>
            </w:tcBorders>
          </w:tcPr>
          <w:p w14:paraId="233A8701" w14:textId="0D7858B0"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FE57C6">
              <w:t>4.69</w:t>
            </w:r>
          </w:p>
        </w:tc>
        <w:tc>
          <w:tcPr>
            <w:tcW w:w="817" w:type="dxa"/>
          </w:tcPr>
          <w:p w14:paraId="1759FD32" w14:textId="50DDBCE8" w:rsidR="0004266D" w:rsidRDefault="0004266D" w:rsidP="00AB019A">
            <w:pPr>
              <w:pStyle w:val="NoSpacing"/>
              <w:jc w:val="right"/>
              <w:cnfStyle w:val="000000000000" w:firstRow="0" w:lastRow="0" w:firstColumn="0" w:lastColumn="0" w:oddVBand="0" w:evenVBand="0" w:oddHBand="0" w:evenHBand="0" w:firstRowFirstColumn="0" w:firstRowLastColumn="0" w:lastRowFirstColumn="0" w:lastRowLastColumn="0"/>
            </w:pPr>
            <w:r>
              <w:t>+</w:t>
            </w:r>
            <w:r w:rsidR="00FE57C6">
              <w:t>1.2</w:t>
            </w:r>
            <w:r>
              <w:t>%</w:t>
            </w:r>
          </w:p>
        </w:tc>
        <w:tc>
          <w:tcPr>
            <w:tcW w:w="1275" w:type="dxa"/>
          </w:tcPr>
          <w:p w14:paraId="725313BE" w14:textId="79A93615" w:rsidR="0004266D" w:rsidRDefault="0004266D" w:rsidP="0004266D">
            <w:pPr>
              <w:pStyle w:val="NoSpacing"/>
              <w:jc w:val="right"/>
              <w:cnfStyle w:val="000000000000" w:firstRow="0" w:lastRow="0" w:firstColumn="0" w:lastColumn="0" w:oddVBand="0" w:evenVBand="0" w:oddHBand="0" w:evenHBand="0" w:firstRowFirstColumn="0" w:firstRowLastColumn="0" w:lastRowFirstColumn="0" w:lastRowLastColumn="0"/>
            </w:pPr>
            <w:r>
              <w:t>+</w:t>
            </w:r>
            <w:r w:rsidR="00FE57C6">
              <w:t>10.4</w:t>
            </w:r>
            <w:r w:rsidR="00483711">
              <w:t>%</w:t>
            </w:r>
          </w:p>
        </w:tc>
      </w:tr>
    </w:tbl>
    <w:p w14:paraId="5CF68DB9" w14:textId="77777777" w:rsidR="00170260" w:rsidRDefault="00170260" w:rsidP="00170260">
      <w:pPr>
        <w:pStyle w:val="NoSpacing"/>
      </w:pPr>
    </w:p>
    <w:p w14:paraId="611C2D9A" w14:textId="1DE3DBD7" w:rsidR="00170260" w:rsidRDefault="00B672D0" w:rsidP="00170260">
      <w:pPr>
        <w:pStyle w:val="NoSpacing"/>
      </w:pPr>
      <w:r>
        <w:t xml:space="preserve">Moderation in price increases </w:t>
      </w:r>
      <w:r w:rsidR="0009067E">
        <w:t xml:space="preserve">went </w:t>
      </w:r>
      <w:r>
        <w:t xml:space="preserve">hand-in-hand with </w:t>
      </w:r>
      <w:r w:rsidR="00432D1F">
        <w:t xml:space="preserve">greater </w:t>
      </w:r>
      <w:r>
        <w:t>p</w:t>
      </w:r>
      <w:r w:rsidR="006636C7">
        <w:t>romotional activity</w:t>
      </w:r>
      <w:r>
        <w:t xml:space="preserve">. </w:t>
      </w:r>
      <w:r w:rsidR="0009067E">
        <w:t xml:space="preserve">During </w:t>
      </w:r>
      <w:r w:rsidR="006636C7">
        <w:t>the latest quad-week period</w:t>
      </w:r>
      <w:r w:rsidR="00A36245">
        <w:t xml:space="preserve"> </w:t>
      </w:r>
      <w:r w:rsidR="00432D1F">
        <w:t>18.3</w:t>
      </w:r>
      <w:r w:rsidR="00FF2D4A">
        <w:t xml:space="preserve">% of total </w:t>
      </w:r>
      <w:r w:rsidR="00085508">
        <w:t xml:space="preserve">fresh mushroom </w:t>
      </w:r>
      <w:r w:rsidR="00FF2D4A">
        <w:t>dollars</w:t>
      </w:r>
      <w:r w:rsidR="004C1DB1">
        <w:t xml:space="preserve"> sold</w:t>
      </w:r>
      <w:r>
        <w:t xml:space="preserve"> while on promotion</w:t>
      </w:r>
      <w:r w:rsidR="00E508BB">
        <w:t>.</w:t>
      </w:r>
      <w:r w:rsidR="00432D1F">
        <w:t xml:space="preserve"> This was up 11.0%.</w:t>
      </w:r>
      <w:r w:rsidR="00E508BB">
        <w:t xml:space="preserve"> </w:t>
      </w:r>
    </w:p>
    <w:p w14:paraId="363D2F2B" w14:textId="77777777" w:rsidR="00170260" w:rsidRDefault="00170260" w:rsidP="00170260">
      <w:pPr>
        <w:pStyle w:val="NoSpacing"/>
      </w:pPr>
    </w:p>
    <w:tbl>
      <w:tblPr>
        <w:tblStyle w:val="ListTable3-Accent2"/>
        <w:tblW w:w="10070" w:type="dxa"/>
        <w:tblLook w:val="04A0" w:firstRow="1" w:lastRow="0" w:firstColumn="1" w:lastColumn="0" w:noHBand="0" w:noVBand="1"/>
      </w:tblPr>
      <w:tblGrid>
        <w:gridCol w:w="3539"/>
        <w:gridCol w:w="397"/>
        <w:gridCol w:w="1342"/>
        <w:gridCol w:w="1369"/>
        <w:gridCol w:w="2054"/>
        <w:gridCol w:w="1369"/>
      </w:tblGrid>
      <w:tr w:rsidR="00972570" w:rsidRPr="00124CB7" w14:paraId="5DFB9CAB" w14:textId="77777777" w:rsidTr="00694050">
        <w:trPr>
          <w:cnfStyle w:val="100000000000" w:firstRow="1" w:lastRow="0" w:firstColumn="0" w:lastColumn="0" w:oddVBand="0" w:evenVBand="0" w:oddHBand="0" w:evenHBand="0" w:firstRowFirstColumn="0" w:firstRowLastColumn="0" w:lastRowFirstColumn="0" w:lastRowLastColumn="0"/>
          <w:trHeight w:val="534"/>
        </w:trPr>
        <w:tc>
          <w:tcPr>
            <w:cnfStyle w:val="001000000100" w:firstRow="0" w:lastRow="0" w:firstColumn="1" w:lastColumn="0" w:oddVBand="0" w:evenVBand="0" w:oddHBand="0" w:evenHBand="0" w:firstRowFirstColumn="1" w:firstRowLastColumn="0" w:lastRowFirstColumn="0" w:lastRowLastColumn="0"/>
            <w:tcW w:w="3539" w:type="dxa"/>
          </w:tcPr>
          <w:p w14:paraId="4168BC1A" w14:textId="77777777" w:rsidR="00972570" w:rsidRPr="00124CB7" w:rsidRDefault="00972570" w:rsidP="00FF6A85">
            <w:pPr>
              <w:pStyle w:val="NoSpacing"/>
            </w:pPr>
            <w:r w:rsidRPr="00124CB7">
              <w:t>Fresh mushrooms</w:t>
            </w:r>
          </w:p>
        </w:tc>
        <w:tc>
          <w:tcPr>
            <w:tcW w:w="1739" w:type="dxa"/>
            <w:gridSpan w:val="2"/>
          </w:tcPr>
          <w:p w14:paraId="6A0500B8" w14:textId="1BD368AB"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t xml:space="preserve">4 </w:t>
            </w:r>
            <w:proofErr w:type="spellStart"/>
            <w:r>
              <w:t>w.e</w:t>
            </w:r>
            <w:proofErr w:type="spellEnd"/>
            <w:r>
              <w:t xml:space="preserve">. </w:t>
            </w:r>
            <w:r w:rsidR="00A36245">
              <w:t>1/28/2024</w:t>
            </w:r>
          </w:p>
        </w:tc>
        <w:tc>
          <w:tcPr>
            <w:tcW w:w="1369" w:type="dxa"/>
            <w:tcBorders>
              <w:right w:val="single" w:sz="4" w:space="0" w:color="ED7D31"/>
            </w:tcBorders>
          </w:tcPr>
          <w:p w14:paraId="5CF9736D" w14:textId="631F4E35"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2023</w:t>
            </w:r>
          </w:p>
        </w:tc>
        <w:tc>
          <w:tcPr>
            <w:tcW w:w="2054" w:type="dxa"/>
            <w:tcBorders>
              <w:left w:val="single" w:sz="4" w:space="0" w:color="ED7D31"/>
            </w:tcBorders>
          </w:tcPr>
          <w:p w14:paraId="413A4F70" w14:textId="30AD25A6" w:rsidR="00972570" w:rsidRPr="00124CB7" w:rsidRDefault="00694050" w:rsidP="00B03343">
            <w:pPr>
              <w:pStyle w:val="NoSpacing"/>
              <w:jc w:val="right"/>
              <w:cnfStyle w:val="100000000000" w:firstRow="1" w:lastRow="0" w:firstColumn="0" w:lastColumn="0" w:oddVBand="0" w:evenVBand="0" w:oddHBand="0" w:evenHBand="0" w:firstRowFirstColumn="0" w:firstRowLastColumn="0" w:lastRowFirstColumn="0" w:lastRowLastColumn="0"/>
            </w:pPr>
            <w:r>
              <w:t xml:space="preserve">Latest 52 </w:t>
            </w:r>
            <w:proofErr w:type="spellStart"/>
            <w:r>
              <w:t>w.e</w:t>
            </w:r>
            <w:proofErr w:type="spellEnd"/>
            <w:r>
              <w:t>.</w:t>
            </w:r>
            <w:r w:rsidR="00972570">
              <w:t xml:space="preserve"> </w:t>
            </w:r>
            <w:r w:rsidR="00A36245">
              <w:t>1/28/2024</w:t>
            </w:r>
          </w:p>
        </w:tc>
        <w:tc>
          <w:tcPr>
            <w:tcW w:w="1369" w:type="dxa"/>
          </w:tcPr>
          <w:p w14:paraId="75064544" w14:textId="2A4167F6" w:rsidR="00972570" w:rsidRPr="00124CB7" w:rsidRDefault="00972570" w:rsidP="00FF6A85">
            <w:pPr>
              <w:pStyle w:val="NoSpacing"/>
              <w:jc w:val="right"/>
              <w:cnfStyle w:val="100000000000" w:firstRow="1" w:lastRow="0" w:firstColumn="0" w:lastColumn="0" w:oddVBand="0" w:evenVBand="0" w:oddHBand="0" w:evenHBand="0" w:firstRowFirstColumn="0" w:firstRowLastColumn="0" w:lastRowFirstColumn="0" w:lastRowLastColumn="0"/>
            </w:pPr>
            <w:r w:rsidRPr="00124CB7">
              <w:t xml:space="preserve">Vs. </w:t>
            </w:r>
            <w:r w:rsidR="001E7C8B">
              <w:t>2023</w:t>
            </w:r>
          </w:p>
        </w:tc>
      </w:tr>
      <w:tr w:rsidR="004A50D2" w14:paraId="3B76FFA3" w14:textId="78296325" w:rsidTr="00314DA1">
        <w:trPr>
          <w:cnfStyle w:val="000000100000" w:firstRow="0" w:lastRow="0" w:firstColumn="0" w:lastColumn="0" w:oddVBand="0" w:evenVBand="0" w:oddHBand="1" w:evenHBand="0" w:firstRowFirstColumn="0" w:firstRowLastColumn="0" w:lastRowFirstColumn="0" w:lastRowLastColumn="0"/>
          <w:trHeight w:val="267"/>
        </w:trPr>
        <w:tc>
          <w:tcPr>
            <w:cnfStyle w:val="001000000000" w:firstRow="0" w:lastRow="0" w:firstColumn="1" w:lastColumn="0" w:oddVBand="0" w:evenVBand="0" w:oddHBand="0" w:evenHBand="0" w:firstRowFirstColumn="0" w:firstRowLastColumn="0" w:lastRowFirstColumn="0" w:lastRowLastColumn="0"/>
            <w:tcW w:w="3936" w:type="dxa"/>
            <w:gridSpan w:val="2"/>
          </w:tcPr>
          <w:p w14:paraId="2B5B6C81" w14:textId="6313A9FC" w:rsidR="004A50D2" w:rsidRDefault="004A50D2" w:rsidP="004A50D2">
            <w:pPr>
              <w:pStyle w:val="NoSpacing"/>
              <w:rPr>
                <w:b w:val="0"/>
                <w:bCs w:val="0"/>
              </w:rPr>
            </w:pPr>
            <w:r>
              <w:rPr>
                <w:b w:val="0"/>
                <w:bCs w:val="0"/>
              </w:rPr>
              <w:t>Share of dollars sold on promotion</w:t>
            </w:r>
          </w:p>
        </w:tc>
        <w:tc>
          <w:tcPr>
            <w:tcW w:w="1342" w:type="dxa"/>
            <w:shd w:val="clear" w:color="auto" w:fill="auto"/>
          </w:tcPr>
          <w:p w14:paraId="6D5E5F03" w14:textId="1F1443FB" w:rsidR="004A50D2" w:rsidRPr="006617FB" w:rsidRDefault="00B40974" w:rsidP="004A50D2">
            <w:pPr>
              <w:pStyle w:val="NoSpacing"/>
              <w:jc w:val="right"/>
              <w:cnfStyle w:val="000000100000" w:firstRow="0" w:lastRow="0" w:firstColumn="0" w:lastColumn="0" w:oddVBand="0" w:evenVBand="0" w:oddHBand="1" w:evenHBand="0" w:firstRowFirstColumn="0" w:firstRowLastColumn="0" w:lastRowFirstColumn="0" w:lastRowLastColumn="0"/>
            </w:pPr>
            <w:r>
              <w:t>18.3</w:t>
            </w:r>
            <w:r w:rsidR="004A50D2" w:rsidRPr="006617FB">
              <w:t>%</w:t>
            </w:r>
          </w:p>
        </w:tc>
        <w:tc>
          <w:tcPr>
            <w:tcW w:w="1369" w:type="dxa"/>
            <w:tcBorders>
              <w:right w:val="single" w:sz="4" w:space="0" w:color="ED7D31"/>
            </w:tcBorders>
          </w:tcPr>
          <w:p w14:paraId="586FECBD" w14:textId="4D6B5EF8" w:rsidR="004A50D2" w:rsidRPr="009B0330" w:rsidRDefault="00511CD0" w:rsidP="004A50D2">
            <w:pPr>
              <w:pStyle w:val="NoSpacing"/>
              <w:jc w:val="right"/>
              <w:cnfStyle w:val="000000100000" w:firstRow="0" w:lastRow="0" w:firstColumn="0" w:lastColumn="0" w:oddVBand="0" w:evenVBand="0" w:oddHBand="1" w:evenHBand="0" w:firstRowFirstColumn="0" w:firstRowLastColumn="0" w:lastRowFirstColumn="0" w:lastRowLastColumn="0"/>
            </w:pPr>
            <w:r>
              <w:t>+</w:t>
            </w:r>
            <w:r w:rsidR="00B40974">
              <w:t>11.0</w:t>
            </w:r>
            <w:r w:rsidR="004A50D2" w:rsidRPr="009B0330">
              <w:t>%</w:t>
            </w:r>
          </w:p>
        </w:tc>
        <w:tc>
          <w:tcPr>
            <w:tcW w:w="2054" w:type="dxa"/>
            <w:tcBorders>
              <w:left w:val="single" w:sz="4" w:space="0" w:color="ED7D31"/>
            </w:tcBorders>
          </w:tcPr>
          <w:p w14:paraId="66CD7DD9" w14:textId="4542F859" w:rsidR="004A50D2" w:rsidRPr="009B0330" w:rsidRDefault="00B40974" w:rsidP="00916DE2">
            <w:pPr>
              <w:pStyle w:val="NoSpacing"/>
              <w:jc w:val="right"/>
              <w:cnfStyle w:val="000000100000" w:firstRow="0" w:lastRow="0" w:firstColumn="0" w:lastColumn="0" w:oddVBand="0" w:evenVBand="0" w:oddHBand="1" w:evenHBand="0" w:firstRowFirstColumn="0" w:firstRowLastColumn="0" w:lastRowFirstColumn="0" w:lastRowLastColumn="0"/>
            </w:pPr>
            <w:r>
              <w:t>18.1</w:t>
            </w:r>
            <w:r w:rsidR="004A50D2" w:rsidRPr="009B0330">
              <w:t>%</w:t>
            </w:r>
          </w:p>
        </w:tc>
        <w:tc>
          <w:tcPr>
            <w:tcW w:w="1369" w:type="dxa"/>
            <w:shd w:val="clear" w:color="auto" w:fill="auto"/>
          </w:tcPr>
          <w:p w14:paraId="7461CDF6" w14:textId="722F3AB5" w:rsidR="004A50D2" w:rsidRPr="00314DA1" w:rsidRDefault="00FC56B0" w:rsidP="00145E27">
            <w:pPr>
              <w:pStyle w:val="NoSpacing"/>
              <w:jc w:val="right"/>
              <w:cnfStyle w:val="000000100000" w:firstRow="0" w:lastRow="0" w:firstColumn="0" w:lastColumn="0" w:oddVBand="0" w:evenVBand="0" w:oddHBand="1" w:evenHBand="0" w:firstRowFirstColumn="0" w:firstRowLastColumn="0" w:lastRowFirstColumn="0" w:lastRowLastColumn="0"/>
            </w:pPr>
            <w:r>
              <w:t>+</w:t>
            </w:r>
            <w:r w:rsidR="00B40974">
              <w:t>15.6</w:t>
            </w:r>
            <w:r w:rsidR="004A50D2" w:rsidRPr="00314DA1">
              <w:t>%</w:t>
            </w:r>
          </w:p>
        </w:tc>
      </w:tr>
    </w:tbl>
    <w:p w14:paraId="23606064" w14:textId="3461AD42" w:rsidR="00555250" w:rsidRPr="00555250" w:rsidRDefault="00555250" w:rsidP="00555250">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004C5B27">
        <w:rPr>
          <w:color w:val="7F7F7F" w:themeColor="text1" w:themeTint="80"/>
          <w:sz w:val="16"/>
          <w:szCs w:val="16"/>
        </w:rPr>
        <w:t xml:space="preserve">, </w:t>
      </w:r>
      <w:r w:rsidRPr="00555250">
        <w:rPr>
          <w:color w:val="7F7F7F" w:themeColor="text1" w:themeTint="80"/>
          <w:sz w:val="16"/>
          <w:szCs w:val="16"/>
        </w:rPr>
        <w:t xml:space="preserve">Integrated Fresh, MULO, </w:t>
      </w:r>
      <w:r w:rsidR="00A657C4">
        <w:rPr>
          <w:color w:val="7F7F7F" w:themeColor="text1" w:themeTint="80"/>
          <w:sz w:val="16"/>
          <w:szCs w:val="16"/>
        </w:rPr>
        <w:t xml:space="preserve">YTD and </w:t>
      </w:r>
      <w:r w:rsidR="007D30DA">
        <w:rPr>
          <w:color w:val="7F7F7F" w:themeColor="text1" w:themeTint="80"/>
          <w:sz w:val="16"/>
          <w:szCs w:val="16"/>
        </w:rPr>
        <w:t>4</w:t>
      </w:r>
      <w:r w:rsidRPr="00555250">
        <w:rPr>
          <w:color w:val="7F7F7F" w:themeColor="text1" w:themeTint="80"/>
          <w:sz w:val="16"/>
          <w:szCs w:val="16"/>
        </w:rPr>
        <w:t xml:space="preserve"> weeks ending </w:t>
      </w:r>
      <w:r w:rsidR="00A36245">
        <w:rPr>
          <w:color w:val="7F7F7F" w:themeColor="text1" w:themeTint="80"/>
          <w:sz w:val="16"/>
          <w:szCs w:val="16"/>
        </w:rPr>
        <w:t>1/28/2024</w:t>
      </w:r>
    </w:p>
    <w:p w14:paraId="6CBB9CA7" w14:textId="00F915EB" w:rsidR="0094219B" w:rsidRDefault="0094219B" w:rsidP="00472B02">
      <w:pPr>
        <w:pStyle w:val="NoSpacing"/>
      </w:pPr>
    </w:p>
    <w:p w14:paraId="6ECA980F" w14:textId="1C95F143" w:rsidR="005C6AEE" w:rsidRPr="00927EAC" w:rsidRDefault="005C6AEE" w:rsidP="00927EAC">
      <w:pPr>
        <w:pStyle w:val="Heading2"/>
        <w:rPr>
          <w:b/>
          <w:bCs/>
          <w:color w:val="ED7D31" w:themeColor="accent2"/>
        </w:rPr>
      </w:pPr>
      <w:r w:rsidRPr="00927EAC">
        <w:rPr>
          <w:b/>
          <w:bCs/>
          <w:color w:val="ED7D31" w:themeColor="accent2"/>
        </w:rPr>
        <w:t>Performance by segment</w:t>
      </w:r>
    </w:p>
    <w:p w14:paraId="3F555681" w14:textId="61987A01" w:rsidR="00927EAC" w:rsidRDefault="004B7951" w:rsidP="00927EAC">
      <w:pPr>
        <w:pStyle w:val="NoSpacing"/>
      </w:pPr>
      <w:r>
        <w:t>W</w:t>
      </w:r>
      <w:r w:rsidR="00927EAC">
        <w:t>hite mushrooms represent</w:t>
      </w:r>
      <w:r w:rsidR="00461D8C">
        <w:t>ed</w:t>
      </w:r>
      <w:r w:rsidR="00927EAC">
        <w:t xml:space="preserve"> </w:t>
      </w:r>
      <w:r w:rsidR="008717C6">
        <w:t>51.1</w:t>
      </w:r>
      <w:r w:rsidR="00927EAC">
        <w:t xml:space="preserve">% of </w:t>
      </w:r>
      <w:r w:rsidR="004C1DB1">
        <w:t>mushroom dollars</w:t>
      </w:r>
      <w:r w:rsidR="00927EAC">
        <w:t xml:space="preserve"> and </w:t>
      </w:r>
      <w:r w:rsidR="008717C6">
        <w:t>57.0</w:t>
      </w:r>
      <w:r w:rsidR="00AB019A">
        <w:t>%</w:t>
      </w:r>
      <w:r w:rsidR="00927EAC">
        <w:t xml:space="preserve"> of pounds</w:t>
      </w:r>
      <w:r w:rsidR="00AC2C09">
        <w:t xml:space="preserve"> in</w:t>
      </w:r>
      <w:r>
        <w:t xml:space="preserve"> the four</w:t>
      </w:r>
      <w:r w:rsidR="00461D8C">
        <w:t>-week period</w:t>
      </w:r>
      <w:r w:rsidR="00927EAC">
        <w:t xml:space="preserve">. </w:t>
      </w:r>
      <w:r w:rsidR="00904C5C">
        <w:t>Brown mushrooms</w:t>
      </w:r>
      <w:r>
        <w:t xml:space="preserve">, the combination of </w:t>
      </w:r>
      <w:proofErr w:type="spellStart"/>
      <w:r>
        <w:t>cr</w:t>
      </w:r>
      <w:r w:rsidR="002437CE">
        <w:t>i</w:t>
      </w:r>
      <w:r>
        <w:t>minis</w:t>
      </w:r>
      <w:proofErr w:type="spellEnd"/>
      <w:r>
        <w:t xml:space="preserve"> and portabellas</w:t>
      </w:r>
      <w:r w:rsidR="00F40BC0">
        <w:t xml:space="preserve"> had </w:t>
      </w:r>
      <w:r w:rsidR="002F442E">
        <w:t xml:space="preserve">a </w:t>
      </w:r>
      <w:r w:rsidR="00F40BC0">
        <w:t>better performance.</w:t>
      </w:r>
      <w:r w:rsidR="00432D1F">
        <w:t xml:space="preserve"> After a good first half of 2023, specialty sales are tracking below year ago levels. </w:t>
      </w:r>
      <w:r w:rsidR="00F40BC0">
        <w:t xml:space="preserve"> </w:t>
      </w:r>
    </w:p>
    <w:p w14:paraId="29B3DB23" w14:textId="73EA9AE3" w:rsidR="00B25DFD" w:rsidRDefault="00B25DFD" w:rsidP="00927EAC">
      <w:pPr>
        <w:pStyle w:val="NoSpacing"/>
      </w:pPr>
    </w:p>
    <w:tbl>
      <w:tblPr>
        <w:tblStyle w:val="ListTable3-Accent2"/>
        <w:tblW w:w="10615" w:type="dxa"/>
        <w:tblLayout w:type="fixed"/>
        <w:tblLook w:val="0400" w:firstRow="0" w:lastRow="0" w:firstColumn="0" w:lastColumn="0" w:noHBand="0" w:noVBand="1"/>
      </w:tblPr>
      <w:tblGrid>
        <w:gridCol w:w="2547"/>
        <w:gridCol w:w="1168"/>
        <w:gridCol w:w="882"/>
        <w:gridCol w:w="991"/>
        <w:gridCol w:w="972"/>
        <w:gridCol w:w="927"/>
        <w:gridCol w:w="1117"/>
        <w:gridCol w:w="1047"/>
        <w:gridCol w:w="964"/>
      </w:tblGrid>
      <w:tr w:rsidR="00A43A45" w:rsidRPr="00B25DFD" w14:paraId="66036A96" w14:textId="09558220" w:rsidTr="003305B1">
        <w:trPr>
          <w:cnfStyle w:val="000000100000" w:firstRow="0" w:lastRow="0" w:firstColumn="0" w:lastColumn="0" w:oddVBand="0" w:evenVBand="0" w:oddHBand="1" w:evenHBand="0" w:firstRowFirstColumn="0" w:firstRowLastColumn="0" w:lastRowFirstColumn="0" w:lastRowLastColumn="0"/>
          <w:trHeight w:val="20"/>
        </w:trPr>
        <w:tc>
          <w:tcPr>
            <w:tcW w:w="2547" w:type="dxa"/>
            <w:shd w:val="clear" w:color="auto" w:fill="ED7D31" w:themeFill="accent2"/>
            <w:vAlign w:val="center"/>
            <w:hideMark/>
          </w:tcPr>
          <w:p w14:paraId="4B138C18" w14:textId="21D2AE04" w:rsidR="00461D8C" w:rsidRPr="006A7A6E" w:rsidRDefault="00461D8C" w:rsidP="00CE27CF">
            <w:pPr>
              <w:pStyle w:val="NoSpacing"/>
              <w:rPr>
                <w:rFonts w:cstheme="minorHAnsi"/>
                <w:b/>
                <w:bCs/>
                <w:color w:val="FFFFFF" w:themeColor="background1"/>
              </w:rPr>
            </w:pPr>
            <w:bookmarkStart w:id="0" w:name="_Hlk97115006"/>
            <w:r w:rsidRPr="006A7A6E">
              <w:rPr>
                <w:rFonts w:cstheme="minorHAnsi"/>
                <w:b/>
                <w:bCs/>
                <w:color w:val="FFFFFF" w:themeColor="background1"/>
              </w:rPr>
              <w:t xml:space="preserve">4 weeks ending </w:t>
            </w:r>
            <w:r w:rsidR="00A36245">
              <w:rPr>
                <w:rFonts w:cstheme="minorHAnsi"/>
                <w:b/>
                <w:bCs/>
                <w:color w:val="FFFFFF" w:themeColor="background1"/>
              </w:rPr>
              <w:t>1/28/2024</w:t>
            </w:r>
          </w:p>
        </w:tc>
        <w:tc>
          <w:tcPr>
            <w:tcW w:w="1168" w:type="dxa"/>
            <w:shd w:val="clear" w:color="auto" w:fill="ED7D31" w:themeFill="accent2"/>
            <w:hideMark/>
          </w:tcPr>
          <w:p w14:paraId="47F253CD" w14:textId="6F53405A"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Dollars</w:t>
            </w:r>
          </w:p>
        </w:tc>
        <w:tc>
          <w:tcPr>
            <w:tcW w:w="882" w:type="dxa"/>
            <w:shd w:val="clear" w:color="auto" w:fill="ED7D31" w:themeFill="accent2"/>
          </w:tcPr>
          <w:p w14:paraId="385A94D8" w14:textId="1A4D75AA"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Dollar s</w:t>
            </w:r>
            <w:r w:rsidR="00461D8C">
              <w:rPr>
                <w:rFonts w:cstheme="minorHAnsi"/>
                <w:b/>
                <w:bCs/>
                <w:color w:val="FFFFFF" w:themeColor="background1"/>
              </w:rPr>
              <w:t>hare</w:t>
            </w:r>
          </w:p>
        </w:tc>
        <w:tc>
          <w:tcPr>
            <w:tcW w:w="991" w:type="dxa"/>
            <w:shd w:val="clear" w:color="auto" w:fill="ED7D31" w:themeFill="accent2"/>
            <w:hideMark/>
          </w:tcPr>
          <w:p w14:paraId="3685CC92" w14:textId="447AACD7"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1E7C8B">
              <w:rPr>
                <w:rFonts w:cstheme="minorHAnsi"/>
                <w:b/>
                <w:bCs/>
                <w:color w:val="FFFFFF" w:themeColor="background1"/>
              </w:rPr>
              <w:t>2023</w:t>
            </w:r>
          </w:p>
        </w:tc>
        <w:tc>
          <w:tcPr>
            <w:tcW w:w="972" w:type="dxa"/>
            <w:tcBorders>
              <w:right w:val="single" w:sz="4" w:space="0" w:color="ED7D31"/>
            </w:tcBorders>
            <w:shd w:val="clear" w:color="auto" w:fill="ED7D31" w:themeFill="accent2"/>
            <w:hideMark/>
          </w:tcPr>
          <w:p w14:paraId="4605C27F" w14:textId="63889E48"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 sales v</w:t>
            </w:r>
            <w:r w:rsidR="00461D8C" w:rsidRPr="006A7A6E">
              <w:rPr>
                <w:rFonts w:cstheme="minorHAnsi"/>
                <w:b/>
                <w:bCs/>
                <w:color w:val="FFFFFF" w:themeColor="background1"/>
              </w:rPr>
              <w:t xml:space="preserve">s. </w:t>
            </w:r>
            <w:r w:rsidR="001E7C8B">
              <w:rPr>
                <w:rFonts w:cstheme="minorHAnsi"/>
                <w:b/>
                <w:bCs/>
                <w:color w:val="FFFFFF" w:themeColor="background1"/>
              </w:rPr>
              <w:t>2021</w:t>
            </w:r>
          </w:p>
        </w:tc>
        <w:tc>
          <w:tcPr>
            <w:tcW w:w="927" w:type="dxa"/>
            <w:tcBorders>
              <w:left w:val="single" w:sz="4" w:space="0" w:color="ED7D31"/>
            </w:tcBorders>
            <w:shd w:val="clear" w:color="auto" w:fill="ED7D31" w:themeFill="accent2"/>
          </w:tcPr>
          <w:p w14:paraId="306DC338" w14:textId="78470F88" w:rsidR="00461D8C" w:rsidRPr="006A7A6E" w:rsidRDefault="00461D8C" w:rsidP="00CE27CF">
            <w:pPr>
              <w:pStyle w:val="NoSpacing"/>
              <w:jc w:val="right"/>
              <w:rPr>
                <w:rFonts w:cstheme="minorHAnsi"/>
                <w:b/>
                <w:bCs/>
                <w:color w:val="FFFFFF" w:themeColor="background1"/>
              </w:rPr>
            </w:pPr>
            <w:r w:rsidRPr="006A7A6E">
              <w:rPr>
                <w:rFonts w:cstheme="minorHAnsi"/>
                <w:b/>
                <w:bCs/>
                <w:color w:val="FFFFFF" w:themeColor="background1"/>
              </w:rPr>
              <w:t>Volume</w:t>
            </w:r>
            <w:r w:rsidR="00D8225F">
              <w:rPr>
                <w:rFonts w:cstheme="minorHAnsi"/>
                <w:b/>
                <w:bCs/>
                <w:color w:val="FFFFFF" w:themeColor="background1"/>
              </w:rPr>
              <w:t xml:space="preserve"> (</w:t>
            </w:r>
            <w:proofErr w:type="spellStart"/>
            <w:r w:rsidR="00D8225F">
              <w:rPr>
                <w:rFonts w:cstheme="minorHAnsi"/>
                <w:b/>
                <w:bCs/>
                <w:color w:val="FFFFFF" w:themeColor="background1"/>
              </w:rPr>
              <w:t>lbs</w:t>
            </w:r>
            <w:proofErr w:type="spellEnd"/>
            <w:r w:rsidR="00D8225F">
              <w:rPr>
                <w:rFonts w:cstheme="minorHAnsi"/>
                <w:b/>
                <w:bCs/>
                <w:color w:val="FFFFFF" w:themeColor="background1"/>
              </w:rPr>
              <w:t>)</w:t>
            </w:r>
          </w:p>
        </w:tc>
        <w:tc>
          <w:tcPr>
            <w:tcW w:w="1117" w:type="dxa"/>
            <w:shd w:val="clear" w:color="auto" w:fill="ED7D31" w:themeFill="accent2"/>
          </w:tcPr>
          <w:p w14:paraId="782C6C5A" w14:textId="3EB1CA01" w:rsidR="00D8225F"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p>
          <w:p w14:paraId="60FA614A" w14:textId="53D11403" w:rsidR="00461D8C" w:rsidRPr="006A7A6E" w:rsidRDefault="00D8225F" w:rsidP="00CE27CF">
            <w:pPr>
              <w:pStyle w:val="NoSpacing"/>
              <w:jc w:val="right"/>
              <w:rPr>
                <w:rFonts w:cstheme="minorHAnsi"/>
                <w:b/>
                <w:bCs/>
                <w:color w:val="FFFFFF" w:themeColor="background1"/>
              </w:rPr>
            </w:pPr>
            <w:r>
              <w:rPr>
                <w:rFonts w:cstheme="minorHAnsi"/>
                <w:b/>
                <w:bCs/>
                <w:color w:val="FFFFFF" w:themeColor="background1"/>
              </w:rPr>
              <w:t>s</w:t>
            </w:r>
            <w:r w:rsidR="00461D8C">
              <w:rPr>
                <w:rFonts w:cstheme="minorHAnsi"/>
                <w:b/>
                <w:bCs/>
                <w:color w:val="FFFFFF" w:themeColor="background1"/>
              </w:rPr>
              <w:t>hare</w:t>
            </w:r>
          </w:p>
        </w:tc>
        <w:tc>
          <w:tcPr>
            <w:tcW w:w="1047" w:type="dxa"/>
            <w:shd w:val="clear" w:color="auto" w:fill="ED7D31" w:themeFill="accent2"/>
          </w:tcPr>
          <w:p w14:paraId="7DE6FAA8" w14:textId="0F8EE215" w:rsidR="00461D8C" w:rsidRPr="006A7A6E"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r>
              <w:rPr>
                <w:rFonts w:cstheme="minorHAnsi"/>
                <w:b/>
                <w:bCs/>
                <w:color w:val="FFFFFF" w:themeColor="background1"/>
              </w:rPr>
              <w:t xml:space="preserve"> </w:t>
            </w:r>
            <w:r>
              <w:rPr>
                <w:rFonts w:cstheme="minorHAnsi"/>
                <w:b/>
                <w:bCs/>
                <w:color w:val="FFFFFF" w:themeColor="background1"/>
              </w:rPr>
              <w:br/>
              <w:t>v</w:t>
            </w:r>
            <w:r w:rsidR="00461D8C" w:rsidRPr="006A7A6E">
              <w:rPr>
                <w:rFonts w:cstheme="minorHAnsi"/>
                <w:b/>
                <w:bCs/>
                <w:color w:val="FFFFFF" w:themeColor="background1"/>
              </w:rPr>
              <w:t xml:space="preserve">s. </w:t>
            </w:r>
            <w:r w:rsidR="001E7C8B">
              <w:rPr>
                <w:rFonts w:cstheme="minorHAnsi"/>
                <w:b/>
                <w:bCs/>
                <w:color w:val="FFFFFF" w:themeColor="background1"/>
              </w:rPr>
              <w:t>2023</w:t>
            </w:r>
          </w:p>
        </w:tc>
        <w:tc>
          <w:tcPr>
            <w:tcW w:w="964" w:type="dxa"/>
            <w:shd w:val="clear" w:color="auto" w:fill="ED7D31" w:themeFill="accent2"/>
          </w:tcPr>
          <w:p w14:paraId="212AEB88" w14:textId="7B409418" w:rsidR="00461D8C" w:rsidRPr="006A7A6E" w:rsidRDefault="00D8225F" w:rsidP="00CE27CF">
            <w:pPr>
              <w:pStyle w:val="NoSpacing"/>
              <w:jc w:val="right"/>
              <w:rPr>
                <w:rFonts w:cstheme="minorHAnsi"/>
                <w:b/>
                <w:bCs/>
                <w:color w:val="FFFFFF" w:themeColor="background1"/>
              </w:rPr>
            </w:pPr>
            <w:proofErr w:type="spellStart"/>
            <w:r>
              <w:rPr>
                <w:rFonts w:cstheme="minorHAnsi"/>
                <w:b/>
                <w:bCs/>
                <w:color w:val="FFFFFF" w:themeColor="background1"/>
              </w:rPr>
              <w:t>Lbs</w:t>
            </w:r>
            <w:proofErr w:type="spellEnd"/>
            <w:r>
              <w:rPr>
                <w:rFonts w:cstheme="minorHAnsi"/>
                <w:b/>
                <w:bCs/>
                <w:color w:val="FFFFFF" w:themeColor="background1"/>
              </w:rPr>
              <w:t xml:space="preserve"> v</w:t>
            </w:r>
            <w:r w:rsidR="00461D8C" w:rsidRPr="006A7A6E">
              <w:rPr>
                <w:rFonts w:cstheme="minorHAnsi"/>
                <w:b/>
                <w:bCs/>
                <w:color w:val="FFFFFF" w:themeColor="background1"/>
              </w:rPr>
              <w:t xml:space="preserve">s. </w:t>
            </w:r>
            <w:r w:rsidR="001E7C8B">
              <w:rPr>
                <w:rFonts w:cstheme="minorHAnsi"/>
                <w:b/>
                <w:bCs/>
                <w:color w:val="FFFFFF" w:themeColor="background1"/>
              </w:rPr>
              <w:t>2021</w:t>
            </w:r>
          </w:p>
        </w:tc>
      </w:tr>
      <w:tr w:rsidR="008F2AA0" w:rsidRPr="00B25DFD" w14:paraId="69D4AA5B" w14:textId="069A747C" w:rsidTr="003305B1">
        <w:trPr>
          <w:trHeight w:val="20"/>
        </w:trPr>
        <w:tc>
          <w:tcPr>
            <w:tcW w:w="2547" w:type="dxa"/>
            <w:vAlign w:val="center"/>
            <w:hideMark/>
          </w:tcPr>
          <w:p w14:paraId="2C1CDE46" w14:textId="178D4679" w:rsidR="008F2AA0" w:rsidRPr="006A7A6E" w:rsidRDefault="008F2AA0" w:rsidP="008F2AA0">
            <w:pPr>
              <w:rPr>
                <w:rFonts w:cstheme="minorHAnsi"/>
                <w:b/>
                <w:bCs/>
              </w:rPr>
            </w:pPr>
            <w:r>
              <w:rPr>
                <w:rFonts w:cstheme="minorHAnsi"/>
                <w:b/>
                <w:bCs/>
              </w:rPr>
              <w:t>Total f</w:t>
            </w:r>
            <w:r w:rsidRPr="006A7A6E">
              <w:rPr>
                <w:rFonts w:cstheme="minorHAnsi"/>
                <w:b/>
                <w:bCs/>
              </w:rPr>
              <w:t>resh mushrooms</w:t>
            </w:r>
          </w:p>
        </w:tc>
        <w:tc>
          <w:tcPr>
            <w:tcW w:w="1168" w:type="dxa"/>
            <w:hideMark/>
          </w:tcPr>
          <w:p w14:paraId="6A87FED7" w14:textId="2713BBC9" w:rsidR="008F2AA0" w:rsidRPr="006A7A6E" w:rsidRDefault="008F2AA0" w:rsidP="008F2AA0">
            <w:pPr>
              <w:pStyle w:val="NoSpacing"/>
              <w:jc w:val="right"/>
              <w:rPr>
                <w:rFonts w:cstheme="minorHAnsi"/>
                <w:b/>
                <w:bCs/>
              </w:rPr>
            </w:pPr>
            <w:r w:rsidRPr="006A7A6E">
              <w:rPr>
                <w:rFonts w:cstheme="minorHAnsi"/>
                <w:b/>
                <w:bCs/>
                <w:color w:val="000000" w:themeColor="text1"/>
              </w:rPr>
              <w:t>$</w:t>
            </w:r>
            <w:r w:rsidR="00424BD4">
              <w:rPr>
                <w:rFonts w:cstheme="minorHAnsi"/>
                <w:b/>
                <w:bCs/>
                <w:color w:val="000000" w:themeColor="text1"/>
              </w:rPr>
              <w:t>103.8</w:t>
            </w:r>
            <w:r w:rsidRPr="006A7A6E">
              <w:rPr>
                <w:rFonts w:cstheme="minorHAnsi"/>
                <w:b/>
                <w:bCs/>
                <w:color w:val="000000" w:themeColor="text1"/>
              </w:rPr>
              <w:t>M</w:t>
            </w:r>
          </w:p>
        </w:tc>
        <w:tc>
          <w:tcPr>
            <w:tcW w:w="882" w:type="dxa"/>
          </w:tcPr>
          <w:p w14:paraId="3A01C257" w14:textId="5BC053CF" w:rsidR="008F2AA0" w:rsidRPr="006A7A6E" w:rsidRDefault="008F2AA0" w:rsidP="008F2AA0">
            <w:pPr>
              <w:pStyle w:val="NoSpacing"/>
              <w:jc w:val="right"/>
              <w:rPr>
                <w:rFonts w:cstheme="minorHAnsi"/>
                <w:b/>
                <w:bCs/>
                <w:color w:val="000000" w:themeColor="text1"/>
              </w:rPr>
            </w:pPr>
            <w:r>
              <w:rPr>
                <w:rFonts w:cstheme="minorHAnsi"/>
                <w:b/>
                <w:bCs/>
                <w:color w:val="000000" w:themeColor="text1"/>
              </w:rPr>
              <w:t>100.0%</w:t>
            </w:r>
          </w:p>
        </w:tc>
        <w:tc>
          <w:tcPr>
            <w:tcW w:w="991" w:type="dxa"/>
            <w:hideMark/>
          </w:tcPr>
          <w:p w14:paraId="7E486F05" w14:textId="08760880" w:rsidR="008F2AA0" w:rsidRPr="006A7A6E" w:rsidRDefault="008F2AA0" w:rsidP="008F2AA0">
            <w:pPr>
              <w:pStyle w:val="NoSpacing"/>
              <w:jc w:val="right"/>
              <w:rPr>
                <w:rFonts w:cstheme="minorHAnsi"/>
                <w:b/>
                <w:bCs/>
              </w:rPr>
            </w:pPr>
            <w:r>
              <w:rPr>
                <w:rFonts w:cstheme="minorHAnsi"/>
                <w:b/>
                <w:bCs/>
                <w:color w:val="000000" w:themeColor="text1"/>
              </w:rPr>
              <w:t>-</w:t>
            </w:r>
            <w:r w:rsidR="00424BD4">
              <w:rPr>
                <w:rFonts w:cstheme="minorHAnsi"/>
                <w:b/>
                <w:bCs/>
                <w:color w:val="000000" w:themeColor="text1"/>
              </w:rPr>
              <w:t>3.6</w:t>
            </w:r>
            <w:r w:rsidRPr="006A7A6E">
              <w:rPr>
                <w:rFonts w:cstheme="minorHAnsi"/>
                <w:b/>
                <w:bCs/>
                <w:color w:val="000000" w:themeColor="text1"/>
              </w:rPr>
              <w:t>%</w:t>
            </w:r>
          </w:p>
        </w:tc>
        <w:tc>
          <w:tcPr>
            <w:tcW w:w="972" w:type="dxa"/>
            <w:tcBorders>
              <w:right w:val="single" w:sz="4" w:space="0" w:color="ED7D31"/>
            </w:tcBorders>
            <w:hideMark/>
          </w:tcPr>
          <w:p w14:paraId="3BD808C1" w14:textId="4B00C394" w:rsidR="008F2AA0" w:rsidRPr="006A7A6E" w:rsidRDefault="008F2AA0" w:rsidP="008F2AA0">
            <w:pPr>
              <w:pStyle w:val="NoSpacing"/>
              <w:jc w:val="right"/>
              <w:rPr>
                <w:rFonts w:cstheme="minorHAnsi"/>
                <w:b/>
                <w:bCs/>
              </w:rPr>
            </w:pPr>
            <w:r>
              <w:rPr>
                <w:rFonts w:cstheme="minorHAnsi"/>
                <w:b/>
                <w:bCs/>
                <w:color w:val="000000" w:themeColor="text1"/>
              </w:rPr>
              <w:t>-</w:t>
            </w:r>
            <w:r w:rsidR="00424BD4">
              <w:rPr>
                <w:rFonts w:cstheme="minorHAnsi"/>
                <w:b/>
                <w:bCs/>
                <w:color w:val="000000" w:themeColor="text1"/>
              </w:rPr>
              <w:t>12.5</w:t>
            </w:r>
            <w:r w:rsidRPr="006A7A6E">
              <w:rPr>
                <w:rFonts w:cstheme="minorHAnsi"/>
                <w:b/>
                <w:bCs/>
                <w:color w:val="000000" w:themeColor="text1"/>
              </w:rPr>
              <w:t>%</w:t>
            </w:r>
          </w:p>
        </w:tc>
        <w:tc>
          <w:tcPr>
            <w:tcW w:w="927" w:type="dxa"/>
            <w:tcBorders>
              <w:left w:val="single" w:sz="4" w:space="0" w:color="ED7D31"/>
            </w:tcBorders>
          </w:tcPr>
          <w:p w14:paraId="6E7375BC" w14:textId="3958CD8D" w:rsidR="008F2AA0" w:rsidRPr="006A7A6E" w:rsidRDefault="00424BD4" w:rsidP="008F2AA0">
            <w:pPr>
              <w:pStyle w:val="NoSpacing"/>
              <w:jc w:val="right"/>
              <w:rPr>
                <w:rFonts w:cstheme="minorHAnsi"/>
                <w:b/>
                <w:bCs/>
              </w:rPr>
            </w:pPr>
            <w:r>
              <w:rPr>
                <w:rFonts w:cstheme="minorHAnsi"/>
                <w:b/>
                <w:bCs/>
                <w:color w:val="000000" w:themeColor="text1"/>
              </w:rPr>
              <w:t>21.7</w:t>
            </w:r>
            <w:r w:rsidR="008F2AA0" w:rsidRPr="006A7A6E">
              <w:rPr>
                <w:rFonts w:cstheme="minorHAnsi"/>
                <w:b/>
                <w:bCs/>
                <w:color w:val="000000" w:themeColor="text1"/>
              </w:rPr>
              <w:t>M</w:t>
            </w:r>
          </w:p>
        </w:tc>
        <w:tc>
          <w:tcPr>
            <w:tcW w:w="1117" w:type="dxa"/>
          </w:tcPr>
          <w:p w14:paraId="62317D86" w14:textId="4533EB76" w:rsidR="008F2AA0" w:rsidRPr="006A7A6E" w:rsidRDefault="00511CD0" w:rsidP="008F2AA0">
            <w:pPr>
              <w:pStyle w:val="NoSpacing"/>
              <w:jc w:val="right"/>
              <w:rPr>
                <w:rFonts w:cstheme="minorHAnsi"/>
                <w:b/>
                <w:bCs/>
                <w:color w:val="000000" w:themeColor="text1"/>
              </w:rPr>
            </w:pPr>
            <w:r>
              <w:rPr>
                <w:rFonts w:cstheme="minorHAnsi"/>
                <w:b/>
                <w:bCs/>
                <w:color w:val="000000" w:themeColor="text1"/>
              </w:rPr>
              <w:t>100.0</w:t>
            </w:r>
            <w:r w:rsidR="008F2AA0">
              <w:rPr>
                <w:rFonts w:cstheme="minorHAnsi"/>
                <w:b/>
                <w:bCs/>
                <w:color w:val="000000" w:themeColor="text1"/>
              </w:rPr>
              <w:t>%</w:t>
            </w:r>
          </w:p>
        </w:tc>
        <w:tc>
          <w:tcPr>
            <w:tcW w:w="1047" w:type="dxa"/>
          </w:tcPr>
          <w:p w14:paraId="5E78B271" w14:textId="2DB7DFE1" w:rsidR="008F2AA0" w:rsidRPr="006A7A6E" w:rsidRDefault="008F2AA0" w:rsidP="008F2AA0">
            <w:pPr>
              <w:pStyle w:val="NoSpacing"/>
              <w:jc w:val="right"/>
              <w:rPr>
                <w:rFonts w:cstheme="minorHAnsi"/>
                <w:b/>
                <w:bCs/>
              </w:rPr>
            </w:pPr>
            <w:r>
              <w:rPr>
                <w:rFonts w:cstheme="minorHAnsi"/>
                <w:b/>
                <w:bCs/>
                <w:color w:val="000000" w:themeColor="text1"/>
              </w:rPr>
              <w:t>-</w:t>
            </w:r>
            <w:r w:rsidR="00424BD4">
              <w:rPr>
                <w:rFonts w:cstheme="minorHAnsi"/>
                <w:b/>
                <w:bCs/>
                <w:color w:val="000000" w:themeColor="text1"/>
              </w:rPr>
              <w:t>5.1</w:t>
            </w:r>
            <w:r w:rsidRPr="006A7A6E">
              <w:rPr>
                <w:rFonts w:cstheme="minorHAnsi"/>
                <w:b/>
                <w:bCs/>
                <w:color w:val="000000" w:themeColor="text1"/>
              </w:rPr>
              <w:t>%</w:t>
            </w:r>
          </w:p>
        </w:tc>
        <w:tc>
          <w:tcPr>
            <w:tcW w:w="964" w:type="dxa"/>
          </w:tcPr>
          <w:p w14:paraId="576290B6" w14:textId="2CC54B96" w:rsidR="008F2AA0" w:rsidRPr="006A7A6E" w:rsidRDefault="008F2AA0" w:rsidP="008F2AA0">
            <w:pPr>
              <w:pStyle w:val="NoSpacing"/>
              <w:jc w:val="right"/>
              <w:rPr>
                <w:rFonts w:cstheme="minorHAnsi"/>
                <w:b/>
                <w:bCs/>
              </w:rPr>
            </w:pPr>
            <w:r>
              <w:rPr>
                <w:rFonts w:cstheme="minorHAnsi"/>
                <w:b/>
                <w:bCs/>
                <w:color w:val="000000" w:themeColor="text1"/>
              </w:rPr>
              <w:t>-</w:t>
            </w:r>
            <w:r w:rsidR="00424BD4">
              <w:rPr>
                <w:rFonts w:cstheme="minorHAnsi"/>
                <w:b/>
                <w:bCs/>
                <w:color w:val="000000" w:themeColor="text1"/>
              </w:rPr>
              <w:t>21.6</w:t>
            </w:r>
            <w:r w:rsidRPr="006A7A6E">
              <w:rPr>
                <w:rFonts w:cstheme="minorHAnsi"/>
                <w:b/>
                <w:bCs/>
                <w:color w:val="000000" w:themeColor="text1"/>
              </w:rPr>
              <w:t>%</w:t>
            </w:r>
          </w:p>
        </w:tc>
      </w:tr>
      <w:tr w:rsidR="00AB019A" w:rsidRPr="00B25DFD" w14:paraId="20B4A675" w14:textId="7B567306" w:rsidTr="003305B1">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hideMark/>
          </w:tcPr>
          <w:p w14:paraId="0674F69D" w14:textId="21733F06" w:rsidR="00AB019A" w:rsidRPr="006A7A6E" w:rsidRDefault="00AB019A" w:rsidP="00AB019A">
            <w:pPr>
              <w:rPr>
                <w:rFonts w:cstheme="minorHAnsi"/>
              </w:rPr>
            </w:pPr>
            <w:r w:rsidRPr="006A7A6E">
              <w:rPr>
                <w:rFonts w:cstheme="minorHAnsi"/>
              </w:rPr>
              <w:t>White mushrooms</w:t>
            </w:r>
          </w:p>
        </w:tc>
        <w:tc>
          <w:tcPr>
            <w:tcW w:w="1168" w:type="dxa"/>
            <w:hideMark/>
          </w:tcPr>
          <w:p w14:paraId="502595AA" w14:textId="210D73E5" w:rsidR="00AB019A" w:rsidRPr="002F23A1" w:rsidRDefault="00AB019A" w:rsidP="00AB019A">
            <w:pPr>
              <w:pStyle w:val="NoSpacing"/>
              <w:jc w:val="right"/>
              <w:rPr>
                <w:rFonts w:cstheme="minorHAnsi"/>
              </w:rPr>
            </w:pPr>
            <w:r w:rsidRPr="002F23A1">
              <w:rPr>
                <w:rFonts w:cstheme="minorHAnsi"/>
                <w:color w:val="000000" w:themeColor="text1"/>
              </w:rPr>
              <w:t>$</w:t>
            </w:r>
            <w:r w:rsidR="00424BD4">
              <w:rPr>
                <w:rFonts w:cstheme="minorHAnsi"/>
                <w:color w:val="000000" w:themeColor="text1"/>
              </w:rPr>
              <w:t>53.0</w:t>
            </w:r>
            <w:r w:rsidRPr="002F23A1">
              <w:rPr>
                <w:rFonts w:cstheme="minorHAnsi"/>
                <w:color w:val="000000" w:themeColor="text1"/>
              </w:rPr>
              <w:t>M</w:t>
            </w:r>
          </w:p>
        </w:tc>
        <w:tc>
          <w:tcPr>
            <w:tcW w:w="882" w:type="dxa"/>
          </w:tcPr>
          <w:p w14:paraId="5E770B3E" w14:textId="509675ED" w:rsidR="00AB019A" w:rsidRPr="00D96AEE" w:rsidRDefault="00424BD4" w:rsidP="00AB019A">
            <w:pPr>
              <w:pStyle w:val="NoSpacing"/>
              <w:jc w:val="right"/>
              <w:rPr>
                <w:rFonts w:cstheme="minorHAnsi"/>
              </w:rPr>
            </w:pPr>
            <w:r>
              <w:rPr>
                <w:rFonts w:cstheme="minorHAnsi"/>
              </w:rPr>
              <w:t>51.1</w:t>
            </w:r>
            <w:r w:rsidR="00AB019A" w:rsidRPr="004C6314">
              <w:rPr>
                <w:rFonts w:cstheme="minorHAnsi"/>
              </w:rPr>
              <w:t>%</w:t>
            </w:r>
          </w:p>
        </w:tc>
        <w:tc>
          <w:tcPr>
            <w:tcW w:w="991" w:type="dxa"/>
            <w:hideMark/>
          </w:tcPr>
          <w:p w14:paraId="4CEB702D" w14:textId="7C72A50C" w:rsidR="00AB019A" w:rsidRPr="00D96AEE" w:rsidRDefault="00AB019A" w:rsidP="00AB019A">
            <w:pPr>
              <w:pStyle w:val="NoSpacing"/>
              <w:jc w:val="right"/>
              <w:rPr>
                <w:rFonts w:cstheme="minorHAnsi"/>
              </w:rPr>
            </w:pPr>
            <w:r w:rsidRPr="006B4514">
              <w:rPr>
                <w:rFonts w:cstheme="minorHAnsi"/>
                <w:color w:val="000000" w:themeColor="text1"/>
              </w:rPr>
              <w:t>-</w:t>
            </w:r>
            <w:r w:rsidR="00424BD4">
              <w:rPr>
                <w:rFonts w:cstheme="minorHAnsi"/>
                <w:color w:val="000000" w:themeColor="text1"/>
              </w:rPr>
              <w:t>5.2</w:t>
            </w:r>
            <w:r w:rsidRPr="006B4514">
              <w:rPr>
                <w:rFonts w:cstheme="minorHAnsi"/>
                <w:color w:val="000000" w:themeColor="text1"/>
              </w:rPr>
              <w:t>%</w:t>
            </w:r>
          </w:p>
        </w:tc>
        <w:tc>
          <w:tcPr>
            <w:tcW w:w="972" w:type="dxa"/>
            <w:tcBorders>
              <w:right w:val="single" w:sz="4" w:space="0" w:color="ED7D31"/>
            </w:tcBorders>
            <w:hideMark/>
          </w:tcPr>
          <w:p w14:paraId="7F3B4AE1" w14:textId="5FCDB956" w:rsidR="00AB019A" w:rsidRPr="0004266D" w:rsidRDefault="00AB019A" w:rsidP="00AB019A">
            <w:pPr>
              <w:pStyle w:val="NoSpacing"/>
              <w:jc w:val="right"/>
              <w:rPr>
                <w:rFonts w:cstheme="minorHAnsi"/>
              </w:rPr>
            </w:pPr>
            <w:r w:rsidRPr="00741482">
              <w:rPr>
                <w:rFonts w:cstheme="minorHAnsi"/>
                <w:color w:val="000000" w:themeColor="text1"/>
              </w:rPr>
              <w:t>-</w:t>
            </w:r>
            <w:r w:rsidR="00424BD4">
              <w:rPr>
                <w:rFonts w:cstheme="minorHAnsi"/>
                <w:color w:val="000000" w:themeColor="text1"/>
              </w:rPr>
              <w:t>16.9</w:t>
            </w:r>
            <w:r w:rsidRPr="00741482">
              <w:rPr>
                <w:rFonts w:cstheme="minorHAnsi"/>
                <w:color w:val="000000" w:themeColor="text1"/>
              </w:rPr>
              <w:t>%</w:t>
            </w:r>
          </w:p>
        </w:tc>
        <w:tc>
          <w:tcPr>
            <w:tcW w:w="927" w:type="dxa"/>
            <w:tcBorders>
              <w:left w:val="single" w:sz="4" w:space="0" w:color="ED7D31"/>
            </w:tcBorders>
          </w:tcPr>
          <w:p w14:paraId="3E87B660" w14:textId="5C9A1B0E" w:rsidR="00AB019A" w:rsidRPr="0004266D" w:rsidRDefault="00424BD4" w:rsidP="00AB019A">
            <w:pPr>
              <w:pStyle w:val="NoSpacing"/>
              <w:jc w:val="right"/>
              <w:rPr>
                <w:rFonts w:cstheme="minorHAnsi"/>
              </w:rPr>
            </w:pPr>
            <w:r>
              <w:rPr>
                <w:rFonts w:cstheme="minorHAnsi"/>
                <w:color w:val="000000" w:themeColor="text1"/>
              </w:rPr>
              <w:t>12.4</w:t>
            </w:r>
            <w:r w:rsidR="00AB019A" w:rsidRPr="0004266D">
              <w:rPr>
                <w:rFonts w:cstheme="minorHAnsi"/>
                <w:color w:val="000000" w:themeColor="text1"/>
              </w:rPr>
              <w:t>M</w:t>
            </w:r>
          </w:p>
        </w:tc>
        <w:tc>
          <w:tcPr>
            <w:tcW w:w="1117" w:type="dxa"/>
          </w:tcPr>
          <w:p w14:paraId="4385ED4A" w14:textId="7CFFC23B" w:rsidR="00AB019A" w:rsidRPr="00337F18" w:rsidRDefault="00424BD4" w:rsidP="00AB019A">
            <w:pPr>
              <w:pStyle w:val="NoSpacing"/>
              <w:tabs>
                <w:tab w:val="left" w:pos="510"/>
                <w:tab w:val="right" w:pos="674"/>
              </w:tabs>
              <w:jc w:val="right"/>
              <w:rPr>
                <w:rFonts w:cstheme="minorHAnsi"/>
              </w:rPr>
            </w:pPr>
            <w:r>
              <w:rPr>
                <w:rFonts w:cstheme="minorHAnsi"/>
              </w:rPr>
              <w:t>57.0</w:t>
            </w:r>
            <w:r w:rsidR="00AB019A" w:rsidRPr="000B53C4">
              <w:rPr>
                <w:rFonts w:cstheme="minorHAnsi"/>
              </w:rPr>
              <w:t>%</w:t>
            </w:r>
          </w:p>
        </w:tc>
        <w:tc>
          <w:tcPr>
            <w:tcW w:w="1047" w:type="dxa"/>
          </w:tcPr>
          <w:p w14:paraId="776C4AD3" w14:textId="68B60A9D" w:rsidR="00AB019A" w:rsidRPr="0004266D" w:rsidRDefault="00AB019A" w:rsidP="00AB019A">
            <w:pPr>
              <w:pStyle w:val="NoSpacing"/>
              <w:jc w:val="right"/>
              <w:rPr>
                <w:rFonts w:cstheme="minorHAnsi"/>
              </w:rPr>
            </w:pPr>
            <w:r w:rsidRPr="00493791">
              <w:rPr>
                <w:rFonts w:cstheme="minorHAnsi"/>
                <w:color w:val="000000" w:themeColor="text1"/>
              </w:rPr>
              <w:t>-</w:t>
            </w:r>
            <w:r w:rsidR="00424BD4">
              <w:rPr>
                <w:rFonts w:cstheme="minorHAnsi"/>
                <w:color w:val="000000" w:themeColor="text1"/>
              </w:rPr>
              <w:t>9.3</w:t>
            </w:r>
            <w:r w:rsidRPr="00493791">
              <w:rPr>
                <w:rFonts w:cstheme="minorHAnsi"/>
                <w:color w:val="000000" w:themeColor="text1"/>
              </w:rPr>
              <w:t>%</w:t>
            </w:r>
          </w:p>
        </w:tc>
        <w:tc>
          <w:tcPr>
            <w:tcW w:w="964" w:type="dxa"/>
          </w:tcPr>
          <w:p w14:paraId="107F8B93" w14:textId="5A82FEBB" w:rsidR="00AB019A" w:rsidRPr="00D96AEE" w:rsidRDefault="00AB019A" w:rsidP="00AB019A">
            <w:pPr>
              <w:pStyle w:val="NoSpacing"/>
              <w:jc w:val="right"/>
              <w:rPr>
                <w:rFonts w:cstheme="minorHAnsi"/>
              </w:rPr>
            </w:pPr>
            <w:r w:rsidRPr="00493791">
              <w:rPr>
                <w:rFonts w:cstheme="minorHAnsi"/>
                <w:color w:val="000000" w:themeColor="text1"/>
              </w:rPr>
              <w:t>-</w:t>
            </w:r>
            <w:r w:rsidR="00424BD4">
              <w:rPr>
                <w:rFonts w:cstheme="minorHAnsi"/>
                <w:color w:val="000000" w:themeColor="text1"/>
              </w:rPr>
              <w:t>26.7</w:t>
            </w:r>
            <w:r w:rsidRPr="00493791">
              <w:rPr>
                <w:rFonts w:cstheme="minorHAnsi"/>
                <w:color w:val="000000" w:themeColor="text1"/>
              </w:rPr>
              <w:t>%</w:t>
            </w:r>
          </w:p>
        </w:tc>
      </w:tr>
      <w:tr w:rsidR="00A36245" w:rsidRPr="00B25DFD" w14:paraId="6060C93B" w14:textId="081A30E4" w:rsidTr="003305B1">
        <w:trPr>
          <w:trHeight w:val="20"/>
        </w:trPr>
        <w:tc>
          <w:tcPr>
            <w:tcW w:w="2547" w:type="dxa"/>
            <w:vAlign w:val="center"/>
            <w:hideMark/>
          </w:tcPr>
          <w:p w14:paraId="4D628EC6" w14:textId="7F1F9492" w:rsidR="00A36245" w:rsidRPr="006A7A6E" w:rsidRDefault="00A36245" w:rsidP="00A36245">
            <w:pPr>
              <w:rPr>
                <w:rFonts w:cstheme="minorHAnsi"/>
              </w:rPr>
            </w:pPr>
            <w:r w:rsidRPr="006A7A6E">
              <w:rPr>
                <w:rFonts w:cstheme="minorHAnsi"/>
              </w:rPr>
              <w:t>Brown mushrooms</w:t>
            </w:r>
          </w:p>
        </w:tc>
        <w:tc>
          <w:tcPr>
            <w:tcW w:w="1168" w:type="dxa"/>
            <w:hideMark/>
          </w:tcPr>
          <w:p w14:paraId="590C2B94" w14:textId="62872EF0" w:rsidR="00A36245" w:rsidRPr="002F23A1" w:rsidRDefault="00A36245" w:rsidP="00A36245">
            <w:pPr>
              <w:pStyle w:val="NoSpacing"/>
              <w:jc w:val="right"/>
              <w:rPr>
                <w:rFonts w:cstheme="minorHAnsi"/>
              </w:rPr>
            </w:pPr>
            <w:r w:rsidRPr="002F23A1">
              <w:rPr>
                <w:rFonts w:cstheme="minorHAnsi"/>
                <w:color w:val="000000" w:themeColor="text1"/>
              </w:rPr>
              <w:t>$</w:t>
            </w:r>
            <w:r w:rsidR="00424BD4">
              <w:rPr>
                <w:rFonts w:cstheme="minorHAnsi"/>
                <w:color w:val="000000" w:themeColor="text1"/>
              </w:rPr>
              <w:t>44.5</w:t>
            </w:r>
            <w:r w:rsidRPr="002F23A1">
              <w:rPr>
                <w:rFonts w:cstheme="minorHAnsi"/>
                <w:color w:val="000000" w:themeColor="text1"/>
              </w:rPr>
              <w:t>M</w:t>
            </w:r>
          </w:p>
        </w:tc>
        <w:tc>
          <w:tcPr>
            <w:tcW w:w="882" w:type="dxa"/>
          </w:tcPr>
          <w:p w14:paraId="02395440" w14:textId="655DF114" w:rsidR="00A36245" w:rsidRPr="00337F18" w:rsidRDefault="00424BD4" w:rsidP="00A36245">
            <w:pPr>
              <w:pStyle w:val="NoSpacing"/>
              <w:jc w:val="right"/>
              <w:rPr>
                <w:rFonts w:cstheme="minorHAnsi"/>
              </w:rPr>
            </w:pPr>
            <w:r>
              <w:rPr>
                <w:rFonts w:cstheme="minorHAnsi"/>
              </w:rPr>
              <w:t>42.9</w:t>
            </w:r>
            <w:r w:rsidR="00A36245" w:rsidRPr="004C6314">
              <w:rPr>
                <w:rFonts w:cstheme="minorHAnsi"/>
              </w:rPr>
              <w:t>%</w:t>
            </w:r>
          </w:p>
        </w:tc>
        <w:tc>
          <w:tcPr>
            <w:tcW w:w="991" w:type="dxa"/>
            <w:hideMark/>
          </w:tcPr>
          <w:p w14:paraId="42F0AAF3" w14:textId="632BC5FF" w:rsidR="00A36245" w:rsidRPr="0004266D" w:rsidRDefault="00A36245" w:rsidP="00A36245">
            <w:pPr>
              <w:pStyle w:val="NoSpacing"/>
              <w:jc w:val="right"/>
              <w:rPr>
                <w:rFonts w:cstheme="minorHAnsi"/>
              </w:rPr>
            </w:pPr>
            <w:r w:rsidRPr="006B4514">
              <w:rPr>
                <w:rFonts w:cstheme="minorHAnsi"/>
                <w:color w:val="000000" w:themeColor="text1"/>
              </w:rPr>
              <w:t>-</w:t>
            </w:r>
            <w:r w:rsidR="00424BD4">
              <w:rPr>
                <w:rFonts w:cstheme="minorHAnsi"/>
                <w:color w:val="000000" w:themeColor="text1"/>
              </w:rPr>
              <w:t>1.2</w:t>
            </w:r>
            <w:r w:rsidRPr="006B4514">
              <w:rPr>
                <w:rFonts w:cstheme="minorHAnsi"/>
                <w:color w:val="000000" w:themeColor="text1"/>
              </w:rPr>
              <w:t>%</w:t>
            </w:r>
          </w:p>
        </w:tc>
        <w:tc>
          <w:tcPr>
            <w:tcW w:w="972" w:type="dxa"/>
            <w:tcBorders>
              <w:right w:val="single" w:sz="4" w:space="0" w:color="ED7D31"/>
            </w:tcBorders>
            <w:hideMark/>
          </w:tcPr>
          <w:p w14:paraId="25DB127B" w14:textId="3677E081" w:rsidR="00A36245" w:rsidRPr="0004266D" w:rsidRDefault="00A36245" w:rsidP="00A36245">
            <w:pPr>
              <w:pStyle w:val="NoSpacing"/>
              <w:jc w:val="right"/>
              <w:rPr>
                <w:rFonts w:cstheme="minorHAnsi"/>
              </w:rPr>
            </w:pPr>
            <w:r w:rsidRPr="00741482">
              <w:rPr>
                <w:rFonts w:cstheme="minorHAnsi"/>
                <w:color w:val="000000" w:themeColor="text1"/>
              </w:rPr>
              <w:t>-</w:t>
            </w:r>
            <w:r w:rsidR="00424BD4">
              <w:rPr>
                <w:rFonts w:cstheme="minorHAnsi"/>
                <w:color w:val="000000" w:themeColor="text1"/>
              </w:rPr>
              <w:t>5.9</w:t>
            </w:r>
            <w:r w:rsidRPr="00741482">
              <w:rPr>
                <w:rFonts w:cstheme="minorHAnsi"/>
                <w:color w:val="000000" w:themeColor="text1"/>
              </w:rPr>
              <w:t>%</w:t>
            </w:r>
          </w:p>
        </w:tc>
        <w:tc>
          <w:tcPr>
            <w:tcW w:w="927" w:type="dxa"/>
            <w:tcBorders>
              <w:left w:val="single" w:sz="4" w:space="0" w:color="ED7D31"/>
            </w:tcBorders>
          </w:tcPr>
          <w:p w14:paraId="6FD24DED" w14:textId="3B85E85A" w:rsidR="00A36245" w:rsidRPr="0004266D" w:rsidRDefault="00424BD4" w:rsidP="00A36245">
            <w:pPr>
              <w:pStyle w:val="NoSpacing"/>
              <w:jc w:val="right"/>
              <w:rPr>
                <w:rFonts w:cstheme="minorHAnsi"/>
              </w:rPr>
            </w:pPr>
            <w:r>
              <w:rPr>
                <w:rFonts w:cstheme="minorHAnsi"/>
                <w:color w:val="000000" w:themeColor="text1"/>
              </w:rPr>
              <w:t>8.9</w:t>
            </w:r>
            <w:r w:rsidR="00A36245" w:rsidRPr="0004266D">
              <w:rPr>
                <w:rFonts w:cstheme="minorHAnsi"/>
                <w:color w:val="000000" w:themeColor="text1"/>
              </w:rPr>
              <w:t>M</w:t>
            </w:r>
          </w:p>
        </w:tc>
        <w:tc>
          <w:tcPr>
            <w:tcW w:w="1117" w:type="dxa"/>
          </w:tcPr>
          <w:p w14:paraId="39529C18" w14:textId="73DFB70B" w:rsidR="00A36245" w:rsidRPr="00337F18" w:rsidRDefault="00424BD4" w:rsidP="00A36245">
            <w:pPr>
              <w:pStyle w:val="NoSpacing"/>
              <w:jc w:val="right"/>
              <w:rPr>
                <w:rFonts w:cstheme="minorHAnsi"/>
              </w:rPr>
            </w:pPr>
            <w:r>
              <w:rPr>
                <w:rFonts w:cstheme="minorHAnsi"/>
              </w:rPr>
              <w:t>40.9</w:t>
            </w:r>
            <w:r w:rsidR="00A36245" w:rsidRPr="000B53C4">
              <w:rPr>
                <w:rFonts w:cstheme="minorHAnsi"/>
              </w:rPr>
              <w:t>%</w:t>
            </w:r>
          </w:p>
        </w:tc>
        <w:tc>
          <w:tcPr>
            <w:tcW w:w="1047" w:type="dxa"/>
          </w:tcPr>
          <w:p w14:paraId="720478A7" w14:textId="29D0C0F8" w:rsidR="00A36245" w:rsidRPr="0004266D" w:rsidRDefault="00424BD4" w:rsidP="00A36245">
            <w:pPr>
              <w:pStyle w:val="NoSpacing"/>
              <w:jc w:val="right"/>
              <w:rPr>
                <w:rFonts w:cstheme="minorHAnsi"/>
              </w:rPr>
            </w:pPr>
            <w:r>
              <w:rPr>
                <w:rFonts w:cstheme="minorHAnsi"/>
                <w:color w:val="000000" w:themeColor="text1"/>
              </w:rPr>
              <w:t>+1.3</w:t>
            </w:r>
            <w:r w:rsidR="00A36245" w:rsidRPr="00493791">
              <w:rPr>
                <w:rFonts w:cstheme="minorHAnsi"/>
                <w:color w:val="000000" w:themeColor="text1"/>
              </w:rPr>
              <w:t>%</w:t>
            </w:r>
          </w:p>
        </w:tc>
        <w:tc>
          <w:tcPr>
            <w:tcW w:w="964" w:type="dxa"/>
          </w:tcPr>
          <w:p w14:paraId="30958CBD" w14:textId="3E0D6D28" w:rsidR="00A36245" w:rsidRPr="00D96AEE" w:rsidRDefault="00A36245" w:rsidP="00A36245">
            <w:pPr>
              <w:pStyle w:val="NoSpacing"/>
              <w:jc w:val="right"/>
              <w:rPr>
                <w:rFonts w:cstheme="minorHAnsi"/>
              </w:rPr>
            </w:pPr>
            <w:r w:rsidRPr="00493791">
              <w:rPr>
                <w:rFonts w:cstheme="minorHAnsi"/>
                <w:color w:val="000000" w:themeColor="text1"/>
              </w:rPr>
              <w:t>-</w:t>
            </w:r>
            <w:r w:rsidR="00424BD4">
              <w:rPr>
                <w:rFonts w:cstheme="minorHAnsi"/>
                <w:color w:val="000000" w:themeColor="text1"/>
              </w:rPr>
              <w:t>13.2</w:t>
            </w:r>
            <w:r w:rsidRPr="00493791">
              <w:rPr>
                <w:rFonts w:cstheme="minorHAnsi"/>
                <w:color w:val="000000" w:themeColor="text1"/>
              </w:rPr>
              <w:t>%</w:t>
            </w:r>
          </w:p>
        </w:tc>
      </w:tr>
      <w:tr w:rsidR="00A36245" w:rsidRPr="00B25DFD" w14:paraId="2B6B448E" w14:textId="7445020D" w:rsidTr="003305B1">
        <w:trPr>
          <w:cnfStyle w:val="000000100000" w:firstRow="0" w:lastRow="0" w:firstColumn="0" w:lastColumn="0" w:oddVBand="0" w:evenVBand="0" w:oddHBand="1" w:evenHBand="0" w:firstRowFirstColumn="0" w:firstRowLastColumn="0" w:lastRowFirstColumn="0" w:lastRowLastColumn="0"/>
          <w:trHeight w:val="20"/>
        </w:trPr>
        <w:tc>
          <w:tcPr>
            <w:tcW w:w="2547" w:type="dxa"/>
            <w:vAlign w:val="center"/>
            <w:hideMark/>
          </w:tcPr>
          <w:p w14:paraId="7C14C062" w14:textId="0BCE1D26" w:rsidR="00A36245" w:rsidRPr="006A7A6E" w:rsidRDefault="00A36245" w:rsidP="00A36245">
            <w:pPr>
              <w:rPr>
                <w:rFonts w:cstheme="minorHAnsi"/>
              </w:rPr>
            </w:pPr>
            <w:r>
              <w:rPr>
                <w:rFonts w:cstheme="minorHAnsi"/>
              </w:rPr>
              <w:t xml:space="preserve">Specialty </w:t>
            </w:r>
            <w:r w:rsidRPr="006A7A6E">
              <w:rPr>
                <w:rFonts w:cstheme="minorHAnsi"/>
              </w:rPr>
              <w:t>mushrooms</w:t>
            </w:r>
          </w:p>
        </w:tc>
        <w:tc>
          <w:tcPr>
            <w:tcW w:w="1168" w:type="dxa"/>
            <w:hideMark/>
          </w:tcPr>
          <w:p w14:paraId="43257BA5" w14:textId="3355ED38" w:rsidR="00A36245" w:rsidRPr="002F23A1" w:rsidRDefault="00A36245" w:rsidP="00A36245">
            <w:pPr>
              <w:pStyle w:val="NoSpacing"/>
              <w:jc w:val="right"/>
              <w:rPr>
                <w:rFonts w:cstheme="minorHAnsi"/>
              </w:rPr>
            </w:pPr>
            <w:r w:rsidRPr="002F23A1">
              <w:rPr>
                <w:rFonts w:cstheme="minorHAnsi"/>
                <w:color w:val="000000" w:themeColor="text1"/>
              </w:rPr>
              <w:t>$</w:t>
            </w:r>
            <w:r w:rsidR="00424BD4">
              <w:rPr>
                <w:rFonts w:cstheme="minorHAnsi"/>
                <w:color w:val="000000" w:themeColor="text1"/>
              </w:rPr>
              <w:t>6.3</w:t>
            </w:r>
            <w:r w:rsidRPr="002F23A1">
              <w:rPr>
                <w:rFonts w:cstheme="minorHAnsi"/>
                <w:color w:val="000000" w:themeColor="text1"/>
              </w:rPr>
              <w:t>M</w:t>
            </w:r>
          </w:p>
        </w:tc>
        <w:tc>
          <w:tcPr>
            <w:tcW w:w="882" w:type="dxa"/>
          </w:tcPr>
          <w:p w14:paraId="7EC04D31" w14:textId="7022C2F1" w:rsidR="00A36245" w:rsidRPr="00337F18" w:rsidRDefault="00424BD4" w:rsidP="00A36245">
            <w:pPr>
              <w:pStyle w:val="NoSpacing"/>
              <w:jc w:val="right"/>
              <w:rPr>
                <w:rFonts w:cstheme="minorHAnsi"/>
              </w:rPr>
            </w:pPr>
            <w:r>
              <w:rPr>
                <w:rFonts w:cstheme="minorHAnsi"/>
              </w:rPr>
              <w:t>6.0</w:t>
            </w:r>
            <w:r w:rsidR="00A36245" w:rsidRPr="004C6314">
              <w:rPr>
                <w:rFonts w:cstheme="minorHAnsi"/>
              </w:rPr>
              <w:t>%</w:t>
            </w:r>
          </w:p>
        </w:tc>
        <w:tc>
          <w:tcPr>
            <w:tcW w:w="991" w:type="dxa"/>
            <w:hideMark/>
          </w:tcPr>
          <w:p w14:paraId="10052F27" w14:textId="609F8A91" w:rsidR="00A36245" w:rsidRPr="0004266D" w:rsidRDefault="00A36245" w:rsidP="00A36245">
            <w:pPr>
              <w:pStyle w:val="NoSpacing"/>
              <w:jc w:val="right"/>
              <w:rPr>
                <w:rFonts w:cstheme="minorHAnsi"/>
              </w:rPr>
            </w:pPr>
            <w:r w:rsidRPr="006B4514">
              <w:rPr>
                <w:rFonts w:cstheme="minorHAnsi"/>
                <w:color w:val="000000" w:themeColor="text1"/>
              </w:rPr>
              <w:t>-</w:t>
            </w:r>
            <w:r w:rsidR="00424BD4">
              <w:rPr>
                <w:rFonts w:cstheme="minorHAnsi"/>
                <w:color w:val="000000" w:themeColor="text1"/>
              </w:rPr>
              <w:t>5.7</w:t>
            </w:r>
            <w:r w:rsidRPr="006B4514">
              <w:rPr>
                <w:rFonts w:cstheme="minorHAnsi"/>
                <w:color w:val="000000" w:themeColor="text1"/>
              </w:rPr>
              <w:t>%</w:t>
            </w:r>
          </w:p>
        </w:tc>
        <w:tc>
          <w:tcPr>
            <w:tcW w:w="972" w:type="dxa"/>
            <w:tcBorders>
              <w:right w:val="single" w:sz="4" w:space="0" w:color="ED7D31"/>
            </w:tcBorders>
            <w:hideMark/>
          </w:tcPr>
          <w:p w14:paraId="31EEA636" w14:textId="22BAE8A0" w:rsidR="00A36245" w:rsidRPr="0004266D" w:rsidRDefault="00A36245" w:rsidP="00A36245">
            <w:pPr>
              <w:pStyle w:val="NoSpacing"/>
              <w:jc w:val="right"/>
              <w:rPr>
                <w:rFonts w:cstheme="minorHAnsi"/>
              </w:rPr>
            </w:pPr>
            <w:r w:rsidRPr="00741482">
              <w:rPr>
                <w:rFonts w:cstheme="minorHAnsi"/>
                <w:color w:val="000000" w:themeColor="text1"/>
              </w:rPr>
              <w:t>-</w:t>
            </w:r>
            <w:r w:rsidR="00424BD4">
              <w:rPr>
                <w:rFonts w:cstheme="minorHAnsi"/>
                <w:color w:val="000000" w:themeColor="text1"/>
              </w:rPr>
              <w:t>16.8</w:t>
            </w:r>
            <w:r w:rsidRPr="00741482">
              <w:rPr>
                <w:rFonts w:cstheme="minorHAnsi"/>
                <w:color w:val="000000" w:themeColor="text1"/>
              </w:rPr>
              <w:t>%</w:t>
            </w:r>
          </w:p>
        </w:tc>
        <w:tc>
          <w:tcPr>
            <w:tcW w:w="927" w:type="dxa"/>
            <w:tcBorders>
              <w:left w:val="single" w:sz="4" w:space="0" w:color="ED7D31"/>
            </w:tcBorders>
          </w:tcPr>
          <w:p w14:paraId="166CB34C" w14:textId="656AE356" w:rsidR="00A36245" w:rsidRPr="0004266D" w:rsidRDefault="00424BD4" w:rsidP="00A36245">
            <w:pPr>
              <w:pStyle w:val="NoSpacing"/>
              <w:jc w:val="right"/>
              <w:rPr>
                <w:rFonts w:cstheme="minorHAnsi"/>
              </w:rPr>
            </w:pPr>
            <w:r>
              <w:rPr>
                <w:rFonts w:cstheme="minorHAnsi"/>
                <w:color w:val="000000" w:themeColor="text1"/>
              </w:rPr>
              <w:t>0.5</w:t>
            </w:r>
            <w:r w:rsidR="00A36245" w:rsidRPr="0004266D">
              <w:rPr>
                <w:rFonts w:cstheme="minorHAnsi"/>
                <w:color w:val="000000" w:themeColor="text1"/>
              </w:rPr>
              <w:t>M</w:t>
            </w:r>
          </w:p>
        </w:tc>
        <w:tc>
          <w:tcPr>
            <w:tcW w:w="1117" w:type="dxa"/>
          </w:tcPr>
          <w:p w14:paraId="417DE33D" w14:textId="1248C4DE" w:rsidR="00A36245" w:rsidRPr="00337F18" w:rsidRDefault="00424BD4" w:rsidP="00A36245">
            <w:pPr>
              <w:pStyle w:val="NoSpacing"/>
              <w:jc w:val="right"/>
              <w:rPr>
                <w:rFonts w:cstheme="minorHAnsi"/>
              </w:rPr>
            </w:pPr>
            <w:r>
              <w:rPr>
                <w:rFonts w:cstheme="minorHAnsi"/>
              </w:rPr>
              <w:t>2.1</w:t>
            </w:r>
            <w:r w:rsidR="00A36245" w:rsidRPr="000B53C4">
              <w:rPr>
                <w:rFonts w:cstheme="minorHAnsi"/>
              </w:rPr>
              <w:t>%</w:t>
            </w:r>
          </w:p>
        </w:tc>
        <w:tc>
          <w:tcPr>
            <w:tcW w:w="1047" w:type="dxa"/>
          </w:tcPr>
          <w:p w14:paraId="632726C6" w14:textId="03FE2107" w:rsidR="00A36245" w:rsidRPr="0004266D" w:rsidRDefault="00A36245" w:rsidP="00A36245">
            <w:pPr>
              <w:pStyle w:val="NoSpacing"/>
              <w:jc w:val="right"/>
              <w:rPr>
                <w:rFonts w:cstheme="minorHAnsi"/>
              </w:rPr>
            </w:pPr>
            <w:r w:rsidRPr="00493791">
              <w:rPr>
                <w:rFonts w:cstheme="minorHAnsi"/>
                <w:color w:val="000000" w:themeColor="text1"/>
              </w:rPr>
              <w:t>-</w:t>
            </w:r>
            <w:r w:rsidR="00424BD4">
              <w:rPr>
                <w:rFonts w:cstheme="minorHAnsi"/>
                <w:color w:val="000000" w:themeColor="text1"/>
              </w:rPr>
              <w:t>2.2</w:t>
            </w:r>
            <w:r w:rsidRPr="00493791">
              <w:rPr>
                <w:rFonts w:cstheme="minorHAnsi"/>
                <w:color w:val="000000" w:themeColor="text1"/>
              </w:rPr>
              <w:t>%</w:t>
            </w:r>
          </w:p>
        </w:tc>
        <w:tc>
          <w:tcPr>
            <w:tcW w:w="964" w:type="dxa"/>
          </w:tcPr>
          <w:p w14:paraId="700774A9" w14:textId="27AA4BC2" w:rsidR="00A36245" w:rsidRPr="0004266D" w:rsidRDefault="00A36245" w:rsidP="00A36245">
            <w:pPr>
              <w:pStyle w:val="NoSpacing"/>
              <w:jc w:val="right"/>
              <w:rPr>
                <w:rFonts w:cstheme="minorHAnsi"/>
              </w:rPr>
            </w:pPr>
            <w:r w:rsidRPr="00493791">
              <w:rPr>
                <w:rFonts w:cstheme="minorHAnsi"/>
                <w:color w:val="000000" w:themeColor="text1"/>
              </w:rPr>
              <w:t>-</w:t>
            </w:r>
            <w:r w:rsidR="00424BD4">
              <w:rPr>
                <w:rFonts w:cstheme="minorHAnsi"/>
                <w:color w:val="000000" w:themeColor="text1"/>
              </w:rPr>
              <w:t>24.5</w:t>
            </w:r>
            <w:r w:rsidRPr="00493791">
              <w:rPr>
                <w:rFonts w:cstheme="minorHAnsi"/>
                <w:color w:val="000000" w:themeColor="text1"/>
              </w:rPr>
              <w:t>%</w:t>
            </w:r>
          </w:p>
        </w:tc>
      </w:tr>
    </w:tbl>
    <w:bookmarkEnd w:id="0"/>
    <w:p w14:paraId="45617577" w14:textId="54E86237" w:rsidR="00555250" w:rsidRPr="00555250" w:rsidRDefault="00555250" w:rsidP="00782D09">
      <w:pPr>
        <w:pStyle w:val="NoSpacing"/>
        <w:spacing w:before="120"/>
        <w:rPr>
          <w:color w:val="7F7F7F" w:themeColor="text1" w:themeTint="80"/>
          <w:sz w:val="16"/>
          <w:szCs w:val="16"/>
        </w:rPr>
      </w:pPr>
      <w:r w:rsidRPr="00555250">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555250">
        <w:rPr>
          <w:color w:val="7F7F7F" w:themeColor="text1" w:themeTint="80"/>
          <w:sz w:val="16"/>
          <w:szCs w:val="16"/>
        </w:rPr>
        <w:t xml:space="preserve">, Integrated Fresh, MULO, </w:t>
      </w:r>
      <w:r w:rsidR="007D30DA">
        <w:rPr>
          <w:color w:val="7F7F7F" w:themeColor="text1" w:themeTint="80"/>
          <w:sz w:val="16"/>
          <w:szCs w:val="16"/>
        </w:rPr>
        <w:t>4</w:t>
      </w:r>
      <w:r w:rsidRPr="00555250">
        <w:rPr>
          <w:color w:val="7F7F7F" w:themeColor="text1" w:themeTint="80"/>
          <w:sz w:val="16"/>
          <w:szCs w:val="16"/>
        </w:rPr>
        <w:t xml:space="preserve"> weeks ending </w:t>
      </w:r>
      <w:r w:rsidR="00A36245">
        <w:rPr>
          <w:color w:val="7F7F7F" w:themeColor="text1" w:themeTint="80"/>
          <w:sz w:val="16"/>
          <w:szCs w:val="16"/>
        </w:rPr>
        <w:t>1/28/2024</w:t>
      </w:r>
    </w:p>
    <w:p w14:paraId="0804BC52" w14:textId="568E8254" w:rsidR="0092088E" w:rsidRDefault="0092088E" w:rsidP="00472B02">
      <w:pPr>
        <w:pStyle w:val="NoSpacing"/>
      </w:pPr>
    </w:p>
    <w:p w14:paraId="1AE70965" w14:textId="7011B1FE" w:rsidR="00432D1F" w:rsidRPr="00432D1F" w:rsidRDefault="00432D1F" w:rsidP="00432D1F">
      <w:pPr>
        <w:pStyle w:val="Heading2"/>
        <w:rPr>
          <w:b/>
          <w:bCs/>
          <w:color w:val="ED7D31" w:themeColor="accent2"/>
        </w:rPr>
      </w:pPr>
      <w:proofErr w:type="spellStart"/>
      <w:r w:rsidRPr="00432D1F">
        <w:rPr>
          <w:b/>
          <w:bCs/>
          <w:color w:val="ED7D31" w:themeColor="accent2"/>
        </w:rPr>
        <w:t>Crimini</w:t>
      </w:r>
      <w:proofErr w:type="spellEnd"/>
      <w:r w:rsidRPr="00432D1F">
        <w:rPr>
          <w:b/>
          <w:bCs/>
          <w:color w:val="ED7D31" w:themeColor="accent2"/>
        </w:rPr>
        <w:t xml:space="preserve"> (Baby Bella) mushrooms</w:t>
      </w:r>
    </w:p>
    <w:p w14:paraId="71A65938" w14:textId="0F33BC60" w:rsidR="00834A70" w:rsidRDefault="00834A70" w:rsidP="00834A70">
      <w:pPr>
        <w:pStyle w:val="NoSpacing"/>
      </w:pPr>
      <w:r>
        <w:t xml:space="preserve">The growth of </w:t>
      </w:r>
      <w:proofErr w:type="spellStart"/>
      <w:r>
        <w:t>crimini</w:t>
      </w:r>
      <w:proofErr w:type="spellEnd"/>
      <w:r>
        <w:t xml:space="preserve"> mushrooms continued over the past year. </w:t>
      </w:r>
    </w:p>
    <w:p w14:paraId="29A070E8" w14:textId="208A3880" w:rsidR="00432D1F" w:rsidRDefault="00834A70" w:rsidP="00834A70">
      <w:pPr>
        <w:pStyle w:val="NoSpacing"/>
        <w:numPr>
          <w:ilvl w:val="0"/>
          <w:numId w:val="24"/>
        </w:numPr>
      </w:pPr>
      <w:proofErr w:type="spellStart"/>
      <w:r>
        <w:t>Crimini</w:t>
      </w:r>
      <w:proofErr w:type="spellEnd"/>
      <w:r>
        <w:t xml:space="preserve"> mushrooms represent 34.2% of dollars in the latest 52 weeks. </w:t>
      </w:r>
    </w:p>
    <w:p w14:paraId="01A7EF2C" w14:textId="011EB7C7" w:rsidR="00834A70" w:rsidRDefault="00834A70" w:rsidP="00834A70">
      <w:pPr>
        <w:pStyle w:val="NoSpacing"/>
        <w:numPr>
          <w:ilvl w:val="0"/>
          <w:numId w:val="24"/>
        </w:numPr>
      </w:pPr>
      <w:r>
        <w:t xml:space="preserve">With 52-week sales of $426 million, </w:t>
      </w:r>
      <w:proofErr w:type="spellStart"/>
      <w:r>
        <w:t>crimini</w:t>
      </w:r>
      <w:proofErr w:type="spellEnd"/>
      <w:r>
        <w:t xml:space="preserve"> mushroom sales increased 2.0% over year-ago levels and 7.1% when compared to two years ago.</w:t>
      </w:r>
    </w:p>
    <w:p w14:paraId="49887AC3" w14:textId="6587A9CE" w:rsidR="00834A70" w:rsidRDefault="00834A70" w:rsidP="00834A70">
      <w:pPr>
        <w:pStyle w:val="NoSpacing"/>
        <w:numPr>
          <w:ilvl w:val="0"/>
          <w:numId w:val="24"/>
        </w:numPr>
      </w:pPr>
      <w:r>
        <w:t xml:space="preserve">Unit sales (packages sold) reached 133 million in the latest 52 weeks, up 1.1% versus year ago. </w:t>
      </w:r>
    </w:p>
    <w:p w14:paraId="5D161A15" w14:textId="798A90A9" w:rsidR="00834A70" w:rsidRDefault="00834A70" w:rsidP="00834A70">
      <w:pPr>
        <w:pStyle w:val="NoSpacing"/>
        <w:numPr>
          <w:ilvl w:val="0"/>
          <w:numId w:val="24"/>
        </w:numPr>
      </w:pPr>
      <w:r>
        <w:t xml:space="preserve">Volume sales reached 88 million pounds, which was up 1.6% versus last year. </w:t>
      </w:r>
    </w:p>
    <w:p w14:paraId="7F04A685" w14:textId="77777777" w:rsidR="00432D1F" w:rsidRDefault="00432D1F" w:rsidP="00472B02">
      <w:pPr>
        <w:pStyle w:val="NoSpacing"/>
      </w:pPr>
    </w:p>
    <w:p w14:paraId="59E70896" w14:textId="52CB107E" w:rsidR="004C2808" w:rsidRPr="004462C1" w:rsidRDefault="004C2808" w:rsidP="004462C1">
      <w:pPr>
        <w:pStyle w:val="Heading2"/>
        <w:rPr>
          <w:b/>
          <w:bCs/>
          <w:color w:val="ED7D31" w:themeColor="accent2"/>
        </w:rPr>
      </w:pPr>
      <w:r w:rsidRPr="004462C1">
        <w:rPr>
          <w:b/>
          <w:bCs/>
          <w:color w:val="ED7D31" w:themeColor="accent2"/>
        </w:rPr>
        <w:t>Additional observations:</w:t>
      </w:r>
    </w:p>
    <w:p w14:paraId="22421914" w14:textId="72AB83CB" w:rsidR="00C9550B" w:rsidRDefault="00C9550B" w:rsidP="00174F0E">
      <w:pPr>
        <w:pStyle w:val="NoSpacing"/>
        <w:numPr>
          <w:ilvl w:val="0"/>
          <w:numId w:val="2"/>
        </w:numPr>
        <w:rPr>
          <w:color w:val="000000" w:themeColor="text1"/>
        </w:rPr>
      </w:pPr>
      <w:r w:rsidRPr="00B11421">
        <w:rPr>
          <w:color w:val="000000" w:themeColor="text1"/>
          <w:u w:val="single"/>
        </w:rPr>
        <w:t>Package size</w:t>
      </w:r>
      <w:r w:rsidRPr="00B11421">
        <w:rPr>
          <w:color w:val="000000" w:themeColor="text1"/>
        </w:rPr>
        <w:t xml:space="preserve">: </w:t>
      </w:r>
      <w:r w:rsidR="00B672D0" w:rsidRPr="00B11421">
        <w:rPr>
          <w:color w:val="000000" w:themeColor="text1"/>
        </w:rPr>
        <w:t>8</w:t>
      </w:r>
      <w:r w:rsidRPr="00B11421">
        <w:rPr>
          <w:color w:val="000000" w:themeColor="text1"/>
        </w:rPr>
        <w:t xml:space="preserve">-ounce packages </w:t>
      </w:r>
      <w:r w:rsidR="00B42A49" w:rsidRPr="00B11421">
        <w:rPr>
          <w:color w:val="000000" w:themeColor="text1"/>
        </w:rPr>
        <w:t xml:space="preserve">generated </w:t>
      </w:r>
      <w:r w:rsidR="00C06C77">
        <w:rPr>
          <w:color w:val="000000" w:themeColor="text1"/>
        </w:rPr>
        <w:t>53.2</w:t>
      </w:r>
      <w:r w:rsidR="00B672D0" w:rsidRPr="00B11421">
        <w:rPr>
          <w:color w:val="000000" w:themeColor="text1"/>
        </w:rPr>
        <w:t>% of total sales in the four-week period</w:t>
      </w:r>
      <w:r w:rsidR="00B11421" w:rsidRPr="00B11421">
        <w:rPr>
          <w:color w:val="000000" w:themeColor="text1"/>
        </w:rPr>
        <w:t xml:space="preserve"> </w:t>
      </w:r>
      <w:r w:rsidR="00834A70">
        <w:rPr>
          <w:color w:val="000000" w:themeColor="text1"/>
        </w:rPr>
        <w:t>and dollar sales were down 2.2%. 16-ounce packages are the next largest seller, but were down 11.2%</w:t>
      </w:r>
      <w:r w:rsidRPr="00B11421">
        <w:rPr>
          <w:color w:val="000000" w:themeColor="text1"/>
        </w:rPr>
        <w:t>.</w:t>
      </w:r>
      <w:r w:rsidR="00834A70">
        <w:rPr>
          <w:color w:val="000000" w:themeColor="text1"/>
        </w:rPr>
        <w:t xml:space="preserve"> </w:t>
      </w:r>
    </w:p>
    <w:p w14:paraId="339DBAF6" w14:textId="0957511C" w:rsidR="00834A70" w:rsidRDefault="00834A70" w:rsidP="00834A70">
      <w:pPr>
        <w:pStyle w:val="NoSpacing"/>
        <w:numPr>
          <w:ilvl w:val="1"/>
          <w:numId w:val="2"/>
        </w:numPr>
        <w:rPr>
          <w:color w:val="000000" w:themeColor="text1"/>
        </w:rPr>
      </w:pPr>
      <w:r w:rsidRPr="00834A70">
        <w:rPr>
          <w:color w:val="000000" w:themeColor="text1"/>
        </w:rPr>
        <w:t>24-ounce packages (third-largest seller in the quad-week period, had flat sales (0.0% vs. YA)</w:t>
      </w:r>
    </w:p>
    <w:p w14:paraId="4D1265E0" w14:textId="055E93C9" w:rsidR="00834A70" w:rsidRPr="00834A70" w:rsidRDefault="00834A70" w:rsidP="00834A70">
      <w:pPr>
        <w:pStyle w:val="NoSpacing"/>
        <w:numPr>
          <w:ilvl w:val="1"/>
          <w:numId w:val="2"/>
        </w:numPr>
        <w:rPr>
          <w:color w:val="000000" w:themeColor="text1"/>
        </w:rPr>
      </w:pPr>
      <w:r>
        <w:rPr>
          <w:color w:val="000000" w:themeColor="text1"/>
        </w:rPr>
        <w:t xml:space="preserve">10 and 12-ounce packages, though smaller sellers, had robust dollar gains, at +7.6% and +33.1%. </w:t>
      </w:r>
    </w:p>
    <w:p w14:paraId="5A086945" w14:textId="116BDA89" w:rsidR="00B11421" w:rsidRPr="00B11421" w:rsidRDefault="004462C1" w:rsidP="00F55B8D">
      <w:pPr>
        <w:pStyle w:val="NoSpacing"/>
        <w:numPr>
          <w:ilvl w:val="0"/>
          <w:numId w:val="2"/>
        </w:numPr>
        <w:rPr>
          <w:color w:val="000000" w:themeColor="text1"/>
        </w:rPr>
      </w:pPr>
      <w:r w:rsidRPr="00B11421">
        <w:rPr>
          <w:color w:val="000000" w:themeColor="text1"/>
          <w:u w:val="single"/>
        </w:rPr>
        <w:t>Organic vs</w:t>
      </w:r>
      <w:r w:rsidR="005B6968" w:rsidRPr="00B11421">
        <w:rPr>
          <w:color w:val="000000" w:themeColor="text1"/>
          <w:u w:val="single"/>
        </w:rPr>
        <w:t>.</w:t>
      </w:r>
      <w:r w:rsidRPr="00B11421">
        <w:rPr>
          <w:color w:val="000000" w:themeColor="text1"/>
          <w:u w:val="single"/>
        </w:rPr>
        <w:t xml:space="preserve"> conventional</w:t>
      </w:r>
      <w:r w:rsidRPr="00B11421">
        <w:rPr>
          <w:color w:val="000000" w:themeColor="text1"/>
        </w:rPr>
        <w:t xml:space="preserve">: Organic </w:t>
      </w:r>
      <w:r w:rsidR="005B6968" w:rsidRPr="00B11421">
        <w:rPr>
          <w:color w:val="000000" w:themeColor="text1"/>
        </w:rPr>
        <w:t xml:space="preserve">mushrooms </w:t>
      </w:r>
      <w:r w:rsidRPr="00B11421">
        <w:rPr>
          <w:color w:val="000000" w:themeColor="text1"/>
        </w:rPr>
        <w:t>made up</w:t>
      </w:r>
      <w:r w:rsidR="007946B0">
        <w:rPr>
          <w:color w:val="000000" w:themeColor="text1"/>
        </w:rPr>
        <w:t xml:space="preserve"> </w:t>
      </w:r>
      <w:r w:rsidR="00C06C77">
        <w:rPr>
          <w:color w:val="000000" w:themeColor="text1"/>
        </w:rPr>
        <w:t>10.6</w:t>
      </w:r>
      <w:r w:rsidRPr="00B11421">
        <w:rPr>
          <w:color w:val="000000" w:themeColor="text1"/>
        </w:rPr>
        <w:t xml:space="preserve">% of </w:t>
      </w:r>
      <w:r w:rsidR="00BE7EF2" w:rsidRPr="00B11421">
        <w:rPr>
          <w:color w:val="000000" w:themeColor="text1"/>
        </w:rPr>
        <w:t>pounds</w:t>
      </w:r>
      <w:r w:rsidR="00F12F2D">
        <w:rPr>
          <w:color w:val="000000" w:themeColor="text1"/>
        </w:rPr>
        <w:t>, but sales fell below year ago levels after tracking ahead</w:t>
      </w:r>
      <w:r w:rsidR="00B42A49" w:rsidRPr="00B11421">
        <w:rPr>
          <w:color w:val="000000" w:themeColor="text1"/>
        </w:rPr>
        <w:t xml:space="preserve">. </w:t>
      </w:r>
      <w:r w:rsidR="0009067E" w:rsidRPr="00B11421">
        <w:rPr>
          <w:color w:val="000000" w:themeColor="text1"/>
        </w:rPr>
        <w:t xml:space="preserve">Over the past 52 weeks, </w:t>
      </w:r>
      <w:r w:rsidR="00B11421" w:rsidRPr="00B11421">
        <w:rPr>
          <w:color w:val="000000" w:themeColor="text1"/>
        </w:rPr>
        <w:t>pound</w:t>
      </w:r>
      <w:r w:rsidR="0029118F">
        <w:rPr>
          <w:color w:val="000000" w:themeColor="text1"/>
        </w:rPr>
        <w:t xml:space="preserve"> sales de</w:t>
      </w:r>
      <w:r w:rsidR="00B42A49" w:rsidRPr="00B11421">
        <w:rPr>
          <w:color w:val="000000" w:themeColor="text1"/>
        </w:rPr>
        <w:t xml:space="preserve">creased </w:t>
      </w:r>
      <w:r w:rsidR="00C06C77">
        <w:rPr>
          <w:color w:val="000000" w:themeColor="text1"/>
        </w:rPr>
        <w:t>1.8</w:t>
      </w:r>
      <w:r w:rsidR="00B42A49" w:rsidRPr="00B11421">
        <w:rPr>
          <w:color w:val="000000" w:themeColor="text1"/>
        </w:rPr>
        <w:t xml:space="preserve">% </w:t>
      </w:r>
      <w:r w:rsidR="0009067E" w:rsidRPr="00B11421">
        <w:rPr>
          <w:color w:val="000000" w:themeColor="text1"/>
        </w:rPr>
        <w:t>fo</w:t>
      </w:r>
      <w:r w:rsidR="00916DE2" w:rsidRPr="00B11421">
        <w:rPr>
          <w:color w:val="000000" w:themeColor="text1"/>
        </w:rPr>
        <w:t>r organic mushrooms</w:t>
      </w:r>
      <w:r w:rsidR="0009067E" w:rsidRPr="00B11421">
        <w:rPr>
          <w:color w:val="000000" w:themeColor="text1"/>
        </w:rPr>
        <w:t>.</w:t>
      </w:r>
    </w:p>
    <w:p w14:paraId="5CC8E748" w14:textId="0A5A47C3" w:rsidR="00300A5F" w:rsidRPr="00B11421" w:rsidRDefault="00B11421" w:rsidP="00F55B8D">
      <w:pPr>
        <w:pStyle w:val="NoSpacing"/>
        <w:numPr>
          <w:ilvl w:val="0"/>
          <w:numId w:val="2"/>
        </w:numPr>
        <w:rPr>
          <w:color w:val="000000" w:themeColor="text1"/>
        </w:rPr>
      </w:pPr>
      <w:r w:rsidRPr="00BD7CF0">
        <w:rPr>
          <w:color w:val="000000" w:themeColor="text1"/>
          <w:u w:val="single"/>
        </w:rPr>
        <w:t>Whole vs. sliced/diced</w:t>
      </w:r>
      <w:r>
        <w:rPr>
          <w:color w:val="000000" w:themeColor="text1"/>
        </w:rPr>
        <w:t>: whole mushrooms are outperforming sliced/cut/diced wi</w:t>
      </w:r>
      <w:r w:rsidR="0083255B">
        <w:rPr>
          <w:color w:val="000000" w:themeColor="text1"/>
        </w:rPr>
        <w:t>th</w:t>
      </w:r>
      <w:r w:rsidR="007946B0">
        <w:rPr>
          <w:color w:val="000000" w:themeColor="text1"/>
        </w:rPr>
        <w:t xml:space="preserve"> </w:t>
      </w:r>
      <w:r w:rsidR="001A33F9">
        <w:rPr>
          <w:color w:val="000000" w:themeColor="text1"/>
        </w:rPr>
        <w:t xml:space="preserve">a </w:t>
      </w:r>
      <w:r w:rsidR="007946B0">
        <w:rPr>
          <w:color w:val="000000" w:themeColor="text1"/>
        </w:rPr>
        <w:t xml:space="preserve">volume </w:t>
      </w:r>
      <w:r w:rsidR="001A33F9">
        <w:rPr>
          <w:color w:val="000000" w:themeColor="text1"/>
        </w:rPr>
        <w:t xml:space="preserve">change </w:t>
      </w:r>
      <w:r w:rsidR="007946B0">
        <w:rPr>
          <w:color w:val="000000" w:themeColor="text1"/>
        </w:rPr>
        <w:t>of</w:t>
      </w:r>
      <w:r w:rsidR="00C06C77">
        <w:rPr>
          <w:color w:val="000000" w:themeColor="text1"/>
        </w:rPr>
        <w:t xml:space="preserve">       </w:t>
      </w:r>
      <w:r w:rsidR="007946B0">
        <w:rPr>
          <w:color w:val="000000" w:themeColor="text1"/>
        </w:rPr>
        <w:t xml:space="preserve"> </w:t>
      </w:r>
      <w:r w:rsidR="00C06C77">
        <w:rPr>
          <w:color w:val="000000" w:themeColor="text1"/>
        </w:rPr>
        <w:t>-2.1</w:t>
      </w:r>
      <w:r w:rsidR="007946B0">
        <w:rPr>
          <w:color w:val="000000" w:themeColor="text1"/>
        </w:rPr>
        <w:t>% for no preparation and -</w:t>
      </w:r>
      <w:r w:rsidR="00C06C77">
        <w:rPr>
          <w:color w:val="000000" w:themeColor="text1"/>
        </w:rPr>
        <w:t>8.3</w:t>
      </w:r>
      <w:r>
        <w:rPr>
          <w:color w:val="000000" w:themeColor="text1"/>
        </w:rPr>
        <w:t>% for</w:t>
      </w:r>
      <w:r w:rsidR="007946B0">
        <w:rPr>
          <w:color w:val="000000" w:themeColor="text1"/>
        </w:rPr>
        <w:t xml:space="preserve"> cut/sliced</w:t>
      </w:r>
      <w:r w:rsidR="001A33F9">
        <w:rPr>
          <w:color w:val="000000" w:themeColor="text1"/>
        </w:rPr>
        <w:t xml:space="preserve"> mushrooms</w:t>
      </w:r>
      <w:r w:rsidR="007946B0">
        <w:rPr>
          <w:color w:val="000000" w:themeColor="text1"/>
        </w:rPr>
        <w:t xml:space="preserve">, which reflect </w:t>
      </w:r>
      <w:r w:rsidR="00C06C77">
        <w:rPr>
          <w:color w:val="000000" w:themeColor="text1"/>
        </w:rPr>
        <w:t>46.9</w:t>
      </w:r>
      <w:r>
        <w:rPr>
          <w:color w:val="000000" w:themeColor="text1"/>
        </w:rPr>
        <w:t xml:space="preserve">% of pound sales. </w:t>
      </w:r>
      <w:r w:rsidR="0009067E" w:rsidRPr="00B11421">
        <w:rPr>
          <w:color w:val="000000" w:themeColor="text1"/>
        </w:rPr>
        <w:t xml:space="preserve"> </w:t>
      </w:r>
    </w:p>
    <w:p w14:paraId="780AB35F" w14:textId="77777777" w:rsidR="000E0D6B" w:rsidRPr="00B11421" w:rsidRDefault="000E0D6B" w:rsidP="00C9550B">
      <w:pPr>
        <w:pStyle w:val="NoSpacing"/>
        <w:rPr>
          <w:color w:val="000000" w:themeColor="text1"/>
          <w:sz w:val="14"/>
          <w:szCs w:val="14"/>
        </w:rPr>
      </w:pPr>
    </w:p>
    <w:p w14:paraId="5DBFDF80" w14:textId="58EF6A90" w:rsidR="00B34EF7" w:rsidRPr="00B34EF7" w:rsidRDefault="00782D09" w:rsidP="00C9550B">
      <w:pPr>
        <w:pStyle w:val="NoSpacing"/>
      </w:pPr>
      <w:r w:rsidRPr="00EB30C7">
        <w:rPr>
          <w:color w:val="7F7F7F" w:themeColor="text1" w:themeTint="80"/>
          <w:sz w:val="16"/>
          <w:szCs w:val="16"/>
        </w:rPr>
        <w:t xml:space="preserve">Source: </w:t>
      </w:r>
      <w:proofErr w:type="spellStart"/>
      <w:r w:rsidR="004C5B27">
        <w:rPr>
          <w:color w:val="7F7F7F" w:themeColor="text1" w:themeTint="80"/>
          <w:sz w:val="16"/>
          <w:szCs w:val="16"/>
        </w:rPr>
        <w:t>Circana</w:t>
      </w:r>
      <w:proofErr w:type="spellEnd"/>
      <w:r w:rsidRPr="00EB30C7">
        <w:rPr>
          <w:color w:val="7F7F7F" w:themeColor="text1" w:themeTint="80"/>
          <w:sz w:val="16"/>
          <w:szCs w:val="16"/>
        </w:rPr>
        <w:t xml:space="preserve">, Integrated Fresh, MULO, </w:t>
      </w:r>
      <w:r w:rsidR="004B7951" w:rsidRPr="00EB30C7">
        <w:rPr>
          <w:color w:val="7F7F7F" w:themeColor="text1" w:themeTint="80"/>
          <w:sz w:val="16"/>
          <w:szCs w:val="16"/>
        </w:rPr>
        <w:t>4</w:t>
      </w:r>
      <w:r w:rsidR="0009067E">
        <w:rPr>
          <w:color w:val="7F7F7F" w:themeColor="text1" w:themeTint="80"/>
          <w:sz w:val="16"/>
          <w:szCs w:val="16"/>
        </w:rPr>
        <w:t xml:space="preserve"> or 52</w:t>
      </w:r>
      <w:r w:rsidRPr="00EB30C7">
        <w:rPr>
          <w:color w:val="7F7F7F" w:themeColor="text1" w:themeTint="80"/>
          <w:sz w:val="16"/>
          <w:szCs w:val="16"/>
        </w:rPr>
        <w:t xml:space="preserve"> weeks ending </w:t>
      </w:r>
      <w:r w:rsidR="00A36245">
        <w:rPr>
          <w:color w:val="7F7F7F" w:themeColor="text1" w:themeTint="80"/>
          <w:sz w:val="16"/>
          <w:szCs w:val="16"/>
        </w:rPr>
        <w:t>1/28/2024</w:t>
      </w:r>
      <w:r w:rsidR="00B34EF7">
        <w:t xml:space="preserve"> </w:t>
      </w:r>
    </w:p>
    <w:sectPr w:rsidR="00B34EF7" w:rsidRPr="00B34EF7" w:rsidSect="00B913BB">
      <w:pgSz w:w="12240" w:h="15840"/>
      <w:pgMar w:top="720" w:right="1080" w:bottom="90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08E9B" w14:textId="77777777" w:rsidR="00B913BB" w:rsidRDefault="00B913BB" w:rsidP="004E49DD">
      <w:pPr>
        <w:spacing w:after="0" w:line="240" w:lineRule="auto"/>
      </w:pPr>
      <w:r>
        <w:separator/>
      </w:r>
    </w:p>
  </w:endnote>
  <w:endnote w:type="continuationSeparator" w:id="0">
    <w:p w14:paraId="38380E96" w14:textId="77777777" w:rsidR="00B913BB" w:rsidRDefault="00B913BB" w:rsidP="004E49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FFBD0" w14:textId="77777777" w:rsidR="00B913BB" w:rsidRDefault="00B913BB" w:rsidP="004E49DD">
      <w:pPr>
        <w:spacing w:after="0" w:line="240" w:lineRule="auto"/>
      </w:pPr>
      <w:r>
        <w:separator/>
      </w:r>
    </w:p>
  </w:footnote>
  <w:footnote w:type="continuationSeparator" w:id="0">
    <w:p w14:paraId="2B4EAABA" w14:textId="77777777" w:rsidR="00B913BB" w:rsidRDefault="00B913BB" w:rsidP="004E49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7DB0"/>
    <w:multiLevelType w:val="hybridMultilevel"/>
    <w:tmpl w:val="4F1C3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00259"/>
    <w:multiLevelType w:val="hybridMultilevel"/>
    <w:tmpl w:val="908CB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50B7EE9"/>
    <w:multiLevelType w:val="hybridMultilevel"/>
    <w:tmpl w:val="2954D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BE75F2"/>
    <w:multiLevelType w:val="hybridMultilevel"/>
    <w:tmpl w:val="3E080B3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2106E38"/>
    <w:multiLevelType w:val="hybridMultilevel"/>
    <w:tmpl w:val="682851D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A0C5748"/>
    <w:multiLevelType w:val="hybridMultilevel"/>
    <w:tmpl w:val="6DF8489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EFC3B04"/>
    <w:multiLevelType w:val="hybridMultilevel"/>
    <w:tmpl w:val="7F3CC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03B0A5F"/>
    <w:multiLevelType w:val="hybridMultilevel"/>
    <w:tmpl w:val="07A2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D260834"/>
    <w:multiLevelType w:val="hybridMultilevel"/>
    <w:tmpl w:val="E31420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D856333"/>
    <w:multiLevelType w:val="hybridMultilevel"/>
    <w:tmpl w:val="DBDADF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5632060"/>
    <w:multiLevelType w:val="hybridMultilevel"/>
    <w:tmpl w:val="727C6D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A543B87"/>
    <w:multiLevelType w:val="hybridMultilevel"/>
    <w:tmpl w:val="F7BE0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B97271D"/>
    <w:multiLevelType w:val="hybridMultilevel"/>
    <w:tmpl w:val="6812E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092F24"/>
    <w:multiLevelType w:val="hybridMultilevel"/>
    <w:tmpl w:val="B5BC8C1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34309E8"/>
    <w:multiLevelType w:val="hybridMultilevel"/>
    <w:tmpl w:val="0F663C8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F185B61"/>
    <w:multiLevelType w:val="hybridMultilevel"/>
    <w:tmpl w:val="E54C32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0E31FD0"/>
    <w:multiLevelType w:val="hybridMultilevel"/>
    <w:tmpl w:val="49DCE1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139032F"/>
    <w:multiLevelType w:val="hybridMultilevel"/>
    <w:tmpl w:val="2C6C92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C266F7"/>
    <w:multiLevelType w:val="hybridMultilevel"/>
    <w:tmpl w:val="AB3EF8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51B0A5F"/>
    <w:multiLevelType w:val="hybridMultilevel"/>
    <w:tmpl w:val="20560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214409"/>
    <w:multiLevelType w:val="hybridMultilevel"/>
    <w:tmpl w:val="3BF6A04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EBC79E5"/>
    <w:multiLevelType w:val="hybridMultilevel"/>
    <w:tmpl w:val="36A250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BDD128A"/>
    <w:multiLevelType w:val="hybridMultilevel"/>
    <w:tmpl w:val="E1844B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FBD39AD"/>
    <w:multiLevelType w:val="hybridMultilevel"/>
    <w:tmpl w:val="3A285B6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5564654">
    <w:abstractNumId w:val="12"/>
  </w:num>
  <w:num w:numId="2" w16cid:durableId="1295452173">
    <w:abstractNumId w:val="14"/>
  </w:num>
  <w:num w:numId="3" w16cid:durableId="2133672782">
    <w:abstractNumId w:val="17"/>
  </w:num>
  <w:num w:numId="4" w16cid:durableId="905529844">
    <w:abstractNumId w:val="6"/>
  </w:num>
  <w:num w:numId="5" w16cid:durableId="373116275">
    <w:abstractNumId w:val="21"/>
  </w:num>
  <w:num w:numId="6" w16cid:durableId="1619919112">
    <w:abstractNumId w:val="15"/>
  </w:num>
  <w:num w:numId="7" w16cid:durableId="505635576">
    <w:abstractNumId w:val="8"/>
  </w:num>
  <w:num w:numId="8" w16cid:durableId="169217126">
    <w:abstractNumId w:val="5"/>
  </w:num>
  <w:num w:numId="9" w16cid:durableId="1463109165">
    <w:abstractNumId w:val="3"/>
  </w:num>
  <w:num w:numId="10" w16cid:durableId="780732273">
    <w:abstractNumId w:val="19"/>
  </w:num>
  <w:num w:numId="11" w16cid:durableId="1791125709">
    <w:abstractNumId w:val="4"/>
  </w:num>
  <w:num w:numId="12" w16cid:durableId="734819709">
    <w:abstractNumId w:val="18"/>
  </w:num>
  <w:num w:numId="13" w16cid:durableId="1012996982">
    <w:abstractNumId w:val="7"/>
  </w:num>
  <w:num w:numId="14" w16cid:durableId="833840269">
    <w:abstractNumId w:val="10"/>
  </w:num>
  <w:num w:numId="15" w16cid:durableId="119886577">
    <w:abstractNumId w:val="23"/>
  </w:num>
  <w:num w:numId="16" w16cid:durableId="1396507177">
    <w:abstractNumId w:val="0"/>
  </w:num>
  <w:num w:numId="17" w16cid:durableId="210698394">
    <w:abstractNumId w:val="13"/>
  </w:num>
  <w:num w:numId="18" w16cid:durableId="1132019517">
    <w:abstractNumId w:val="22"/>
  </w:num>
  <w:num w:numId="19" w16cid:durableId="111169533">
    <w:abstractNumId w:val="11"/>
  </w:num>
  <w:num w:numId="20" w16cid:durableId="161160532">
    <w:abstractNumId w:val="20"/>
  </w:num>
  <w:num w:numId="21" w16cid:durableId="131560737">
    <w:abstractNumId w:val="9"/>
  </w:num>
  <w:num w:numId="22" w16cid:durableId="1893535130">
    <w:abstractNumId w:val="1"/>
  </w:num>
  <w:num w:numId="23" w16cid:durableId="1494444939">
    <w:abstractNumId w:val="2"/>
  </w:num>
  <w:num w:numId="24" w16cid:durableId="172683167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EF7"/>
    <w:rsid w:val="00002FF4"/>
    <w:rsid w:val="00014870"/>
    <w:rsid w:val="00015E7B"/>
    <w:rsid w:val="00026928"/>
    <w:rsid w:val="00030ABF"/>
    <w:rsid w:val="00035D16"/>
    <w:rsid w:val="0003642F"/>
    <w:rsid w:val="00040942"/>
    <w:rsid w:val="0004266D"/>
    <w:rsid w:val="00044279"/>
    <w:rsid w:val="00047054"/>
    <w:rsid w:val="00052654"/>
    <w:rsid w:val="0005390A"/>
    <w:rsid w:val="00057984"/>
    <w:rsid w:val="00070F7C"/>
    <w:rsid w:val="0007328F"/>
    <w:rsid w:val="00074705"/>
    <w:rsid w:val="0007660D"/>
    <w:rsid w:val="000809C3"/>
    <w:rsid w:val="00085508"/>
    <w:rsid w:val="00085F10"/>
    <w:rsid w:val="00090109"/>
    <w:rsid w:val="0009067E"/>
    <w:rsid w:val="000963FA"/>
    <w:rsid w:val="000A4146"/>
    <w:rsid w:val="000C1DF9"/>
    <w:rsid w:val="000C29FA"/>
    <w:rsid w:val="000C3CC4"/>
    <w:rsid w:val="000D5A69"/>
    <w:rsid w:val="000D7A79"/>
    <w:rsid w:val="000E0D6B"/>
    <w:rsid w:val="000E2A1D"/>
    <w:rsid w:val="000E537C"/>
    <w:rsid w:val="000E61FF"/>
    <w:rsid w:val="001026FB"/>
    <w:rsid w:val="001055A7"/>
    <w:rsid w:val="001119BD"/>
    <w:rsid w:val="00113A33"/>
    <w:rsid w:val="0011683C"/>
    <w:rsid w:val="00117FE8"/>
    <w:rsid w:val="00124C8B"/>
    <w:rsid w:val="00124CB7"/>
    <w:rsid w:val="00133971"/>
    <w:rsid w:val="00137C12"/>
    <w:rsid w:val="00142A42"/>
    <w:rsid w:val="00145E27"/>
    <w:rsid w:val="00164656"/>
    <w:rsid w:val="00170260"/>
    <w:rsid w:val="00181944"/>
    <w:rsid w:val="00184281"/>
    <w:rsid w:val="001A33F9"/>
    <w:rsid w:val="001A4D44"/>
    <w:rsid w:val="001A601E"/>
    <w:rsid w:val="001B1351"/>
    <w:rsid w:val="001B18A2"/>
    <w:rsid w:val="001B762B"/>
    <w:rsid w:val="001C4DB2"/>
    <w:rsid w:val="001D16CA"/>
    <w:rsid w:val="001D2675"/>
    <w:rsid w:val="001D4C76"/>
    <w:rsid w:val="001E7C8B"/>
    <w:rsid w:val="00200AD1"/>
    <w:rsid w:val="00221F2D"/>
    <w:rsid w:val="00222054"/>
    <w:rsid w:val="002225C6"/>
    <w:rsid w:val="00224A21"/>
    <w:rsid w:val="002253FE"/>
    <w:rsid w:val="0022580E"/>
    <w:rsid w:val="00226D0D"/>
    <w:rsid w:val="00232F2D"/>
    <w:rsid w:val="00240137"/>
    <w:rsid w:val="002437CE"/>
    <w:rsid w:val="00251BBC"/>
    <w:rsid w:val="00264BA7"/>
    <w:rsid w:val="00264EDA"/>
    <w:rsid w:val="002712E8"/>
    <w:rsid w:val="00273580"/>
    <w:rsid w:val="00276C09"/>
    <w:rsid w:val="00277D7C"/>
    <w:rsid w:val="00281498"/>
    <w:rsid w:val="00283DB2"/>
    <w:rsid w:val="00284A86"/>
    <w:rsid w:val="0029118F"/>
    <w:rsid w:val="00291F75"/>
    <w:rsid w:val="00292678"/>
    <w:rsid w:val="002B3879"/>
    <w:rsid w:val="002B7DCE"/>
    <w:rsid w:val="002B7E48"/>
    <w:rsid w:val="002E2CD2"/>
    <w:rsid w:val="002F23A1"/>
    <w:rsid w:val="002F442E"/>
    <w:rsid w:val="00300A5F"/>
    <w:rsid w:val="003045B7"/>
    <w:rsid w:val="003070A2"/>
    <w:rsid w:val="0031233D"/>
    <w:rsid w:val="00312734"/>
    <w:rsid w:val="00314DA1"/>
    <w:rsid w:val="00322039"/>
    <w:rsid w:val="003223C7"/>
    <w:rsid w:val="00323F77"/>
    <w:rsid w:val="003263AC"/>
    <w:rsid w:val="003305B1"/>
    <w:rsid w:val="00337F18"/>
    <w:rsid w:val="00347118"/>
    <w:rsid w:val="00347E3A"/>
    <w:rsid w:val="003534A1"/>
    <w:rsid w:val="003621B3"/>
    <w:rsid w:val="00362BB1"/>
    <w:rsid w:val="003648C5"/>
    <w:rsid w:val="00375863"/>
    <w:rsid w:val="00395541"/>
    <w:rsid w:val="00396448"/>
    <w:rsid w:val="003A3323"/>
    <w:rsid w:val="003A5AFE"/>
    <w:rsid w:val="003A6A4B"/>
    <w:rsid w:val="003C014B"/>
    <w:rsid w:val="003C1DD2"/>
    <w:rsid w:val="003C4CCE"/>
    <w:rsid w:val="003C72DD"/>
    <w:rsid w:val="003D184D"/>
    <w:rsid w:val="003D3BDA"/>
    <w:rsid w:val="003D3C99"/>
    <w:rsid w:val="003D5B00"/>
    <w:rsid w:val="003D6A0F"/>
    <w:rsid w:val="003E466E"/>
    <w:rsid w:val="003E61D0"/>
    <w:rsid w:val="003E75D3"/>
    <w:rsid w:val="003F77CF"/>
    <w:rsid w:val="00403666"/>
    <w:rsid w:val="00406762"/>
    <w:rsid w:val="00411710"/>
    <w:rsid w:val="004147E0"/>
    <w:rsid w:val="00417945"/>
    <w:rsid w:val="00421D7D"/>
    <w:rsid w:val="00423CCF"/>
    <w:rsid w:val="00424BD4"/>
    <w:rsid w:val="00432D1F"/>
    <w:rsid w:val="00445779"/>
    <w:rsid w:val="004462C1"/>
    <w:rsid w:val="00451263"/>
    <w:rsid w:val="00455F77"/>
    <w:rsid w:val="0045625B"/>
    <w:rsid w:val="0045784D"/>
    <w:rsid w:val="00461D8C"/>
    <w:rsid w:val="00467FB5"/>
    <w:rsid w:val="00471DC7"/>
    <w:rsid w:val="00472B02"/>
    <w:rsid w:val="0047570E"/>
    <w:rsid w:val="00476A3C"/>
    <w:rsid w:val="00476C12"/>
    <w:rsid w:val="00483711"/>
    <w:rsid w:val="00485429"/>
    <w:rsid w:val="00487F75"/>
    <w:rsid w:val="00496964"/>
    <w:rsid w:val="004A3A95"/>
    <w:rsid w:val="004A50D2"/>
    <w:rsid w:val="004B6371"/>
    <w:rsid w:val="004B7951"/>
    <w:rsid w:val="004C088A"/>
    <w:rsid w:val="004C1DB1"/>
    <w:rsid w:val="004C2808"/>
    <w:rsid w:val="004C5B27"/>
    <w:rsid w:val="004C625A"/>
    <w:rsid w:val="004E1EE4"/>
    <w:rsid w:val="004E49DD"/>
    <w:rsid w:val="004E4F69"/>
    <w:rsid w:val="004E6889"/>
    <w:rsid w:val="004F4C4D"/>
    <w:rsid w:val="004F7487"/>
    <w:rsid w:val="00504377"/>
    <w:rsid w:val="00504861"/>
    <w:rsid w:val="005049A9"/>
    <w:rsid w:val="00511CD0"/>
    <w:rsid w:val="00525F06"/>
    <w:rsid w:val="00526E95"/>
    <w:rsid w:val="00527BE9"/>
    <w:rsid w:val="00535D22"/>
    <w:rsid w:val="0054182D"/>
    <w:rsid w:val="00541AFF"/>
    <w:rsid w:val="00543607"/>
    <w:rsid w:val="0055095F"/>
    <w:rsid w:val="00552C5D"/>
    <w:rsid w:val="005547EE"/>
    <w:rsid w:val="00555250"/>
    <w:rsid w:val="005571F3"/>
    <w:rsid w:val="00562346"/>
    <w:rsid w:val="0056284A"/>
    <w:rsid w:val="00591D5D"/>
    <w:rsid w:val="0059588E"/>
    <w:rsid w:val="005A3316"/>
    <w:rsid w:val="005A54F2"/>
    <w:rsid w:val="005B1FEE"/>
    <w:rsid w:val="005B6968"/>
    <w:rsid w:val="005C6AEE"/>
    <w:rsid w:val="005C75C7"/>
    <w:rsid w:val="005E1A66"/>
    <w:rsid w:val="005E212C"/>
    <w:rsid w:val="005E5127"/>
    <w:rsid w:val="005F1173"/>
    <w:rsid w:val="006035CB"/>
    <w:rsid w:val="00606FA3"/>
    <w:rsid w:val="00615709"/>
    <w:rsid w:val="00617504"/>
    <w:rsid w:val="00617712"/>
    <w:rsid w:val="0062044B"/>
    <w:rsid w:val="00620ED9"/>
    <w:rsid w:val="00621E2A"/>
    <w:rsid w:val="00630F34"/>
    <w:rsid w:val="00632993"/>
    <w:rsid w:val="00645A58"/>
    <w:rsid w:val="006617FB"/>
    <w:rsid w:val="006636C7"/>
    <w:rsid w:val="00666D40"/>
    <w:rsid w:val="006673B8"/>
    <w:rsid w:val="0066746E"/>
    <w:rsid w:val="00677889"/>
    <w:rsid w:val="00684918"/>
    <w:rsid w:val="00694050"/>
    <w:rsid w:val="00697E4D"/>
    <w:rsid w:val="006A1766"/>
    <w:rsid w:val="006A7A6E"/>
    <w:rsid w:val="006C6780"/>
    <w:rsid w:val="006D5DC2"/>
    <w:rsid w:val="006E50F3"/>
    <w:rsid w:val="006F1F55"/>
    <w:rsid w:val="006F64AE"/>
    <w:rsid w:val="006F765A"/>
    <w:rsid w:val="00706FA9"/>
    <w:rsid w:val="007070AC"/>
    <w:rsid w:val="0071051A"/>
    <w:rsid w:val="007106F4"/>
    <w:rsid w:val="00730897"/>
    <w:rsid w:val="00731BCD"/>
    <w:rsid w:val="00734289"/>
    <w:rsid w:val="007501A6"/>
    <w:rsid w:val="00752CD4"/>
    <w:rsid w:val="007764C7"/>
    <w:rsid w:val="00782D09"/>
    <w:rsid w:val="00785D0D"/>
    <w:rsid w:val="00787BBD"/>
    <w:rsid w:val="007946B0"/>
    <w:rsid w:val="00795483"/>
    <w:rsid w:val="007A01C9"/>
    <w:rsid w:val="007A0B40"/>
    <w:rsid w:val="007A67D7"/>
    <w:rsid w:val="007B4A25"/>
    <w:rsid w:val="007C6DB2"/>
    <w:rsid w:val="007D30DA"/>
    <w:rsid w:val="007D3393"/>
    <w:rsid w:val="007D33D8"/>
    <w:rsid w:val="007D3D1C"/>
    <w:rsid w:val="007F098A"/>
    <w:rsid w:val="007F1F55"/>
    <w:rsid w:val="007F35D3"/>
    <w:rsid w:val="007F7149"/>
    <w:rsid w:val="007F7823"/>
    <w:rsid w:val="00802E32"/>
    <w:rsid w:val="00826014"/>
    <w:rsid w:val="0083255B"/>
    <w:rsid w:val="00832F0A"/>
    <w:rsid w:val="00834A70"/>
    <w:rsid w:val="00837283"/>
    <w:rsid w:val="00851AC9"/>
    <w:rsid w:val="0086198D"/>
    <w:rsid w:val="0086536E"/>
    <w:rsid w:val="00866A7D"/>
    <w:rsid w:val="008717C6"/>
    <w:rsid w:val="00873884"/>
    <w:rsid w:val="008815E3"/>
    <w:rsid w:val="008857EE"/>
    <w:rsid w:val="008A084A"/>
    <w:rsid w:val="008A1DBB"/>
    <w:rsid w:val="008A56E2"/>
    <w:rsid w:val="008B128D"/>
    <w:rsid w:val="008B46B0"/>
    <w:rsid w:val="008B633D"/>
    <w:rsid w:val="008B6971"/>
    <w:rsid w:val="008B7FFD"/>
    <w:rsid w:val="008C7975"/>
    <w:rsid w:val="008D2A88"/>
    <w:rsid w:val="008D3EBE"/>
    <w:rsid w:val="008E48B1"/>
    <w:rsid w:val="008F2AA0"/>
    <w:rsid w:val="008F5801"/>
    <w:rsid w:val="009040DB"/>
    <w:rsid w:val="0090410F"/>
    <w:rsid w:val="00904C5C"/>
    <w:rsid w:val="00910CD7"/>
    <w:rsid w:val="00911960"/>
    <w:rsid w:val="009169B9"/>
    <w:rsid w:val="00916DE2"/>
    <w:rsid w:val="0092088E"/>
    <w:rsid w:val="00920FBD"/>
    <w:rsid w:val="009232D4"/>
    <w:rsid w:val="00926E8A"/>
    <w:rsid w:val="00927EAC"/>
    <w:rsid w:val="009362D0"/>
    <w:rsid w:val="0094103D"/>
    <w:rsid w:val="00941C01"/>
    <w:rsid w:val="0094219B"/>
    <w:rsid w:val="00943FF6"/>
    <w:rsid w:val="009442FF"/>
    <w:rsid w:val="00956FE2"/>
    <w:rsid w:val="00957F25"/>
    <w:rsid w:val="00972570"/>
    <w:rsid w:val="00975AF5"/>
    <w:rsid w:val="00977F7F"/>
    <w:rsid w:val="00986D1F"/>
    <w:rsid w:val="009B0330"/>
    <w:rsid w:val="009B3A61"/>
    <w:rsid w:val="009B71AE"/>
    <w:rsid w:val="009B7AC3"/>
    <w:rsid w:val="009D40C5"/>
    <w:rsid w:val="009D5574"/>
    <w:rsid w:val="009D6711"/>
    <w:rsid w:val="009E4486"/>
    <w:rsid w:val="009F6363"/>
    <w:rsid w:val="00A00697"/>
    <w:rsid w:val="00A050F9"/>
    <w:rsid w:val="00A13601"/>
    <w:rsid w:val="00A142BB"/>
    <w:rsid w:val="00A14586"/>
    <w:rsid w:val="00A14C2B"/>
    <w:rsid w:val="00A30FD1"/>
    <w:rsid w:val="00A337DE"/>
    <w:rsid w:val="00A36245"/>
    <w:rsid w:val="00A41711"/>
    <w:rsid w:val="00A43A45"/>
    <w:rsid w:val="00A45D51"/>
    <w:rsid w:val="00A50806"/>
    <w:rsid w:val="00A5084B"/>
    <w:rsid w:val="00A51F5B"/>
    <w:rsid w:val="00A52411"/>
    <w:rsid w:val="00A52B14"/>
    <w:rsid w:val="00A52EB4"/>
    <w:rsid w:val="00A53BAA"/>
    <w:rsid w:val="00A542DA"/>
    <w:rsid w:val="00A657C4"/>
    <w:rsid w:val="00A668C3"/>
    <w:rsid w:val="00A70428"/>
    <w:rsid w:val="00A72B72"/>
    <w:rsid w:val="00A80980"/>
    <w:rsid w:val="00A86F80"/>
    <w:rsid w:val="00A94A88"/>
    <w:rsid w:val="00A95B14"/>
    <w:rsid w:val="00A96E20"/>
    <w:rsid w:val="00AA721E"/>
    <w:rsid w:val="00AB019A"/>
    <w:rsid w:val="00AB06EA"/>
    <w:rsid w:val="00AC2BFD"/>
    <w:rsid w:val="00AC2C09"/>
    <w:rsid w:val="00AC5D3F"/>
    <w:rsid w:val="00AD30B8"/>
    <w:rsid w:val="00AD7044"/>
    <w:rsid w:val="00AE0F54"/>
    <w:rsid w:val="00AE32A2"/>
    <w:rsid w:val="00AE7908"/>
    <w:rsid w:val="00AF14BD"/>
    <w:rsid w:val="00AF55E3"/>
    <w:rsid w:val="00AF5F52"/>
    <w:rsid w:val="00B01FA0"/>
    <w:rsid w:val="00B03343"/>
    <w:rsid w:val="00B0627A"/>
    <w:rsid w:val="00B11421"/>
    <w:rsid w:val="00B135D9"/>
    <w:rsid w:val="00B13706"/>
    <w:rsid w:val="00B1715B"/>
    <w:rsid w:val="00B24BBD"/>
    <w:rsid w:val="00B25DFD"/>
    <w:rsid w:val="00B33A73"/>
    <w:rsid w:val="00B34EF7"/>
    <w:rsid w:val="00B362B8"/>
    <w:rsid w:val="00B40974"/>
    <w:rsid w:val="00B40C43"/>
    <w:rsid w:val="00B42A49"/>
    <w:rsid w:val="00B42A84"/>
    <w:rsid w:val="00B542D1"/>
    <w:rsid w:val="00B562D5"/>
    <w:rsid w:val="00B66E92"/>
    <w:rsid w:val="00B672D0"/>
    <w:rsid w:val="00B8232B"/>
    <w:rsid w:val="00B913BB"/>
    <w:rsid w:val="00B9392A"/>
    <w:rsid w:val="00B96FC1"/>
    <w:rsid w:val="00B979CF"/>
    <w:rsid w:val="00BA5F60"/>
    <w:rsid w:val="00BB03F4"/>
    <w:rsid w:val="00BB197D"/>
    <w:rsid w:val="00BC1A46"/>
    <w:rsid w:val="00BC34B2"/>
    <w:rsid w:val="00BC63FC"/>
    <w:rsid w:val="00BD7CF0"/>
    <w:rsid w:val="00BE7EF2"/>
    <w:rsid w:val="00BF2F6B"/>
    <w:rsid w:val="00BF3DAE"/>
    <w:rsid w:val="00BF5D9C"/>
    <w:rsid w:val="00BF62D3"/>
    <w:rsid w:val="00BF713B"/>
    <w:rsid w:val="00C00809"/>
    <w:rsid w:val="00C00CFD"/>
    <w:rsid w:val="00C0288B"/>
    <w:rsid w:val="00C06C77"/>
    <w:rsid w:val="00C12877"/>
    <w:rsid w:val="00C12E18"/>
    <w:rsid w:val="00C329D7"/>
    <w:rsid w:val="00C3770B"/>
    <w:rsid w:val="00C422D1"/>
    <w:rsid w:val="00C469D3"/>
    <w:rsid w:val="00C61921"/>
    <w:rsid w:val="00C65479"/>
    <w:rsid w:val="00C71FDD"/>
    <w:rsid w:val="00C72284"/>
    <w:rsid w:val="00C81CBF"/>
    <w:rsid w:val="00C8545B"/>
    <w:rsid w:val="00C92074"/>
    <w:rsid w:val="00C954F2"/>
    <w:rsid w:val="00C9550B"/>
    <w:rsid w:val="00CB0BBD"/>
    <w:rsid w:val="00CB4067"/>
    <w:rsid w:val="00CB592A"/>
    <w:rsid w:val="00CB6109"/>
    <w:rsid w:val="00CE27CF"/>
    <w:rsid w:val="00CE4BEB"/>
    <w:rsid w:val="00CE621C"/>
    <w:rsid w:val="00D03B05"/>
    <w:rsid w:val="00D116C0"/>
    <w:rsid w:val="00D1241B"/>
    <w:rsid w:val="00D131C5"/>
    <w:rsid w:val="00D14991"/>
    <w:rsid w:val="00D2073F"/>
    <w:rsid w:val="00D22E21"/>
    <w:rsid w:val="00D261F8"/>
    <w:rsid w:val="00D26DE8"/>
    <w:rsid w:val="00D305A5"/>
    <w:rsid w:val="00D31C81"/>
    <w:rsid w:val="00D44344"/>
    <w:rsid w:val="00D4752E"/>
    <w:rsid w:val="00D55AB1"/>
    <w:rsid w:val="00D66EF8"/>
    <w:rsid w:val="00D81FBA"/>
    <w:rsid w:val="00D8225F"/>
    <w:rsid w:val="00D8798E"/>
    <w:rsid w:val="00D9097A"/>
    <w:rsid w:val="00D96AEE"/>
    <w:rsid w:val="00D97BC7"/>
    <w:rsid w:val="00DA553C"/>
    <w:rsid w:val="00DB764D"/>
    <w:rsid w:val="00DD1737"/>
    <w:rsid w:val="00DD58ED"/>
    <w:rsid w:val="00DD59DA"/>
    <w:rsid w:val="00DE4C4C"/>
    <w:rsid w:val="00DE66CE"/>
    <w:rsid w:val="00DF1F77"/>
    <w:rsid w:val="00E20285"/>
    <w:rsid w:val="00E20E22"/>
    <w:rsid w:val="00E22317"/>
    <w:rsid w:val="00E229C8"/>
    <w:rsid w:val="00E23359"/>
    <w:rsid w:val="00E26986"/>
    <w:rsid w:val="00E26AD1"/>
    <w:rsid w:val="00E34CF4"/>
    <w:rsid w:val="00E37DF5"/>
    <w:rsid w:val="00E4438B"/>
    <w:rsid w:val="00E477C3"/>
    <w:rsid w:val="00E508BB"/>
    <w:rsid w:val="00E54683"/>
    <w:rsid w:val="00E57C49"/>
    <w:rsid w:val="00E629E0"/>
    <w:rsid w:val="00E65269"/>
    <w:rsid w:val="00E65A4C"/>
    <w:rsid w:val="00E758A0"/>
    <w:rsid w:val="00E81634"/>
    <w:rsid w:val="00E85C62"/>
    <w:rsid w:val="00EA0CB5"/>
    <w:rsid w:val="00EB090C"/>
    <w:rsid w:val="00EB30C7"/>
    <w:rsid w:val="00ED0859"/>
    <w:rsid w:val="00ED2B2E"/>
    <w:rsid w:val="00EE6AB6"/>
    <w:rsid w:val="00EF1E09"/>
    <w:rsid w:val="00EF20EE"/>
    <w:rsid w:val="00EF25E4"/>
    <w:rsid w:val="00F02776"/>
    <w:rsid w:val="00F04FAB"/>
    <w:rsid w:val="00F0742E"/>
    <w:rsid w:val="00F12F2D"/>
    <w:rsid w:val="00F16E5F"/>
    <w:rsid w:val="00F20BAF"/>
    <w:rsid w:val="00F24969"/>
    <w:rsid w:val="00F26DD2"/>
    <w:rsid w:val="00F273C5"/>
    <w:rsid w:val="00F31822"/>
    <w:rsid w:val="00F40BC0"/>
    <w:rsid w:val="00F4460A"/>
    <w:rsid w:val="00F47EA1"/>
    <w:rsid w:val="00F55228"/>
    <w:rsid w:val="00F57DFC"/>
    <w:rsid w:val="00F65EBE"/>
    <w:rsid w:val="00F71485"/>
    <w:rsid w:val="00F800A5"/>
    <w:rsid w:val="00F86B08"/>
    <w:rsid w:val="00F93404"/>
    <w:rsid w:val="00F96C98"/>
    <w:rsid w:val="00FA1CDF"/>
    <w:rsid w:val="00FA3219"/>
    <w:rsid w:val="00FB15C0"/>
    <w:rsid w:val="00FC01AA"/>
    <w:rsid w:val="00FC1B34"/>
    <w:rsid w:val="00FC364A"/>
    <w:rsid w:val="00FC53C7"/>
    <w:rsid w:val="00FC56B0"/>
    <w:rsid w:val="00FE57C6"/>
    <w:rsid w:val="00FE6030"/>
    <w:rsid w:val="00FF2D4A"/>
    <w:rsid w:val="00FF42F9"/>
    <w:rsid w:val="00FF5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26CF"/>
  <w15:chartTrackingRefBased/>
  <w15:docId w15:val="{88E0E6D9-E49F-4D55-878F-F966AA630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E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7E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34EF7"/>
    <w:pPr>
      <w:spacing w:after="0" w:line="240" w:lineRule="auto"/>
    </w:pPr>
  </w:style>
  <w:style w:type="paragraph" w:styleId="Title">
    <w:name w:val="Title"/>
    <w:basedOn w:val="Normal"/>
    <w:next w:val="Normal"/>
    <w:link w:val="TitleChar"/>
    <w:uiPriority w:val="10"/>
    <w:qFormat/>
    <w:rsid w:val="00B34EF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EF7"/>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9208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4">
    <w:name w:val="List Table 3 Accent 4"/>
    <w:basedOn w:val="TableNormal"/>
    <w:uiPriority w:val="48"/>
    <w:rsid w:val="00124CB7"/>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uiPriority w:val="48"/>
    <w:rsid w:val="00124CB7"/>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character" w:customStyle="1" w:styleId="Heading2Char">
    <w:name w:val="Heading 2 Char"/>
    <w:basedOn w:val="DefaultParagraphFont"/>
    <w:link w:val="Heading2"/>
    <w:uiPriority w:val="9"/>
    <w:rsid w:val="00927EAC"/>
    <w:rPr>
      <w:rFonts w:asciiTheme="majorHAnsi" w:eastAsiaTheme="majorEastAsia" w:hAnsiTheme="majorHAnsi" w:cstheme="majorBidi"/>
      <w:color w:val="2F5496" w:themeColor="accent1" w:themeShade="BF"/>
      <w:sz w:val="26"/>
      <w:szCs w:val="26"/>
    </w:rPr>
  </w:style>
  <w:style w:type="table" w:styleId="LightShading-Accent5">
    <w:name w:val="Light Shading Accent 5"/>
    <w:basedOn w:val="TableNormal"/>
    <w:uiPriority w:val="60"/>
    <w:rsid w:val="00D9097A"/>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character" w:customStyle="1" w:styleId="NoSpacingChar">
    <w:name w:val="No Spacing Char"/>
    <w:basedOn w:val="DefaultParagraphFont"/>
    <w:link w:val="NoSpacing"/>
    <w:uiPriority w:val="1"/>
    <w:rsid w:val="00D9097A"/>
  </w:style>
  <w:style w:type="table" w:styleId="GridTable4-Accent2">
    <w:name w:val="Grid Table 4 Accent 2"/>
    <w:basedOn w:val="TableNormal"/>
    <w:uiPriority w:val="49"/>
    <w:rsid w:val="00EE6AB6"/>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Header">
    <w:name w:val="header"/>
    <w:basedOn w:val="Normal"/>
    <w:link w:val="HeaderChar"/>
    <w:uiPriority w:val="99"/>
    <w:unhideWhenUsed/>
    <w:rsid w:val="004E49DD"/>
    <w:pPr>
      <w:tabs>
        <w:tab w:val="center" w:pos="4536"/>
        <w:tab w:val="right" w:pos="9072"/>
      </w:tabs>
      <w:spacing w:after="0" w:line="240" w:lineRule="auto"/>
    </w:pPr>
  </w:style>
  <w:style w:type="character" w:customStyle="1" w:styleId="HeaderChar">
    <w:name w:val="Header Char"/>
    <w:basedOn w:val="DefaultParagraphFont"/>
    <w:link w:val="Header"/>
    <w:uiPriority w:val="99"/>
    <w:rsid w:val="004E49DD"/>
  </w:style>
  <w:style w:type="paragraph" w:styleId="Footer">
    <w:name w:val="footer"/>
    <w:basedOn w:val="Normal"/>
    <w:link w:val="FooterChar"/>
    <w:uiPriority w:val="99"/>
    <w:unhideWhenUsed/>
    <w:rsid w:val="004E49DD"/>
    <w:pPr>
      <w:tabs>
        <w:tab w:val="center" w:pos="4536"/>
        <w:tab w:val="right" w:pos="9072"/>
      </w:tabs>
      <w:spacing w:after="0" w:line="240" w:lineRule="auto"/>
    </w:pPr>
  </w:style>
  <w:style w:type="character" w:customStyle="1" w:styleId="FooterChar">
    <w:name w:val="Footer Char"/>
    <w:basedOn w:val="DefaultParagraphFont"/>
    <w:link w:val="Footer"/>
    <w:uiPriority w:val="99"/>
    <w:rsid w:val="004E49DD"/>
  </w:style>
  <w:style w:type="table" w:styleId="ListTable6Colorful-Accent2">
    <w:name w:val="List Table 6 Colorful Accent 2"/>
    <w:basedOn w:val="TableNormal"/>
    <w:uiPriority w:val="51"/>
    <w:rsid w:val="0018428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aliases w:val="FooterText,Bullet List,cS List Paragraph,numbered,Paragraphe de liste1,Bulletr List Paragraph,列  出  段  落,列  出  段  落  1,List Paragraph2,List Paragraph21,List Paragraph11,Parágrafo da Lista1,Párrafo de lista1,リ  ス  ト  段  落  1,Listeafsnit1"/>
    <w:basedOn w:val="Normal"/>
    <w:link w:val="ListParagraphChar"/>
    <w:uiPriority w:val="99"/>
    <w:qFormat/>
    <w:rsid w:val="007764C7"/>
    <w:pPr>
      <w:ind w:left="720"/>
      <w:contextualSpacing/>
    </w:pPr>
  </w:style>
  <w:style w:type="character" w:customStyle="1" w:styleId="Heading1Char">
    <w:name w:val="Heading 1 Char"/>
    <w:basedOn w:val="DefaultParagraphFont"/>
    <w:link w:val="Heading1"/>
    <w:uiPriority w:val="9"/>
    <w:rsid w:val="00620ED9"/>
    <w:rPr>
      <w:rFonts w:asciiTheme="majorHAnsi" w:eastAsiaTheme="majorEastAsia" w:hAnsiTheme="majorHAnsi" w:cstheme="majorBidi"/>
      <w:color w:val="2F5496" w:themeColor="accent1" w:themeShade="BF"/>
      <w:sz w:val="32"/>
      <w:szCs w:val="32"/>
    </w:rPr>
  </w:style>
  <w:style w:type="table" w:styleId="ListTable1Light-Accent4">
    <w:name w:val="List Table 1 Light Accent 4"/>
    <w:basedOn w:val="TableNormal"/>
    <w:uiPriority w:val="46"/>
    <w:rsid w:val="005B1FEE"/>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paragraph" w:styleId="NormalWeb">
    <w:name w:val="Normal (Web)"/>
    <w:basedOn w:val="Normal"/>
    <w:uiPriority w:val="99"/>
    <w:semiHidden/>
    <w:unhideWhenUsed/>
    <w:rsid w:val="00222054"/>
    <w:pPr>
      <w:spacing w:before="100" w:beforeAutospacing="1" w:after="100" w:afterAutospacing="1" w:line="240" w:lineRule="auto"/>
    </w:pPr>
    <w:rPr>
      <w:rFonts w:ascii="Times New Roman" w:eastAsia="Times New Roman" w:hAnsi="Times New Roman" w:cs="Times New Roman"/>
      <w:sz w:val="24"/>
      <w:szCs w:val="24"/>
      <w:lang w:val="nl-NL" w:eastAsia="nl-NL"/>
    </w:rPr>
  </w:style>
  <w:style w:type="character" w:customStyle="1" w:styleId="ListParagraphChar">
    <w:name w:val="List Paragraph Char"/>
    <w:aliases w:val="FooterText Char,Bullet List Char,cS List Paragraph Char,numbered Char,Paragraphe de liste1 Char,Bulletr List Paragraph Char,列  出  段  落 Char,列  出  段  落  1 Char,List Paragraph2 Char,List Paragraph21 Char,List Paragraph11 Char"/>
    <w:basedOn w:val="DefaultParagraphFont"/>
    <w:link w:val="ListParagraph"/>
    <w:uiPriority w:val="99"/>
    <w:locked/>
    <w:rsid w:val="00226D0D"/>
  </w:style>
  <w:style w:type="table" w:styleId="ListTable1Light-Accent1">
    <w:name w:val="List Table 1 Light Accent 1"/>
    <w:basedOn w:val="TableNormal"/>
    <w:uiPriority w:val="46"/>
    <w:rsid w:val="00226D0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7200">
      <w:bodyDiv w:val="1"/>
      <w:marLeft w:val="0"/>
      <w:marRight w:val="0"/>
      <w:marTop w:val="0"/>
      <w:marBottom w:val="0"/>
      <w:divBdr>
        <w:top w:val="none" w:sz="0" w:space="0" w:color="auto"/>
        <w:left w:val="none" w:sz="0" w:space="0" w:color="auto"/>
        <w:bottom w:val="none" w:sz="0" w:space="0" w:color="auto"/>
        <w:right w:val="none" w:sz="0" w:space="0" w:color="auto"/>
      </w:divBdr>
    </w:div>
    <w:div w:id="403064241">
      <w:bodyDiv w:val="1"/>
      <w:marLeft w:val="0"/>
      <w:marRight w:val="0"/>
      <w:marTop w:val="0"/>
      <w:marBottom w:val="0"/>
      <w:divBdr>
        <w:top w:val="none" w:sz="0" w:space="0" w:color="auto"/>
        <w:left w:val="none" w:sz="0" w:space="0" w:color="auto"/>
        <w:bottom w:val="none" w:sz="0" w:space="0" w:color="auto"/>
        <w:right w:val="none" w:sz="0" w:space="0" w:color="auto"/>
      </w:divBdr>
    </w:div>
    <w:div w:id="950360584">
      <w:bodyDiv w:val="1"/>
      <w:marLeft w:val="0"/>
      <w:marRight w:val="0"/>
      <w:marTop w:val="0"/>
      <w:marBottom w:val="0"/>
      <w:divBdr>
        <w:top w:val="none" w:sz="0" w:space="0" w:color="auto"/>
        <w:left w:val="none" w:sz="0" w:space="0" w:color="auto"/>
        <w:bottom w:val="none" w:sz="0" w:space="0" w:color="auto"/>
        <w:right w:val="none" w:sz="0" w:space="0" w:color="auto"/>
      </w:divBdr>
    </w:div>
    <w:div w:id="1010793519">
      <w:bodyDiv w:val="1"/>
      <w:marLeft w:val="0"/>
      <w:marRight w:val="0"/>
      <w:marTop w:val="0"/>
      <w:marBottom w:val="0"/>
      <w:divBdr>
        <w:top w:val="none" w:sz="0" w:space="0" w:color="auto"/>
        <w:left w:val="none" w:sz="0" w:space="0" w:color="auto"/>
        <w:bottom w:val="none" w:sz="0" w:space="0" w:color="auto"/>
        <w:right w:val="none" w:sz="0" w:space="0" w:color="auto"/>
      </w:divBdr>
    </w:div>
    <w:div w:id="1057389510">
      <w:bodyDiv w:val="1"/>
      <w:marLeft w:val="0"/>
      <w:marRight w:val="0"/>
      <w:marTop w:val="0"/>
      <w:marBottom w:val="0"/>
      <w:divBdr>
        <w:top w:val="none" w:sz="0" w:space="0" w:color="auto"/>
        <w:left w:val="none" w:sz="0" w:space="0" w:color="auto"/>
        <w:bottom w:val="none" w:sz="0" w:space="0" w:color="auto"/>
        <w:right w:val="none" w:sz="0" w:space="0" w:color="auto"/>
      </w:divBdr>
    </w:div>
    <w:div w:id="1223562806">
      <w:bodyDiv w:val="1"/>
      <w:marLeft w:val="0"/>
      <w:marRight w:val="0"/>
      <w:marTop w:val="0"/>
      <w:marBottom w:val="0"/>
      <w:divBdr>
        <w:top w:val="none" w:sz="0" w:space="0" w:color="auto"/>
        <w:left w:val="none" w:sz="0" w:space="0" w:color="auto"/>
        <w:bottom w:val="none" w:sz="0" w:space="0" w:color="auto"/>
        <w:right w:val="none" w:sz="0" w:space="0" w:color="auto"/>
      </w:divBdr>
    </w:div>
    <w:div w:id="1814636949">
      <w:bodyDiv w:val="1"/>
      <w:marLeft w:val="0"/>
      <w:marRight w:val="0"/>
      <w:marTop w:val="0"/>
      <w:marBottom w:val="0"/>
      <w:divBdr>
        <w:top w:val="none" w:sz="0" w:space="0" w:color="auto"/>
        <w:left w:val="none" w:sz="0" w:space="0" w:color="auto"/>
        <w:bottom w:val="none" w:sz="0" w:space="0" w:color="auto"/>
        <w:right w:val="none" w:sz="0" w:space="0" w:color="auto"/>
      </w:divBdr>
    </w:div>
    <w:div w:id="1821997458">
      <w:bodyDiv w:val="1"/>
      <w:marLeft w:val="0"/>
      <w:marRight w:val="0"/>
      <w:marTop w:val="0"/>
      <w:marBottom w:val="0"/>
      <w:divBdr>
        <w:top w:val="none" w:sz="0" w:space="0" w:color="auto"/>
        <w:left w:val="none" w:sz="0" w:space="0" w:color="auto"/>
        <w:bottom w:val="none" w:sz="0" w:space="0" w:color="auto"/>
        <w:right w:val="none" w:sz="0" w:space="0" w:color="auto"/>
      </w:divBdr>
    </w:div>
    <w:div w:id="1912882056">
      <w:bodyDiv w:val="1"/>
      <w:marLeft w:val="0"/>
      <w:marRight w:val="0"/>
      <w:marTop w:val="0"/>
      <w:marBottom w:val="0"/>
      <w:divBdr>
        <w:top w:val="none" w:sz="0" w:space="0" w:color="auto"/>
        <w:left w:val="none" w:sz="0" w:space="0" w:color="auto"/>
        <w:bottom w:val="none" w:sz="0" w:space="0" w:color="auto"/>
        <w:right w:val="none" w:sz="0" w:space="0" w:color="auto"/>
      </w:divBdr>
    </w:div>
    <w:div w:id="1985161089">
      <w:bodyDiv w:val="1"/>
      <w:marLeft w:val="0"/>
      <w:marRight w:val="0"/>
      <w:marTop w:val="0"/>
      <w:marBottom w:val="0"/>
      <w:divBdr>
        <w:top w:val="none" w:sz="0" w:space="0" w:color="auto"/>
        <w:left w:val="none" w:sz="0" w:space="0" w:color="auto"/>
        <w:bottom w:val="none" w:sz="0" w:space="0" w:color="auto"/>
        <w:right w:val="none" w:sz="0" w:space="0" w:color="auto"/>
      </w:divBdr>
    </w:div>
    <w:div w:id="2057971952">
      <w:bodyDiv w:val="1"/>
      <w:marLeft w:val="0"/>
      <w:marRight w:val="0"/>
      <w:marTop w:val="0"/>
      <w:marBottom w:val="0"/>
      <w:divBdr>
        <w:top w:val="none" w:sz="0" w:space="0" w:color="auto"/>
        <w:left w:val="none" w:sz="0" w:space="0" w:color="auto"/>
        <w:bottom w:val="none" w:sz="0" w:space="0" w:color="auto"/>
        <w:right w:val="none" w:sz="0" w:space="0" w:color="auto"/>
      </w:divBdr>
    </w:div>
    <w:div w:id="2089615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CC6D87633A914982032CB9EEE36AB5" ma:contentTypeVersion="7" ma:contentTypeDescription="Create a new document." ma:contentTypeScope="" ma:versionID="95650b1e668ecf14a7b37f6fab8a6ef2">
  <xsd:schema xmlns:xsd="http://www.w3.org/2001/XMLSchema" xmlns:xs="http://www.w3.org/2001/XMLSchema" xmlns:p="http://schemas.microsoft.com/office/2006/metadata/properties" xmlns:ns3="8dc0963e-725f-4df9-9ee5-3409d10e749b" xmlns:ns4="06c98763-7e7f-47de-a217-4e462391dcfe" targetNamespace="http://schemas.microsoft.com/office/2006/metadata/properties" ma:root="true" ma:fieldsID="fa4d687149612bc3b1b818fcaf75cf7f" ns3:_="" ns4:_="">
    <xsd:import namespace="8dc0963e-725f-4df9-9ee5-3409d10e749b"/>
    <xsd:import namespace="06c98763-7e7f-47de-a217-4e462391dcf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0963e-725f-4df9-9ee5-3409d10e7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c98763-7e7f-47de-a217-4e462391dc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5CFD535-1FFA-40C2-AD3A-BB227B2D01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0963e-725f-4df9-9ee5-3409d10e749b"/>
    <ds:schemaRef ds:uri="06c98763-7e7f-47de-a217-4e462391dc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84B90F-70E5-47E2-B86D-1B566B26406D}">
  <ds:schemaRefs>
    <ds:schemaRef ds:uri="http://schemas.microsoft.com/sharepoint/v3/contenttype/forms"/>
  </ds:schemaRefs>
</ds:datastoreItem>
</file>

<file path=customXml/itemProps3.xml><?xml version="1.0" encoding="utf-8"?>
<ds:datastoreItem xmlns:ds="http://schemas.openxmlformats.org/officeDocument/2006/customXml" ds:itemID="{6C1464D6-CB41-44CB-870E-B5306D66558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2</Pages>
  <Words>934</Words>
  <Characters>5327</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Roerink</dc:creator>
  <cp:keywords/>
  <dc:description/>
  <cp:lastModifiedBy>Anne-Marie Roerink</cp:lastModifiedBy>
  <cp:revision>19</cp:revision>
  <dcterms:created xsi:type="dcterms:W3CDTF">2024-02-07T09:07:00Z</dcterms:created>
  <dcterms:modified xsi:type="dcterms:W3CDTF">2024-02-13T13:34:00Z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0x01010047CC6D87633A914982032CB9EEE36AB5</vt:lpwstr>
  </property>
</Properties>
</file>