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0B6A7" w14:textId="39842917" w:rsidR="005049A9" w:rsidRDefault="005049A9" w:rsidP="005049A9">
      <w:pPr>
        <w:pStyle w:val="Title"/>
        <w:jc w:val="center"/>
      </w:pPr>
      <w:r w:rsidRPr="005049A9">
        <w:rPr>
          <w:noProof/>
          <w:lang w:val="nl-NL" w:eastAsia="nl-NL"/>
        </w:rPr>
        <w:drawing>
          <wp:anchor distT="0" distB="0" distL="114300" distR="114300" simplePos="0" relativeHeight="251658240" behindDoc="0" locked="0" layoutInCell="1" allowOverlap="1" wp14:anchorId="53E5FC2F" wp14:editId="7C44EFA9">
            <wp:simplePos x="0" y="0"/>
            <wp:positionH relativeFrom="margin">
              <wp:align>center</wp:align>
            </wp:positionH>
            <wp:positionV relativeFrom="paragraph">
              <wp:posOffset>-22860</wp:posOffset>
            </wp:positionV>
            <wp:extent cx="2098415" cy="752475"/>
            <wp:effectExtent l="0" t="0" r="0" b="0"/>
            <wp:wrapNone/>
            <wp:docPr id="2050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C5CF1A7-753C-4952-8F0D-A77DEE87FB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>
                      <a:extLst>
                        <a:ext uri="{FF2B5EF4-FFF2-40B4-BE49-F238E27FC236}">
                          <a16:creationId xmlns:a16="http://schemas.microsoft.com/office/drawing/2014/main" id="{DC5CF1A7-753C-4952-8F0D-A77DEE87FB7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41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D26D3" w14:textId="77777777" w:rsidR="0054182D" w:rsidRPr="00A72B72" w:rsidRDefault="0054182D" w:rsidP="00B34EF7">
      <w:pPr>
        <w:pStyle w:val="Title"/>
        <w:rPr>
          <w:sz w:val="48"/>
          <w:szCs w:val="48"/>
        </w:rPr>
      </w:pPr>
    </w:p>
    <w:p w14:paraId="2AC16FEE" w14:textId="17992EFE" w:rsidR="00A5084B" w:rsidRPr="000C3CC4" w:rsidRDefault="001119BD" w:rsidP="001119BD">
      <w:pPr>
        <w:pStyle w:val="Title"/>
        <w:ind w:right="-180"/>
        <w:rPr>
          <w:sz w:val="44"/>
          <w:szCs w:val="44"/>
        </w:rPr>
      </w:pPr>
      <w:r w:rsidRPr="000C3CC4">
        <w:rPr>
          <w:sz w:val="44"/>
          <w:szCs w:val="44"/>
        </w:rPr>
        <w:t>Fresh Mushroom Sales Review</w:t>
      </w:r>
      <w:r w:rsidR="000C3CC4" w:rsidRPr="000C3CC4">
        <w:rPr>
          <w:sz w:val="44"/>
          <w:szCs w:val="44"/>
        </w:rPr>
        <w:t>; 4</w:t>
      </w:r>
      <w:r w:rsidR="00AE32A2">
        <w:rPr>
          <w:sz w:val="44"/>
          <w:szCs w:val="44"/>
        </w:rPr>
        <w:t xml:space="preserve"> and 52</w:t>
      </w:r>
      <w:r w:rsidR="000C3CC4" w:rsidRPr="000C3CC4">
        <w:rPr>
          <w:sz w:val="44"/>
          <w:szCs w:val="44"/>
        </w:rPr>
        <w:t xml:space="preserve"> w</w:t>
      </w:r>
      <w:r w:rsidR="00D22E21">
        <w:rPr>
          <w:sz w:val="44"/>
          <w:szCs w:val="44"/>
        </w:rPr>
        <w:t>.e.</w:t>
      </w:r>
      <w:r w:rsidR="000C3CC4" w:rsidRPr="000C3CC4">
        <w:rPr>
          <w:sz w:val="44"/>
          <w:szCs w:val="44"/>
        </w:rPr>
        <w:t xml:space="preserve"> </w:t>
      </w:r>
      <w:r w:rsidR="00AB019A">
        <w:rPr>
          <w:sz w:val="44"/>
          <w:szCs w:val="44"/>
        </w:rPr>
        <w:t>12.3</w:t>
      </w:r>
      <w:r w:rsidR="001C4DB2">
        <w:rPr>
          <w:sz w:val="44"/>
          <w:szCs w:val="44"/>
        </w:rPr>
        <w:t>1</w:t>
      </w:r>
      <w:r w:rsidR="00445779">
        <w:rPr>
          <w:sz w:val="44"/>
          <w:szCs w:val="44"/>
        </w:rPr>
        <w:t>.2023</w:t>
      </w:r>
    </w:p>
    <w:p w14:paraId="022A5B42" w14:textId="605814EC" w:rsidR="00B34EF7" w:rsidRDefault="00B34EF7" w:rsidP="00B34EF7">
      <w:pPr>
        <w:pStyle w:val="NoSpacing"/>
      </w:pPr>
    </w:p>
    <w:p w14:paraId="5B083E85" w14:textId="280DC7D5" w:rsidR="00F86B08" w:rsidRDefault="00226D0D" w:rsidP="00927EAC">
      <w:pPr>
        <w:pStyle w:val="Heading2"/>
        <w:rPr>
          <w:b/>
          <w:bCs/>
          <w:color w:val="ED7D31" w:themeColor="accent2"/>
        </w:rPr>
      </w:pPr>
      <w:r>
        <w:rPr>
          <w:b/>
          <w:bCs/>
          <w:color w:val="ED7D31" w:themeColor="accent2"/>
        </w:rPr>
        <w:t>A Look in the 2023 Rearview Mirror</w:t>
      </w:r>
    </w:p>
    <w:p w14:paraId="34A404ED" w14:textId="77777777" w:rsidR="00226D0D" w:rsidRDefault="00226D0D" w:rsidP="00226D0D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Inflation continued to take the headlines in most of 2023, with consumer’ concern driven by the cumulative impact of several years of rising prices in many areas of life. </w:t>
      </w:r>
    </w:p>
    <w:tbl>
      <w:tblPr>
        <w:tblStyle w:val="ListTable1Light-Accent4"/>
        <w:tblpPr w:leftFromText="180" w:rightFromText="180" w:vertAnchor="text" w:tblpXSpec="right" w:tblpY="1"/>
        <w:tblOverlap w:val="never"/>
        <w:tblW w:w="5220" w:type="dxa"/>
        <w:jc w:val="right"/>
        <w:tblLayout w:type="fixed"/>
        <w:tblLook w:val="04A0" w:firstRow="1" w:lastRow="0" w:firstColumn="1" w:lastColumn="0" w:noHBand="0" w:noVBand="1"/>
      </w:tblPr>
      <w:tblGrid>
        <w:gridCol w:w="2520"/>
        <w:gridCol w:w="900"/>
        <w:gridCol w:w="90"/>
        <w:gridCol w:w="1710"/>
      </w:tblGrid>
      <w:tr w:rsidR="00F12F2D" w:rsidRPr="002A3B9B" w14:paraId="7B5AD711" w14:textId="77777777" w:rsidTr="003B05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  <w:shd w:val="clear" w:color="auto" w:fill="ED7D31" w:themeFill="accent2"/>
          </w:tcPr>
          <w:p w14:paraId="5C522DF7" w14:textId="77777777" w:rsidR="00F12F2D" w:rsidRPr="002A3B9B" w:rsidRDefault="00F12F2D" w:rsidP="003B0534">
            <w:pPr>
              <w:pStyle w:val="NoSpacing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Produce $ sales</w:t>
            </w:r>
          </w:p>
        </w:tc>
        <w:tc>
          <w:tcPr>
            <w:tcW w:w="900" w:type="dxa"/>
            <w:shd w:val="clear" w:color="auto" w:fill="ED7D31" w:themeFill="accent2"/>
          </w:tcPr>
          <w:p w14:paraId="57BA36DE" w14:textId="77777777" w:rsidR="00F12F2D" w:rsidRPr="002A3B9B" w:rsidRDefault="00F12F2D" w:rsidP="003B053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FFFFFF" w:themeColor="background1"/>
                <w:sz w:val="18"/>
                <w:szCs w:val="18"/>
              </w:rPr>
              <w:t>2019</w:t>
            </w:r>
          </w:p>
        </w:tc>
        <w:tc>
          <w:tcPr>
            <w:tcW w:w="1800" w:type="dxa"/>
            <w:gridSpan w:val="2"/>
            <w:shd w:val="clear" w:color="auto" w:fill="ED7D31" w:themeFill="accent2"/>
          </w:tcPr>
          <w:p w14:paraId="1DD7D032" w14:textId="77777777" w:rsidR="00F12F2D" w:rsidRPr="002A3B9B" w:rsidRDefault="00F12F2D" w:rsidP="003B053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color w:val="FFFFFF" w:themeColor="background1"/>
                <w:sz w:val="18"/>
                <w:szCs w:val="18"/>
              </w:rPr>
              <w:t>2023</w:t>
            </w:r>
          </w:p>
        </w:tc>
      </w:tr>
      <w:tr w:rsidR="00F12F2D" w:rsidRPr="008139D0" w14:paraId="2785FD1F" w14:textId="77777777" w:rsidTr="003B0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66F99D43" w14:textId="77777777" w:rsidR="00F12F2D" w:rsidRPr="003F49D5" w:rsidRDefault="00F12F2D" w:rsidP="003B0534">
            <w:pPr>
              <w:pStyle w:val="NoSpacing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3F49D5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Traditional grocery</w:t>
            </w:r>
          </w:p>
        </w:tc>
        <w:tc>
          <w:tcPr>
            <w:tcW w:w="990" w:type="dxa"/>
            <w:gridSpan w:val="2"/>
          </w:tcPr>
          <w:p w14:paraId="1112F75F" w14:textId="77777777" w:rsidR="00F12F2D" w:rsidRPr="008139D0" w:rsidRDefault="00F12F2D" w:rsidP="003B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F49D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42.6%</w:t>
            </w:r>
          </w:p>
        </w:tc>
        <w:tc>
          <w:tcPr>
            <w:tcW w:w="1710" w:type="dxa"/>
          </w:tcPr>
          <w:p w14:paraId="1FA8BDCC" w14:textId="77777777" w:rsidR="00F12F2D" w:rsidRPr="008139D0" w:rsidRDefault="00F12F2D" w:rsidP="003B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F49D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40.6%</w:t>
            </w:r>
          </w:p>
        </w:tc>
      </w:tr>
      <w:tr w:rsidR="00F12F2D" w:rsidRPr="008139D0" w14:paraId="7B4DA6BE" w14:textId="77777777" w:rsidTr="003B0534">
        <w:trPr>
          <w:trHeight w:val="262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5A4C6913" w14:textId="77777777" w:rsidR="00F12F2D" w:rsidRPr="003F49D5" w:rsidRDefault="00F12F2D" w:rsidP="003B0534">
            <w:pPr>
              <w:pStyle w:val="NoSpacing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3F49D5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Mass/supercenter</w:t>
            </w:r>
          </w:p>
        </w:tc>
        <w:tc>
          <w:tcPr>
            <w:tcW w:w="990" w:type="dxa"/>
            <w:gridSpan w:val="2"/>
          </w:tcPr>
          <w:p w14:paraId="4067DD70" w14:textId="77777777" w:rsidR="00F12F2D" w:rsidRPr="008139D0" w:rsidRDefault="00F12F2D" w:rsidP="003B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F49D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18.1%</w:t>
            </w:r>
          </w:p>
        </w:tc>
        <w:tc>
          <w:tcPr>
            <w:tcW w:w="1710" w:type="dxa"/>
          </w:tcPr>
          <w:p w14:paraId="6BA6DBDD" w14:textId="77777777" w:rsidR="00F12F2D" w:rsidRPr="008139D0" w:rsidRDefault="00F12F2D" w:rsidP="003B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F49D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19.8%</w:t>
            </w:r>
          </w:p>
        </w:tc>
      </w:tr>
      <w:tr w:rsidR="00F12F2D" w:rsidRPr="008139D0" w14:paraId="4EB61F81" w14:textId="77777777" w:rsidTr="003B0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6D02B1CB" w14:textId="77777777" w:rsidR="00F12F2D" w:rsidRPr="003F49D5" w:rsidRDefault="00F12F2D" w:rsidP="003B0534">
            <w:pPr>
              <w:pStyle w:val="NoSpacing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3F49D5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Club</w:t>
            </w:r>
          </w:p>
        </w:tc>
        <w:tc>
          <w:tcPr>
            <w:tcW w:w="990" w:type="dxa"/>
            <w:gridSpan w:val="2"/>
          </w:tcPr>
          <w:p w14:paraId="1B6BB2CF" w14:textId="77777777" w:rsidR="00F12F2D" w:rsidRPr="008139D0" w:rsidRDefault="00F12F2D" w:rsidP="003B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F49D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10.1%</w:t>
            </w:r>
          </w:p>
        </w:tc>
        <w:tc>
          <w:tcPr>
            <w:tcW w:w="1710" w:type="dxa"/>
          </w:tcPr>
          <w:p w14:paraId="0DB75EA2" w14:textId="77777777" w:rsidR="00F12F2D" w:rsidRPr="008139D0" w:rsidRDefault="00F12F2D" w:rsidP="003B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F49D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12.0%</w:t>
            </w:r>
          </w:p>
        </w:tc>
      </w:tr>
      <w:tr w:rsidR="00F12F2D" w:rsidRPr="008139D0" w14:paraId="759D3E37" w14:textId="77777777" w:rsidTr="003B0534">
        <w:trPr>
          <w:trHeight w:val="262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3BE3699C" w14:textId="77777777" w:rsidR="00F12F2D" w:rsidRPr="003F49D5" w:rsidRDefault="00F12F2D" w:rsidP="003B0534">
            <w:pPr>
              <w:pStyle w:val="NoSpacing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3F49D5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Discount grocery</w:t>
            </w:r>
          </w:p>
        </w:tc>
        <w:tc>
          <w:tcPr>
            <w:tcW w:w="990" w:type="dxa"/>
            <w:gridSpan w:val="2"/>
          </w:tcPr>
          <w:p w14:paraId="1E576608" w14:textId="77777777" w:rsidR="00F12F2D" w:rsidRPr="008139D0" w:rsidRDefault="00F12F2D" w:rsidP="003B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F49D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10.5%</w:t>
            </w:r>
          </w:p>
        </w:tc>
        <w:tc>
          <w:tcPr>
            <w:tcW w:w="1710" w:type="dxa"/>
          </w:tcPr>
          <w:p w14:paraId="19F20B03" w14:textId="77777777" w:rsidR="00F12F2D" w:rsidRPr="008139D0" w:rsidRDefault="00F12F2D" w:rsidP="003B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F49D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9.8%</w:t>
            </w:r>
          </w:p>
        </w:tc>
      </w:tr>
      <w:tr w:rsidR="00F12F2D" w:rsidRPr="008139D0" w14:paraId="6558835D" w14:textId="77777777" w:rsidTr="003B0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2C68B2CD" w14:textId="77777777" w:rsidR="00F12F2D" w:rsidRPr="003F49D5" w:rsidRDefault="00F12F2D" w:rsidP="003B0534">
            <w:pPr>
              <w:pStyle w:val="NoSpacing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3F49D5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Online</w:t>
            </w:r>
          </w:p>
        </w:tc>
        <w:tc>
          <w:tcPr>
            <w:tcW w:w="990" w:type="dxa"/>
            <w:gridSpan w:val="2"/>
          </w:tcPr>
          <w:p w14:paraId="47A02ED3" w14:textId="77777777" w:rsidR="00F12F2D" w:rsidRPr="008139D0" w:rsidRDefault="00F12F2D" w:rsidP="003B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F49D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0.7%</w:t>
            </w:r>
          </w:p>
        </w:tc>
        <w:tc>
          <w:tcPr>
            <w:tcW w:w="1710" w:type="dxa"/>
          </w:tcPr>
          <w:p w14:paraId="67313203" w14:textId="77777777" w:rsidR="00F12F2D" w:rsidRPr="008139D0" w:rsidRDefault="00F12F2D" w:rsidP="003B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F49D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2.5%</w:t>
            </w:r>
          </w:p>
        </w:tc>
      </w:tr>
      <w:tr w:rsidR="00F12F2D" w:rsidRPr="008139D0" w14:paraId="6672D041" w14:textId="77777777" w:rsidTr="003B0534">
        <w:trPr>
          <w:trHeight w:val="262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0FB484AB" w14:textId="77777777" w:rsidR="00F12F2D" w:rsidRPr="003F49D5" w:rsidRDefault="00F12F2D" w:rsidP="003B0534">
            <w:pPr>
              <w:pStyle w:val="NoSpacing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3F49D5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Specialty stores</w:t>
            </w:r>
          </w:p>
        </w:tc>
        <w:tc>
          <w:tcPr>
            <w:tcW w:w="990" w:type="dxa"/>
            <w:gridSpan w:val="2"/>
          </w:tcPr>
          <w:p w14:paraId="1B524D98" w14:textId="77777777" w:rsidR="00F12F2D" w:rsidRPr="008139D0" w:rsidRDefault="00F12F2D" w:rsidP="003B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F49D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1.9%</w:t>
            </w:r>
          </w:p>
        </w:tc>
        <w:tc>
          <w:tcPr>
            <w:tcW w:w="1710" w:type="dxa"/>
          </w:tcPr>
          <w:p w14:paraId="3F777FE8" w14:textId="77777777" w:rsidR="00F12F2D" w:rsidRPr="008139D0" w:rsidRDefault="00F12F2D" w:rsidP="003B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3F49D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1.7%</w:t>
            </w:r>
          </w:p>
        </w:tc>
      </w:tr>
      <w:tr w:rsidR="00F12F2D" w:rsidRPr="003F49D5" w14:paraId="4601628B" w14:textId="77777777" w:rsidTr="003B05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5DAC39CF" w14:textId="77777777" w:rsidR="00F12F2D" w:rsidRPr="003F49D5" w:rsidRDefault="00F12F2D" w:rsidP="003B0534">
            <w:pPr>
              <w:pStyle w:val="NoSpacing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F49D5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Health &amp; specialty stores</w:t>
            </w:r>
          </w:p>
        </w:tc>
        <w:tc>
          <w:tcPr>
            <w:tcW w:w="990" w:type="dxa"/>
            <w:gridSpan w:val="2"/>
          </w:tcPr>
          <w:p w14:paraId="33329F21" w14:textId="77777777" w:rsidR="00F12F2D" w:rsidRPr="003F49D5" w:rsidRDefault="00F12F2D" w:rsidP="003B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3F49D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5.3%</w:t>
            </w:r>
          </w:p>
        </w:tc>
        <w:tc>
          <w:tcPr>
            <w:tcW w:w="1710" w:type="dxa"/>
          </w:tcPr>
          <w:p w14:paraId="380F822A" w14:textId="77777777" w:rsidR="00F12F2D" w:rsidRPr="003F49D5" w:rsidRDefault="00F12F2D" w:rsidP="003B053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3F49D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3.6%</w:t>
            </w:r>
          </w:p>
        </w:tc>
      </w:tr>
      <w:tr w:rsidR="00F12F2D" w:rsidRPr="003F49D5" w14:paraId="4D3CB415" w14:textId="77777777" w:rsidTr="003B0534">
        <w:trPr>
          <w:trHeight w:val="262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0" w:type="dxa"/>
          </w:tcPr>
          <w:p w14:paraId="3E2E4DCE" w14:textId="77777777" w:rsidR="00F12F2D" w:rsidRPr="003F49D5" w:rsidRDefault="00F12F2D" w:rsidP="003B0534">
            <w:pPr>
              <w:pStyle w:val="NoSpacing"/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F49D5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All other</w:t>
            </w:r>
          </w:p>
        </w:tc>
        <w:tc>
          <w:tcPr>
            <w:tcW w:w="990" w:type="dxa"/>
            <w:gridSpan w:val="2"/>
          </w:tcPr>
          <w:p w14:paraId="116BB37A" w14:textId="77777777" w:rsidR="00F12F2D" w:rsidRPr="003F49D5" w:rsidRDefault="00F12F2D" w:rsidP="003B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3F49D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10.9%</w:t>
            </w:r>
          </w:p>
        </w:tc>
        <w:tc>
          <w:tcPr>
            <w:tcW w:w="1710" w:type="dxa"/>
          </w:tcPr>
          <w:p w14:paraId="6BD1086A" w14:textId="77777777" w:rsidR="00F12F2D" w:rsidRPr="003F49D5" w:rsidRDefault="00F12F2D" w:rsidP="003B05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3F49D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10.0%</w:t>
            </w:r>
          </w:p>
        </w:tc>
      </w:tr>
    </w:tbl>
    <w:p w14:paraId="3649879E" w14:textId="77777777" w:rsidR="00226D0D" w:rsidRDefault="00226D0D" w:rsidP="00226D0D">
      <w:pPr>
        <w:pStyle w:val="NoSpacing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55% of shoppers look for sales and deals more often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Other frequently-applied measures include cutting back on non-essentials, exploring store brands</w:t>
      </w:r>
      <w:r>
        <w:rPr>
          <w:rFonts w:ascii="Arial" w:hAnsi="Arial" w:cs="Arial"/>
          <w:sz w:val="20"/>
          <w:szCs w:val="20"/>
        </w:rPr>
        <w:t xml:space="preserve"> and</w:t>
      </w:r>
      <w:r>
        <w:rPr>
          <w:rFonts w:ascii="Arial" w:hAnsi="Arial" w:cs="Arial"/>
          <w:sz w:val="20"/>
          <w:szCs w:val="20"/>
        </w:rPr>
        <w:t xml:space="preserve"> clipping coupons</w:t>
      </w:r>
      <w:r>
        <w:rPr>
          <w:rFonts w:ascii="Arial" w:hAnsi="Arial" w:cs="Arial"/>
          <w:sz w:val="20"/>
          <w:szCs w:val="20"/>
        </w:rPr>
        <w:t>.</w:t>
      </w:r>
    </w:p>
    <w:p w14:paraId="4981AAE8" w14:textId="77777777" w:rsidR="00226D0D" w:rsidRDefault="00226D0D" w:rsidP="00152350">
      <w:pPr>
        <w:pStyle w:val="NoSpacing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226D0D">
        <w:rPr>
          <w:rFonts w:ascii="Arial" w:hAnsi="Arial" w:cs="Arial"/>
          <w:sz w:val="20"/>
          <w:szCs w:val="20"/>
        </w:rPr>
        <w:t>Additionally,</w:t>
      </w:r>
      <w:r w:rsidRPr="00226D0D">
        <w:rPr>
          <w:rFonts w:ascii="Arial" w:hAnsi="Arial" w:cs="Arial"/>
          <w:sz w:val="20"/>
          <w:szCs w:val="20"/>
        </w:rPr>
        <w:t xml:space="preserve"> nearly three in 10 shoppers include more value-focused retailers into their store rotation, 18% shop more grocery stores to get the best deals and another 18% have switched stores altogether. </w:t>
      </w:r>
    </w:p>
    <w:p w14:paraId="623A9FBF" w14:textId="7BD757AC" w:rsidR="00226D0D" w:rsidRDefault="00226D0D" w:rsidP="00152350">
      <w:pPr>
        <w:pStyle w:val="NoSpacing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Channel shifting has led to a vastly different produce dollar distribution over the past four years.</w:t>
      </w:r>
      <w:r w:rsidRPr="00226D0D">
        <w:rPr>
          <w:rFonts w:ascii="Arial" w:hAnsi="Arial" w:cs="Arial"/>
          <w:sz w:val="20"/>
          <w:szCs w:val="20"/>
        </w:rPr>
        <w:t xml:space="preserve"> According to Circana, supermarkets have lost </w:t>
      </w:r>
      <w:r>
        <w:rPr>
          <w:rFonts w:ascii="Arial" w:hAnsi="Arial" w:cs="Arial"/>
          <w:sz w:val="20"/>
          <w:szCs w:val="20"/>
        </w:rPr>
        <w:t>two</w:t>
      </w:r>
      <w:r w:rsidRPr="00226D0D">
        <w:rPr>
          <w:rFonts w:ascii="Arial" w:hAnsi="Arial" w:cs="Arial"/>
          <w:sz w:val="20"/>
          <w:szCs w:val="20"/>
        </w:rPr>
        <w:t xml:space="preserve"> percentage points over the past three years. The shift resulted in gains for many other channels, including club, mass/supercenter and online. </w:t>
      </w:r>
    </w:p>
    <w:p w14:paraId="6F460869" w14:textId="77777777" w:rsidR="00226D0D" w:rsidRDefault="00226D0D" w:rsidP="00226D0D">
      <w:pPr>
        <w:pStyle w:val="NoSpacing"/>
        <w:rPr>
          <w:rFonts w:ascii="Arial" w:hAnsi="Arial" w:cs="Arial"/>
          <w:sz w:val="20"/>
          <w:szCs w:val="20"/>
        </w:rPr>
      </w:pPr>
    </w:p>
    <w:p w14:paraId="023FBED6" w14:textId="77777777" w:rsidR="00226D0D" w:rsidRDefault="00226D0D" w:rsidP="00226D0D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Consumers estimated that about eight in 10 meals (79.7%) were prepared at home in December. This was up a few percentage points from November and typical for this time of the year. Following the holiday months, 29% plan to eat out at restaurants less often. </w:t>
      </w:r>
      <w:r w:rsidRPr="007B2878">
        <w:rPr>
          <w:rFonts w:ascii="Arial" w:hAnsi="Arial" w:cs="Arial"/>
          <w:sz w:val="20"/>
          <w:szCs w:val="20"/>
        </w:rPr>
        <w:t xml:space="preserve">As inflation is slowing, consumers are becoming slightly more optimistic. </w:t>
      </w:r>
    </w:p>
    <w:p w14:paraId="6288D39C" w14:textId="63A70745" w:rsidR="00226D0D" w:rsidRDefault="00226D0D" w:rsidP="00226D0D">
      <w:pPr>
        <w:pStyle w:val="ListParagraph"/>
        <w:numPr>
          <w:ilvl w:val="0"/>
          <w:numId w:val="19"/>
        </w:numPr>
        <w:spacing w:after="0" w:line="252" w:lineRule="auto"/>
        <w:rPr>
          <w:rFonts w:ascii="Arial" w:hAnsi="Arial" w:cs="Arial"/>
          <w:sz w:val="20"/>
          <w:szCs w:val="20"/>
        </w:rPr>
      </w:pPr>
      <w:r w:rsidRPr="007B2878">
        <w:rPr>
          <w:rFonts w:ascii="Arial" w:hAnsi="Arial" w:cs="Arial"/>
          <w:sz w:val="20"/>
          <w:szCs w:val="20"/>
        </w:rPr>
        <w:t xml:space="preserve">The December </w:t>
      </w:r>
      <w:r w:rsidR="00F12F2D">
        <w:rPr>
          <w:rFonts w:ascii="Arial" w:hAnsi="Arial" w:cs="Arial"/>
          <w:sz w:val="20"/>
          <w:szCs w:val="20"/>
        </w:rPr>
        <w:t xml:space="preserve">Circana </w:t>
      </w:r>
      <w:r w:rsidRPr="007B2878">
        <w:rPr>
          <w:rFonts w:ascii="Arial" w:hAnsi="Arial" w:cs="Arial"/>
          <w:sz w:val="20"/>
          <w:szCs w:val="20"/>
        </w:rPr>
        <w:t>survey found that 58% of consumers perceive grocery prices to be “much higher,” down 4 points versus November and down 16 points from last December. </w:t>
      </w:r>
    </w:p>
    <w:p w14:paraId="362AE689" w14:textId="58E5258A" w:rsidR="00226D0D" w:rsidRDefault="00226D0D" w:rsidP="00226D0D">
      <w:pPr>
        <w:pStyle w:val="ListParagraph"/>
        <w:numPr>
          <w:ilvl w:val="0"/>
          <w:numId w:val="19"/>
        </w:numPr>
        <w:spacing w:after="0" w:line="252" w:lineRule="auto"/>
        <w:rPr>
          <w:rFonts w:ascii="Arial" w:hAnsi="Arial" w:cs="Arial"/>
          <w:sz w:val="20"/>
          <w:szCs w:val="20"/>
        </w:rPr>
      </w:pPr>
      <w:r w:rsidRPr="007B2878">
        <w:rPr>
          <w:rFonts w:ascii="Arial" w:hAnsi="Arial" w:cs="Arial"/>
          <w:sz w:val="20"/>
          <w:szCs w:val="20"/>
        </w:rPr>
        <w:t xml:space="preserve">19% of consumers </w:t>
      </w:r>
      <w:r w:rsidR="00F12F2D">
        <w:rPr>
          <w:rFonts w:ascii="Arial" w:hAnsi="Arial" w:cs="Arial"/>
          <w:sz w:val="20"/>
          <w:szCs w:val="20"/>
        </w:rPr>
        <w:t xml:space="preserve">consider </w:t>
      </w:r>
      <w:r w:rsidRPr="007B2878">
        <w:rPr>
          <w:rFonts w:ascii="Arial" w:hAnsi="Arial" w:cs="Arial"/>
          <w:sz w:val="20"/>
          <w:szCs w:val="20"/>
        </w:rPr>
        <w:t>their financial situation is better than last year versus 13% in December 2022.</w:t>
      </w:r>
    </w:p>
    <w:p w14:paraId="26DADE9A" w14:textId="77777777" w:rsidR="00226D0D" w:rsidRPr="007B2878" w:rsidRDefault="00226D0D" w:rsidP="00226D0D">
      <w:pPr>
        <w:pStyle w:val="ListParagraph"/>
        <w:numPr>
          <w:ilvl w:val="0"/>
          <w:numId w:val="19"/>
        </w:numPr>
        <w:spacing w:after="0" w:line="252" w:lineRule="auto"/>
        <w:rPr>
          <w:rFonts w:ascii="Arial" w:hAnsi="Arial" w:cs="Arial"/>
          <w:sz w:val="20"/>
          <w:szCs w:val="20"/>
        </w:rPr>
      </w:pPr>
      <w:r w:rsidRPr="007B2878">
        <w:rPr>
          <w:rFonts w:ascii="Arial" w:hAnsi="Arial" w:cs="Arial"/>
          <w:sz w:val="20"/>
          <w:szCs w:val="20"/>
        </w:rPr>
        <w:t xml:space="preserve">Shoppers’ financial outlook has </w:t>
      </w:r>
      <w:r>
        <w:rPr>
          <w:rFonts w:ascii="Arial" w:hAnsi="Arial" w:cs="Arial"/>
          <w:sz w:val="20"/>
          <w:szCs w:val="20"/>
        </w:rPr>
        <w:t xml:space="preserve">also </w:t>
      </w:r>
      <w:r w:rsidRPr="007B2878">
        <w:rPr>
          <w:rFonts w:ascii="Arial" w:hAnsi="Arial" w:cs="Arial"/>
          <w:sz w:val="20"/>
          <w:szCs w:val="20"/>
        </w:rPr>
        <w:t>shown some improvement since 2022. While the number expecting their financial situation to be better a year from now has been steady, there are fewer who expect it to be worse</w:t>
      </w:r>
      <w:r>
        <w:rPr>
          <w:rFonts w:ascii="Arial" w:hAnsi="Arial" w:cs="Arial"/>
          <w:sz w:val="20"/>
          <w:szCs w:val="20"/>
        </w:rPr>
        <w:t xml:space="preserve">, at </w:t>
      </w:r>
      <w:r w:rsidRPr="007B2878">
        <w:rPr>
          <w:rFonts w:ascii="Arial" w:hAnsi="Arial" w:cs="Arial"/>
          <w:sz w:val="20"/>
          <w:szCs w:val="20"/>
        </w:rPr>
        <w:t>24%</w:t>
      </w:r>
      <w:r>
        <w:rPr>
          <w:rFonts w:ascii="Arial" w:hAnsi="Arial" w:cs="Arial"/>
          <w:sz w:val="20"/>
          <w:szCs w:val="20"/>
        </w:rPr>
        <w:t xml:space="preserve"> versus </w:t>
      </w:r>
      <w:r w:rsidRPr="007B2878">
        <w:rPr>
          <w:rFonts w:ascii="Arial" w:hAnsi="Arial" w:cs="Arial"/>
          <w:sz w:val="20"/>
          <w:szCs w:val="20"/>
        </w:rPr>
        <w:t xml:space="preserve">31% in December 2022. </w:t>
      </w:r>
    </w:p>
    <w:p w14:paraId="076DEE8D" w14:textId="77777777" w:rsidR="00F12F2D" w:rsidRDefault="00F12F2D" w:rsidP="00F12F2D">
      <w:pPr>
        <w:pStyle w:val="NoSpacing"/>
        <w:rPr>
          <w:rFonts w:ascii="Arial" w:hAnsi="Arial" w:cs="Arial"/>
          <w:sz w:val="20"/>
          <w:szCs w:val="20"/>
        </w:rPr>
      </w:pPr>
    </w:p>
    <w:p w14:paraId="75CE99B0" w14:textId="31EF668B" w:rsidR="009B3A61" w:rsidRDefault="00226D0D" w:rsidP="00F12F2D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slowly rising optimism is likely to </w:t>
      </w:r>
      <w:r w:rsidR="00F12F2D">
        <w:rPr>
          <w:rFonts w:ascii="Arial" w:hAnsi="Arial" w:cs="Arial"/>
          <w:sz w:val="20"/>
          <w:szCs w:val="20"/>
        </w:rPr>
        <w:t>lead to changes in food patterns yet again.</w:t>
      </w:r>
    </w:p>
    <w:p w14:paraId="015B38D8" w14:textId="77777777" w:rsidR="00F12F2D" w:rsidRPr="009B3A61" w:rsidRDefault="00F12F2D" w:rsidP="00F12F2D">
      <w:pPr>
        <w:pStyle w:val="NoSpacing"/>
      </w:pPr>
    </w:p>
    <w:p w14:paraId="737234D5" w14:textId="3B512D43" w:rsidR="00927EAC" w:rsidRPr="00927EAC" w:rsidRDefault="007D3393" w:rsidP="00927EAC">
      <w:pPr>
        <w:pStyle w:val="Heading2"/>
        <w:rPr>
          <w:b/>
          <w:bCs/>
          <w:color w:val="ED7D31" w:themeColor="accent2"/>
        </w:rPr>
      </w:pPr>
      <w:r>
        <w:rPr>
          <w:b/>
          <w:bCs/>
          <w:color w:val="ED7D31" w:themeColor="accent2"/>
        </w:rPr>
        <w:t xml:space="preserve">Fresh Mushroom </w:t>
      </w:r>
      <w:r w:rsidR="00927EAC" w:rsidRPr="00927EAC">
        <w:rPr>
          <w:b/>
          <w:bCs/>
          <w:color w:val="ED7D31" w:themeColor="accent2"/>
        </w:rPr>
        <w:t>Dollars, Units and Volume Performance</w:t>
      </w:r>
    </w:p>
    <w:p w14:paraId="47797D03" w14:textId="5D62B436" w:rsidR="00472B02" w:rsidRDefault="00F12F2D" w:rsidP="00472B02">
      <w:pPr>
        <w:pStyle w:val="NoSpacing"/>
      </w:pPr>
      <w:r>
        <w:t>The December f</w:t>
      </w:r>
      <w:r w:rsidR="007D3393">
        <w:t xml:space="preserve">resh mushroom </w:t>
      </w:r>
      <w:r w:rsidR="00C65479">
        <w:t xml:space="preserve">sales </w:t>
      </w:r>
      <w:r w:rsidR="007D3393">
        <w:t xml:space="preserve">patterns </w:t>
      </w:r>
      <w:r w:rsidR="00F40BC0">
        <w:t>were similar</w:t>
      </w:r>
      <w:r>
        <w:t xml:space="preserve"> to the ones seen all year, with</w:t>
      </w:r>
      <w:r w:rsidR="007D3393">
        <w:t xml:space="preserve"> unit </w:t>
      </w:r>
      <w:r w:rsidR="009B71AE">
        <w:t xml:space="preserve">and volume declines during the shorter and longer time periods. </w:t>
      </w:r>
      <w:r w:rsidR="009D6711">
        <w:t>In the latest four weeks, volume</w:t>
      </w:r>
      <w:r w:rsidR="0059588E">
        <w:t xml:space="preserve"> declines stayed </w:t>
      </w:r>
      <w:r w:rsidR="009B3A61">
        <w:t xml:space="preserve">around </w:t>
      </w:r>
      <w:r w:rsidR="00496964">
        <w:t>5</w:t>
      </w:r>
      <w:r w:rsidR="00986D1F">
        <w:t xml:space="preserve"> </w:t>
      </w:r>
      <w:r w:rsidR="0059588E">
        <w:t>points</w:t>
      </w:r>
      <w:r w:rsidR="009D6711">
        <w:t xml:space="preserve"> of year ago levels. </w:t>
      </w:r>
    </w:p>
    <w:p w14:paraId="40FAA348" w14:textId="6A56CCC2" w:rsidR="00AD7044" w:rsidRDefault="00AD7044" w:rsidP="00472B02">
      <w:pPr>
        <w:pStyle w:val="NoSpacing"/>
      </w:pPr>
    </w:p>
    <w:tbl>
      <w:tblPr>
        <w:tblStyle w:val="ListTable3-Accent2"/>
        <w:tblW w:w="10269" w:type="dxa"/>
        <w:tblLook w:val="04A0" w:firstRow="1" w:lastRow="0" w:firstColumn="1" w:lastColumn="0" w:noHBand="0" w:noVBand="1"/>
      </w:tblPr>
      <w:tblGrid>
        <w:gridCol w:w="1792"/>
        <w:gridCol w:w="2096"/>
        <w:gridCol w:w="148"/>
        <w:gridCol w:w="873"/>
        <w:gridCol w:w="971"/>
        <w:gridCol w:w="2074"/>
        <w:gridCol w:w="1121"/>
        <w:gridCol w:w="1194"/>
      </w:tblGrid>
      <w:tr w:rsidR="00B672D0" w:rsidRPr="00124CB7" w14:paraId="5D073D77" w14:textId="77777777" w:rsidTr="000364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92" w:type="dxa"/>
          </w:tcPr>
          <w:p w14:paraId="0624EE87" w14:textId="452C2900" w:rsidR="00B672D0" w:rsidRPr="00124CB7" w:rsidRDefault="00B672D0" w:rsidP="00B672D0">
            <w:pPr>
              <w:pStyle w:val="NoSpacing"/>
            </w:pPr>
            <w:r>
              <w:t>Fresh mushrooms</w:t>
            </w:r>
          </w:p>
        </w:tc>
        <w:tc>
          <w:tcPr>
            <w:tcW w:w="2244" w:type="dxa"/>
            <w:gridSpan w:val="2"/>
          </w:tcPr>
          <w:p w14:paraId="51DF6E55" w14:textId="2B0C956A" w:rsidR="00B672D0" w:rsidRPr="00124CB7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weeks ending </w:t>
            </w:r>
            <w:r w:rsidR="00FC56B0">
              <w:t>12/31</w:t>
            </w:r>
            <w:r>
              <w:t>/2023</w:t>
            </w:r>
          </w:p>
        </w:tc>
        <w:tc>
          <w:tcPr>
            <w:tcW w:w="871" w:type="dxa"/>
          </w:tcPr>
          <w:p w14:paraId="0398A30D" w14:textId="02B74031" w:rsidR="00B672D0" w:rsidRPr="00124CB7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Vs. 2022</w:t>
            </w:r>
          </w:p>
        </w:tc>
        <w:tc>
          <w:tcPr>
            <w:tcW w:w="971" w:type="dxa"/>
            <w:tcBorders>
              <w:right w:val="single" w:sz="4" w:space="0" w:color="ED7D31" w:themeColor="accent2"/>
            </w:tcBorders>
          </w:tcPr>
          <w:p w14:paraId="11B3D9FB" w14:textId="15CCA3DC" w:rsidR="00B672D0" w:rsidRPr="00124CB7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Vs. 2020</w:t>
            </w:r>
          </w:p>
        </w:tc>
        <w:tc>
          <w:tcPr>
            <w:tcW w:w="2074" w:type="dxa"/>
            <w:tcBorders>
              <w:left w:val="single" w:sz="4" w:space="0" w:color="ED7D31" w:themeColor="accent2"/>
            </w:tcBorders>
          </w:tcPr>
          <w:p w14:paraId="3BBE24C3" w14:textId="768613D8" w:rsidR="00B672D0" w:rsidRPr="00124CB7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Latest 52 w.e. </w:t>
            </w:r>
            <w:r w:rsidR="00FC56B0">
              <w:t>12/31</w:t>
            </w:r>
            <w:r>
              <w:t>/2023</w:t>
            </w:r>
          </w:p>
        </w:tc>
        <w:tc>
          <w:tcPr>
            <w:tcW w:w="1121" w:type="dxa"/>
          </w:tcPr>
          <w:p w14:paraId="40EE3430" w14:textId="77777777" w:rsidR="00B672D0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0895179F" w14:textId="133A5C28" w:rsidR="00B672D0" w:rsidRPr="00124CB7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Vs. 2022</w:t>
            </w:r>
          </w:p>
        </w:tc>
        <w:tc>
          <w:tcPr>
            <w:tcW w:w="1194" w:type="dxa"/>
          </w:tcPr>
          <w:p w14:paraId="0BDA0615" w14:textId="77777777" w:rsidR="00B672D0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5AB7ECE0" w14:textId="0D54DE1F" w:rsidR="00B672D0" w:rsidRPr="00124CB7" w:rsidRDefault="00B672D0" w:rsidP="00B672D0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Vs. 2020</w:t>
            </w:r>
          </w:p>
        </w:tc>
      </w:tr>
      <w:tr w:rsidR="00AB019A" w14:paraId="22401D5B" w14:textId="77777777" w:rsidTr="00036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79CDF43D" w14:textId="166854D6" w:rsidR="00AB019A" w:rsidRPr="00124CB7" w:rsidRDefault="00AB019A" w:rsidP="00AB019A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Dollars</w:t>
            </w:r>
          </w:p>
        </w:tc>
        <w:tc>
          <w:tcPr>
            <w:tcW w:w="2096" w:type="dxa"/>
          </w:tcPr>
          <w:p w14:paraId="6D1FCB95" w14:textId="0DEC7ED4" w:rsidR="00AB019A" w:rsidRDefault="00AB019A" w:rsidP="00AB019A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$</w:t>
            </w:r>
            <w:r w:rsidR="0003642F">
              <w:t>101.4</w:t>
            </w:r>
            <w:r>
              <w:t xml:space="preserve"> million</w:t>
            </w:r>
          </w:p>
        </w:tc>
        <w:tc>
          <w:tcPr>
            <w:tcW w:w="1021" w:type="dxa"/>
            <w:gridSpan w:val="2"/>
          </w:tcPr>
          <w:p w14:paraId="77D2040B" w14:textId="6D78E620" w:rsidR="00AB019A" w:rsidRDefault="00AB019A" w:rsidP="00AB019A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625C">
              <w:rPr>
                <w:rFonts w:cstheme="minorHAnsi"/>
                <w:color w:val="000000" w:themeColor="text1"/>
              </w:rPr>
              <w:t>-</w:t>
            </w:r>
            <w:r w:rsidR="00496964">
              <w:rPr>
                <w:rFonts w:cstheme="minorHAnsi"/>
                <w:color w:val="000000" w:themeColor="text1"/>
              </w:rPr>
              <w:t>5</w:t>
            </w:r>
            <w:r w:rsidR="0003642F">
              <w:rPr>
                <w:rFonts w:cstheme="minorHAnsi"/>
                <w:color w:val="000000" w:themeColor="text1"/>
              </w:rPr>
              <w:t>.2</w:t>
            </w:r>
            <w:r w:rsidRPr="00B4625C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71" w:type="dxa"/>
            <w:tcBorders>
              <w:right w:val="single" w:sz="4" w:space="0" w:color="ED7D31" w:themeColor="accent2"/>
            </w:tcBorders>
          </w:tcPr>
          <w:p w14:paraId="4EF21002" w14:textId="4695D9CE" w:rsidR="00AB019A" w:rsidRDefault="00AB019A" w:rsidP="00AB019A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625C">
              <w:rPr>
                <w:rFonts w:cstheme="minorHAnsi"/>
                <w:color w:val="000000" w:themeColor="text1"/>
              </w:rPr>
              <w:t>-</w:t>
            </w:r>
            <w:r w:rsidR="00496964">
              <w:rPr>
                <w:rFonts w:cstheme="minorHAnsi"/>
                <w:color w:val="000000" w:themeColor="text1"/>
              </w:rPr>
              <w:t>12.2</w:t>
            </w:r>
            <w:r w:rsidRPr="00B4625C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2074" w:type="dxa"/>
            <w:tcBorders>
              <w:left w:val="single" w:sz="4" w:space="0" w:color="ED7D31" w:themeColor="accent2"/>
            </w:tcBorders>
          </w:tcPr>
          <w:p w14:paraId="375CF9DD" w14:textId="70840AC6" w:rsidR="00AB019A" w:rsidRDefault="00AB019A" w:rsidP="00AB019A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$</w:t>
            </w:r>
            <w:r w:rsidR="0003642F">
              <w:t>1.2</w:t>
            </w:r>
            <w:r>
              <w:t xml:space="preserve"> billion</w:t>
            </w:r>
          </w:p>
        </w:tc>
        <w:tc>
          <w:tcPr>
            <w:tcW w:w="1121" w:type="dxa"/>
          </w:tcPr>
          <w:p w14:paraId="04EA64A9" w14:textId="705749A9" w:rsidR="00AB019A" w:rsidRDefault="00AB019A" w:rsidP="00AB019A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5D4E">
              <w:rPr>
                <w:rFonts w:cstheme="minorHAnsi"/>
                <w:color w:val="000000" w:themeColor="text1"/>
              </w:rPr>
              <w:t>-</w:t>
            </w:r>
            <w:r w:rsidR="00496964">
              <w:rPr>
                <w:rFonts w:cstheme="minorHAnsi"/>
                <w:color w:val="000000" w:themeColor="text1"/>
              </w:rPr>
              <w:t>3.</w:t>
            </w:r>
            <w:r w:rsidR="0003642F">
              <w:rPr>
                <w:rFonts w:cstheme="minorHAnsi"/>
                <w:color w:val="000000" w:themeColor="text1"/>
              </w:rPr>
              <w:t>2</w:t>
            </w:r>
            <w:r w:rsidRPr="007E5D4E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94" w:type="dxa"/>
          </w:tcPr>
          <w:p w14:paraId="2F2464E9" w14:textId="1A33B2E5" w:rsidR="00AB019A" w:rsidRDefault="00AB019A" w:rsidP="00AB019A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5D4E">
              <w:rPr>
                <w:rFonts w:cstheme="minorHAnsi"/>
                <w:color w:val="000000" w:themeColor="text1"/>
              </w:rPr>
              <w:t>-</w:t>
            </w:r>
            <w:r w:rsidR="00496964">
              <w:rPr>
                <w:rFonts w:cstheme="minorHAnsi"/>
                <w:color w:val="000000" w:themeColor="text1"/>
              </w:rPr>
              <w:t>10.5</w:t>
            </w:r>
            <w:r w:rsidRPr="007E5D4E">
              <w:rPr>
                <w:rFonts w:cstheme="minorHAnsi"/>
                <w:color w:val="000000" w:themeColor="text1"/>
              </w:rPr>
              <w:t>%</w:t>
            </w:r>
          </w:p>
        </w:tc>
      </w:tr>
      <w:tr w:rsidR="00AB019A" w14:paraId="31FB8D29" w14:textId="77777777" w:rsidTr="000364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10B2F651" w14:textId="48542DFC" w:rsidR="00AB019A" w:rsidRPr="00124CB7" w:rsidRDefault="00AB019A" w:rsidP="00AB019A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Units</w:t>
            </w:r>
          </w:p>
        </w:tc>
        <w:tc>
          <w:tcPr>
            <w:tcW w:w="2096" w:type="dxa"/>
          </w:tcPr>
          <w:p w14:paraId="3CA03520" w14:textId="308520A6" w:rsidR="00AB019A" w:rsidRDefault="00AB019A" w:rsidP="00AB019A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</w:t>
            </w:r>
            <w:r w:rsidR="00496964">
              <w:t>33.2</w:t>
            </w:r>
            <w:r>
              <w:t xml:space="preserve"> million</w:t>
            </w:r>
          </w:p>
        </w:tc>
        <w:tc>
          <w:tcPr>
            <w:tcW w:w="1021" w:type="dxa"/>
            <w:gridSpan w:val="2"/>
          </w:tcPr>
          <w:p w14:paraId="6922F333" w14:textId="6BD48880" w:rsidR="00AB019A" w:rsidRDefault="00AB019A" w:rsidP="00AB019A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625C">
              <w:rPr>
                <w:rFonts w:cstheme="minorHAnsi"/>
                <w:color w:val="000000" w:themeColor="text1"/>
              </w:rPr>
              <w:t>-</w:t>
            </w:r>
            <w:r w:rsidR="00496964">
              <w:rPr>
                <w:rFonts w:cstheme="minorHAnsi"/>
                <w:color w:val="000000" w:themeColor="text1"/>
              </w:rPr>
              <w:t>5.8</w:t>
            </w:r>
            <w:r w:rsidRPr="00B4625C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71" w:type="dxa"/>
            <w:tcBorders>
              <w:right w:val="single" w:sz="4" w:space="0" w:color="ED7D31" w:themeColor="accent2"/>
            </w:tcBorders>
          </w:tcPr>
          <w:p w14:paraId="7CD8DEEA" w14:textId="4C340952" w:rsidR="00AB019A" w:rsidRDefault="00AB019A" w:rsidP="00AB019A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625C">
              <w:rPr>
                <w:rFonts w:cstheme="minorHAnsi"/>
                <w:color w:val="000000" w:themeColor="text1"/>
              </w:rPr>
              <w:t>-</w:t>
            </w:r>
            <w:r w:rsidR="00496964">
              <w:rPr>
                <w:rFonts w:cstheme="minorHAnsi"/>
                <w:color w:val="000000" w:themeColor="text1"/>
              </w:rPr>
              <w:t>21.1</w:t>
            </w:r>
            <w:r w:rsidRPr="00B4625C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2074" w:type="dxa"/>
            <w:tcBorders>
              <w:left w:val="single" w:sz="4" w:space="0" w:color="ED7D31" w:themeColor="accent2"/>
            </w:tcBorders>
          </w:tcPr>
          <w:p w14:paraId="26ECACB9" w14:textId="0FCA15E1" w:rsidR="00AB019A" w:rsidRDefault="00AB019A" w:rsidP="00AB019A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</w:t>
            </w:r>
            <w:r w:rsidR="00496964">
              <w:t>421.9</w:t>
            </w:r>
            <w:r>
              <w:t xml:space="preserve"> million</w:t>
            </w:r>
          </w:p>
        </w:tc>
        <w:tc>
          <w:tcPr>
            <w:tcW w:w="1121" w:type="dxa"/>
          </w:tcPr>
          <w:p w14:paraId="60AAF678" w14:textId="681F415F" w:rsidR="00AB019A" w:rsidRDefault="00AB019A" w:rsidP="00AB019A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5D4E">
              <w:rPr>
                <w:rFonts w:cstheme="minorHAnsi"/>
                <w:color w:val="000000" w:themeColor="text1"/>
              </w:rPr>
              <w:t>-</w:t>
            </w:r>
            <w:r w:rsidR="00496964">
              <w:rPr>
                <w:rFonts w:cstheme="minorHAnsi"/>
                <w:color w:val="000000" w:themeColor="text1"/>
              </w:rPr>
              <w:t>5.0</w:t>
            </w:r>
            <w:r w:rsidRPr="007E5D4E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94" w:type="dxa"/>
          </w:tcPr>
          <w:p w14:paraId="19BE3B74" w14:textId="143F74D5" w:rsidR="00AB019A" w:rsidRDefault="00AB019A" w:rsidP="00AB019A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5D4E">
              <w:rPr>
                <w:rFonts w:cstheme="minorHAnsi"/>
                <w:color w:val="000000" w:themeColor="text1"/>
              </w:rPr>
              <w:t>-</w:t>
            </w:r>
            <w:r w:rsidR="00496964">
              <w:rPr>
                <w:rFonts w:cstheme="minorHAnsi"/>
                <w:color w:val="000000" w:themeColor="text1"/>
              </w:rPr>
              <w:t>19.7</w:t>
            </w:r>
            <w:r w:rsidRPr="007E5D4E">
              <w:rPr>
                <w:rFonts w:cstheme="minorHAnsi"/>
                <w:color w:val="000000" w:themeColor="text1"/>
              </w:rPr>
              <w:t>%</w:t>
            </w:r>
          </w:p>
        </w:tc>
      </w:tr>
      <w:tr w:rsidR="00AB019A" w14:paraId="2EB720F3" w14:textId="77777777" w:rsidTr="000364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14:paraId="1A632454" w14:textId="04CEBBF8" w:rsidR="00AB019A" w:rsidRPr="00124CB7" w:rsidRDefault="00AB019A" w:rsidP="00AB019A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Volume (pounds)</w:t>
            </w:r>
          </w:p>
        </w:tc>
        <w:tc>
          <w:tcPr>
            <w:tcW w:w="2096" w:type="dxa"/>
          </w:tcPr>
          <w:p w14:paraId="68757A76" w14:textId="2FA6B54F" w:rsidR="00AB019A" w:rsidRDefault="00AB019A" w:rsidP="00AB019A">
            <w:pPr>
              <w:pStyle w:val="NoSpacing"/>
              <w:tabs>
                <w:tab w:val="center" w:pos="747"/>
                <w:tab w:val="right" w:pos="1494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</w:t>
            </w:r>
            <w:r w:rsidR="00496964">
              <w:t>21.6</w:t>
            </w:r>
            <w:r>
              <w:t xml:space="preserve"> million</w:t>
            </w:r>
          </w:p>
        </w:tc>
        <w:tc>
          <w:tcPr>
            <w:tcW w:w="1021" w:type="dxa"/>
            <w:gridSpan w:val="2"/>
          </w:tcPr>
          <w:p w14:paraId="7DE7F9CC" w14:textId="17178E51" w:rsidR="00AB019A" w:rsidRDefault="00AB019A" w:rsidP="00AB019A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625C">
              <w:rPr>
                <w:rFonts w:cstheme="minorHAnsi"/>
                <w:color w:val="000000" w:themeColor="text1"/>
              </w:rPr>
              <w:t>-</w:t>
            </w:r>
            <w:r w:rsidR="00496964">
              <w:rPr>
                <w:rFonts w:cstheme="minorHAnsi"/>
                <w:color w:val="000000" w:themeColor="text1"/>
              </w:rPr>
              <w:t>5.1</w:t>
            </w:r>
            <w:r w:rsidRPr="00B4625C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71" w:type="dxa"/>
            <w:tcBorders>
              <w:right w:val="single" w:sz="4" w:space="0" w:color="ED7D31" w:themeColor="accent2"/>
            </w:tcBorders>
          </w:tcPr>
          <w:p w14:paraId="47670DC1" w14:textId="45AE3331" w:rsidR="00AB019A" w:rsidRDefault="00AB019A" w:rsidP="00AB019A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625C">
              <w:rPr>
                <w:rFonts w:cstheme="minorHAnsi"/>
                <w:color w:val="000000" w:themeColor="text1"/>
              </w:rPr>
              <w:t>-</w:t>
            </w:r>
            <w:r w:rsidR="00496964">
              <w:rPr>
                <w:rFonts w:cstheme="minorHAnsi"/>
                <w:color w:val="000000" w:themeColor="text1"/>
              </w:rPr>
              <w:t>19.9</w:t>
            </w:r>
            <w:r w:rsidRPr="00B4625C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2074" w:type="dxa"/>
            <w:tcBorders>
              <w:left w:val="single" w:sz="4" w:space="0" w:color="ED7D31" w:themeColor="accent2"/>
            </w:tcBorders>
          </w:tcPr>
          <w:p w14:paraId="57878EB0" w14:textId="0FA270B1" w:rsidR="00AB019A" w:rsidRDefault="00496964" w:rsidP="00AB019A">
            <w:pPr>
              <w:pStyle w:val="NoSpacing"/>
              <w:tabs>
                <w:tab w:val="center" w:pos="743"/>
                <w:tab w:val="right" w:pos="1487"/>
              </w:tabs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266.5</w:t>
            </w:r>
            <w:r w:rsidR="00AB019A">
              <w:t xml:space="preserve"> million</w:t>
            </w:r>
          </w:p>
        </w:tc>
        <w:tc>
          <w:tcPr>
            <w:tcW w:w="1121" w:type="dxa"/>
          </w:tcPr>
          <w:p w14:paraId="0679CD28" w14:textId="2AD15C56" w:rsidR="00AB019A" w:rsidRDefault="00AB019A" w:rsidP="00AB019A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5D4E">
              <w:rPr>
                <w:rFonts w:cstheme="minorHAnsi"/>
                <w:color w:val="000000" w:themeColor="text1"/>
              </w:rPr>
              <w:t>-</w:t>
            </w:r>
            <w:r w:rsidR="00496964">
              <w:rPr>
                <w:rFonts w:cstheme="minorHAnsi"/>
                <w:color w:val="000000" w:themeColor="text1"/>
              </w:rPr>
              <w:t>4.6</w:t>
            </w:r>
            <w:r w:rsidRPr="007E5D4E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1194" w:type="dxa"/>
          </w:tcPr>
          <w:p w14:paraId="09C03B7F" w14:textId="3969517F" w:rsidR="00AB019A" w:rsidRDefault="00AB019A" w:rsidP="00AB019A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5D4E">
              <w:rPr>
                <w:rFonts w:cstheme="minorHAnsi"/>
                <w:color w:val="000000" w:themeColor="text1"/>
              </w:rPr>
              <w:t>-</w:t>
            </w:r>
            <w:r w:rsidR="00496964">
              <w:rPr>
                <w:rFonts w:cstheme="minorHAnsi"/>
                <w:color w:val="000000" w:themeColor="text1"/>
              </w:rPr>
              <w:t>18.9</w:t>
            </w:r>
            <w:r w:rsidRPr="007E5D4E">
              <w:rPr>
                <w:rFonts w:cstheme="minorHAnsi"/>
                <w:color w:val="000000" w:themeColor="text1"/>
              </w:rPr>
              <w:t>%</w:t>
            </w:r>
          </w:p>
        </w:tc>
      </w:tr>
    </w:tbl>
    <w:p w14:paraId="5B1F1AF6" w14:textId="6FD8DE1B" w:rsidR="0092088E" w:rsidRPr="00555250" w:rsidRDefault="00555250" w:rsidP="00555250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r w:rsidR="004C5B27">
        <w:rPr>
          <w:color w:val="7F7F7F" w:themeColor="text1" w:themeTint="80"/>
          <w:sz w:val="16"/>
          <w:szCs w:val="16"/>
        </w:rPr>
        <w:t>Circana</w:t>
      </w:r>
      <w:r w:rsidRPr="00555250">
        <w:rPr>
          <w:color w:val="7F7F7F" w:themeColor="text1" w:themeTint="80"/>
          <w:sz w:val="16"/>
          <w:szCs w:val="16"/>
        </w:rPr>
        <w:t xml:space="preserve">, Integrated Fresh, MULO, </w:t>
      </w:r>
      <w:r w:rsidR="00977F7F">
        <w:rPr>
          <w:color w:val="7F7F7F" w:themeColor="text1" w:themeTint="80"/>
          <w:sz w:val="16"/>
          <w:szCs w:val="16"/>
        </w:rPr>
        <w:t xml:space="preserve">YTD and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FC56B0">
        <w:rPr>
          <w:color w:val="7F7F7F" w:themeColor="text1" w:themeTint="80"/>
          <w:sz w:val="16"/>
          <w:szCs w:val="16"/>
        </w:rPr>
        <w:t>12/31</w:t>
      </w:r>
      <w:r w:rsidR="00EB090C">
        <w:rPr>
          <w:color w:val="7F7F7F" w:themeColor="text1" w:themeTint="80"/>
          <w:sz w:val="16"/>
          <w:szCs w:val="16"/>
        </w:rPr>
        <w:t>/2023</w:t>
      </w:r>
    </w:p>
    <w:p w14:paraId="693975F5" w14:textId="5C6F2673" w:rsidR="000809C3" w:rsidRDefault="000809C3" w:rsidP="00472B02">
      <w:pPr>
        <w:pStyle w:val="NoSpacing"/>
      </w:pPr>
    </w:p>
    <w:p w14:paraId="3FBF647C" w14:textId="476DB3BE" w:rsidR="000E0D6B" w:rsidRDefault="000E0D6B">
      <w:r>
        <w:t xml:space="preserve">Importantly, long-term patterns showed </w:t>
      </w:r>
      <w:r w:rsidR="00F20BAF">
        <w:t>the typical seasonal turnaround in</w:t>
      </w:r>
      <w:r>
        <w:t xml:space="preserve"> </w:t>
      </w:r>
      <w:r w:rsidR="00F20BAF">
        <w:t xml:space="preserve">period-over-prior-period </w:t>
      </w:r>
      <w:r>
        <w:t>volume sale</w:t>
      </w:r>
      <w:r w:rsidR="00986D1F">
        <w:t>s</w:t>
      </w:r>
      <w:r w:rsidR="00AB019A">
        <w:t>.</w:t>
      </w:r>
      <w:r w:rsidR="00496964">
        <w:t xml:space="preserve"> Quad week 13</w:t>
      </w:r>
      <w:r w:rsidR="00F20BAF">
        <w:t>, which includes</w:t>
      </w:r>
      <w:r w:rsidR="00F12F2D">
        <w:t xml:space="preserve"> a lot of the </w:t>
      </w:r>
      <w:r w:rsidR="00496964">
        <w:t>Christmas</w:t>
      </w:r>
      <w:r w:rsidR="00F12F2D">
        <w:t xml:space="preserve"> and New Year’s sales</w:t>
      </w:r>
      <w:r w:rsidR="00F20BAF">
        <w:t xml:space="preserve">, traditionally </w:t>
      </w:r>
      <w:r w:rsidR="00F12F2D">
        <w:t xml:space="preserve">one of the biggest weeks of the year. </w:t>
      </w:r>
      <w:r w:rsidR="00F12F2D">
        <w:t xml:space="preserve">This is an important merchandising clue to keep mushrooms front and center during those holiday weeks.  </w:t>
      </w:r>
      <w:r w:rsidR="00F12F2D">
        <w:t>Despite the 8.4% period-over-period</w:t>
      </w:r>
      <w:r w:rsidR="00F20BAF">
        <w:t xml:space="preserve"> </w:t>
      </w:r>
      <w:r w:rsidR="00F12F2D">
        <w:t>increase in quad-week 12, quad-week 13 showed another 2.3% increase</w:t>
      </w:r>
      <w:r w:rsidR="00F20BAF">
        <w:t xml:space="preserve">. </w:t>
      </w:r>
      <w:r w:rsidR="00F12F2D">
        <w:t>This is in line</w:t>
      </w:r>
      <w:r w:rsidR="00F20BAF">
        <w:t xml:space="preserve"> with prior years</w:t>
      </w:r>
      <w:r w:rsidR="00F12F2D">
        <w:t>. To follow sales patterns and check out the forecast for the next quad-week period, see the</w:t>
      </w:r>
      <w:r>
        <w:t xml:space="preserve"> forecast tab in the data spreadsheet.</w:t>
      </w:r>
    </w:p>
    <w:tbl>
      <w:tblPr>
        <w:tblW w:w="10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657"/>
        <w:gridCol w:w="657"/>
        <w:gridCol w:w="714"/>
        <w:gridCol w:w="657"/>
        <w:gridCol w:w="657"/>
        <w:gridCol w:w="657"/>
        <w:gridCol w:w="657"/>
        <w:gridCol w:w="657"/>
        <w:gridCol w:w="657"/>
        <w:gridCol w:w="720"/>
        <w:gridCol w:w="720"/>
        <w:gridCol w:w="720"/>
        <w:gridCol w:w="720"/>
      </w:tblGrid>
      <w:tr w:rsidR="000E0D6B" w:rsidRPr="000E0D6B" w14:paraId="2CE5BD2B" w14:textId="77777777" w:rsidTr="000E0D6B">
        <w:trPr>
          <w:trHeight w:val="552"/>
        </w:trPr>
        <w:tc>
          <w:tcPr>
            <w:tcW w:w="1440" w:type="dxa"/>
            <w:shd w:val="clear" w:color="auto" w:fill="auto"/>
            <w:hideMark/>
          </w:tcPr>
          <w:p w14:paraId="0137593C" w14:textId="77777777" w:rsidR="000E0D6B" w:rsidRPr="000E0D6B" w:rsidRDefault="000E0D6B" w:rsidP="000E0D6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color w:val="000000"/>
                <w:sz w:val="18"/>
                <w:szCs w:val="18"/>
              </w:rPr>
              <w:lastRenderedPageBreak/>
              <w:t xml:space="preserve">Pound growth rates </w:t>
            </w:r>
            <w:r w:rsidRPr="000E0D6B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versus PRIOR PERIOD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14:paraId="4366F69D" w14:textId="77777777" w:rsidR="000E0D6B" w:rsidRPr="000E0D6B" w:rsidRDefault="000E0D6B" w:rsidP="000E0D6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Quad week 1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14:paraId="600FB821" w14:textId="77777777" w:rsidR="000E0D6B" w:rsidRPr="000E0D6B" w:rsidRDefault="000E0D6B" w:rsidP="000E0D6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Quad week 2</w:t>
            </w:r>
          </w:p>
        </w:tc>
        <w:tc>
          <w:tcPr>
            <w:tcW w:w="714" w:type="dxa"/>
            <w:shd w:val="clear" w:color="auto" w:fill="auto"/>
            <w:vAlign w:val="center"/>
            <w:hideMark/>
          </w:tcPr>
          <w:p w14:paraId="5617C026" w14:textId="77777777" w:rsidR="000E0D6B" w:rsidRPr="000E0D6B" w:rsidRDefault="000E0D6B" w:rsidP="000E0D6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Quad week 3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14:paraId="68335CCD" w14:textId="77777777" w:rsidR="000E0D6B" w:rsidRPr="000E0D6B" w:rsidRDefault="000E0D6B" w:rsidP="000E0D6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Quad week 4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14:paraId="157C0D00" w14:textId="77777777" w:rsidR="000E0D6B" w:rsidRPr="000E0D6B" w:rsidRDefault="000E0D6B" w:rsidP="000E0D6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Quad week 5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14:paraId="530B7B63" w14:textId="77777777" w:rsidR="000E0D6B" w:rsidRPr="000E0D6B" w:rsidRDefault="000E0D6B" w:rsidP="000E0D6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Quad week 6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14:paraId="7A895C41" w14:textId="77777777" w:rsidR="000E0D6B" w:rsidRPr="000E0D6B" w:rsidRDefault="000E0D6B" w:rsidP="000E0D6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Quad week 7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14:paraId="02A51AE9" w14:textId="77777777" w:rsidR="000E0D6B" w:rsidRPr="000E0D6B" w:rsidRDefault="000E0D6B" w:rsidP="000E0D6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Quad week 8</w:t>
            </w:r>
          </w:p>
        </w:tc>
        <w:tc>
          <w:tcPr>
            <w:tcW w:w="657" w:type="dxa"/>
            <w:shd w:val="clear" w:color="auto" w:fill="auto"/>
            <w:vAlign w:val="center"/>
            <w:hideMark/>
          </w:tcPr>
          <w:p w14:paraId="13060256" w14:textId="77777777" w:rsidR="000E0D6B" w:rsidRPr="000E0D6B" w:rsidRDefault="000E0D6B" w:rsidP="000E0D6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Quad week 9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68945EBB" w14:textId="77777777" w:rsidR="000E0D6B" w:rsidRPr="000E0D6B" w:rsidRDefault="000E0D6B" w:rsidP="000E0D6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Quad week 10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F031356" w14:textId="77777777" w:rsidR="000E0D6B" w:rsidRPr="000E0D6B" w:rsidRDefault="000E0D6B" w:rsidP="000E0D6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Quad week 11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4099731" w14:textId="77777777" w:rsidR="000E0D6B" w:rsidRPr="000E0D6B" w:rsidRDefault="000E0D6B" w:rsidP="000E0D6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Quad week 12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0EFA218C" w14:textId="77777777" w:rsidR="000E0D6B" w:rsidRPr="000E0D6B" w:rsidRDefault="000E0D6B" w:rsidP="000E0D6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Quad week 13</w:t>
            </w:r>
          </w:p>
        </w:tc>
      </w:tr>
      <w:tr w:rsidR="000E0D6B" w:rsidRPr="000E0D6B" w14:paraId="7083EDA9" w14:textId="77777777" w:rsidTr="000E0D6B">
        <w:trPr>
          <w:trHeight w:val="144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0496F523" w14:textId="77777777" w:rsidR="000E0D6B" w:rsidRPr="000E0D6B" w:rsidRDefault="000E0D6B" w:rsidP="000E0D6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2017</w:t>
            </w:r>
          </w:p>
        </w:tc>
        <w:tc>
          <w:tcPr>
            <w:tcW w:w="657" w:type="dxa"/>
            <w:shd w:val="clear" w:color="auto" w:fill="auto"/>
            <w:noWrap/>
            <w:vAlign w:val="bottom"/>
            <w:hideMark/>
          </w:tcPr>
          <w:p w14:paraId="2E470360" w14:textId="77777777" w:rsidR="000E0D6B" w:rsidRPr="000E0D6B" w:rsidRDefault="000E0D6B" w:rsidP="000E0D6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 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75595489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-1.5%</w:t>
            </w:r>
          </w:p>
        </w:tc>
        <w:tc>
          <w:tcPr>
            <w:tcW w:w="714" w:type="dxa"/>
            <w:shd w:val="clear" w:color="000000" w:fill="E6B8B7"/>
            <w:noWrap/>
            <w:vAlign w:val="bottom"/>
            <w:hideMark/>
          </w:tcPr>
          <w:p w14:paraId="7F0D03BA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-2.6%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3154EF6E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-1.8%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2272285A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-3.2%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1082D2EC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-3.5%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05E2737E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-1.6%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5B754E63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-0.5%</w:t>
            </w:r>
          </w:p>
        </w:tc>
        <w:tc>
          <w:tcPr>
            <w:tcW w:w="657" w:type="dxa"/>
            <w:shd w:val="clear" w:color="000000" w:fill="D8E4BC"/>
            <w:noWrap/>
            <w:vAlign w:val="bottom"/>
            <w:hideMark/>
          </w:tcPr>
          <w:p w14:paraId="3E4D0CD9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1.0%</w:t>
            </w:r>
          </w:p>
        </w:tc>
        <w:tc>
          <w:tcPr>
            <w:tcW w:w="720" w:type="dxa"/>
            <w:shd w:val="clear" w:color="000000" w:fill="D8E4BC"/>
            <w:noWrap/>
            <w:vAlign w:val="bottom"/>
            <w:hideMark/>
          </w:tcPr>
          <w:p w14:paraId="2CF2B55A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1.5%</w:t>
            </w:r>
          </w:p>
        </w:tc>
        <w:tc>
          <w:tcPr>
            <w:tcW w:w="720" w:type="dxa"/>
            <w:shd w:val="clear" w:color="000000" w:fill="D8E4BC"/>
            <w:noWrap/>
            <w:vAlign w:val="bottom"/>
            <w:hideMark/>
          </w:tcPr>
          <w:p w14:paraId="76241356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1.4%</w:t>
            </w:r>
          </w:p>
        </w:tc>
        <w:tc>
          <w:tcPr>
            <w:tcW w:w="720" w:type="dxa"/>
            <w:shd w:val="clear" w:color="000000" w:fill="C4D79B"/>
            <w:noWrap/>
            <w:vAlign w:val="bottom"/>
            <w:hideMark/>
          </w:tcPr>
          <w:p w14:paraId="6106BBAF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7.9%</w:t>
            </w:r>
          </w:p>
        </w:tc>
        <w:tc>
          <w:tcPr>
            <w:tcW w:w="720" w:type="dxa"/>
            <w:shd w:val="clear" w:color="000000" w:fill="D8E4BC"/>
            <w:noWrap/>
            <w:vAlign w:val="bottom"/>
            <w:hideMark/>
          </w:tcPr>
          <w:p w14:paraId="5A5B02B6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7.3%</w:t>
            </w:r>
          </w:p>
        </w:tc>
      </w:tr>
      <w:tr w:rsidR="000E0D6B" w:rsidRPr="000E0D6B" w14:paraId="3B8C9CB3" w14:textId="77777777" w:rsidTr="000E0D6B">
        <w:trPr>
          <w:trHeight w:val="144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0415BAB" w14:textId="77777777" w:rsidR="000E0D6B" w:rsidRPr="000E0D6B" w:rsidRDefault="000E0D6B" w:rsidP="000E0D6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2018</w:t>
            </w:r>
          </w:p>
        </w:tc>
        <w:tc>
          <w:tcPr>
            <w:tcW w:w="657" w:type="dxa"/>
            <w:shd w:val="clear" w:color="000000" w:fill="C4D79B"/>
            <w:noWrap/>
            <w:vAlign w:val="bottom"/>
            <w:hideMark/>
          </w:tcPr>
          <w:p w14:paraId="3666588F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-1.0%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0F602A96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-3.3%</w:t>
            </w:r>
          </w:p>
        </w:tc>
        <w:tc>
          <w:tcPr>
            <w:tcW w:w="714" w:type="dxa"/>
            <w:shd w:val="clear" w:color="000000" w:fill="F2DCDB"/>
            <w:noWrap/>
            <w:vAlign w:val="bottom"/>
            <w:hideMark/>
          </w:tcPr>
          <w:p w14:paraId="774E7EA7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-0.9%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195DB56C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-3.2%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3B05A150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-1.9%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620A52ED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-3.8%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411C3845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-3.4%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72A797AA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-2.0%</w:t>
            </w:r>
          </w:p>
        </w:tc>
        <w:tc>
          <w:tcPr>
            <w:tcW w:w="657" w:type="dxa"/>
            <w:shd w:val="clear" w:color="000000" w:fill="D8E4BC"/>
            <w:noWrap/>
            <w:vAlign w:val="bottom"/>
            <w:hideMark/>
          </w:tcPr>
          <w:p w14:paraId="2272447A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2.9%</w:t>
            </w:r>
          </w:p>
        </w:tc>
        <w:tc>
          <w:tcPr>
            <w:tcW w:w="720" w:type="dxa"/>
            <w:shd w:val="clear" w:color="000000" w:fill="D8E4BC"/>
            <w:noWrap/>
            <w:vAlign w:val="bottom"/>
            <w:hideMark/>
          </w:tcPr>
          <w:p w14:paraId="14B9CF92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1.7%</w:t>
            </w:r>
          </w:p>
        </w:tc>
        <w:tc>
          <w:tcPr>
            <w:tcW w:w="720" w:type="dxa"/>
            <w:shd w:val="clear" w:color="000000" w:fill="D8E4BC"/>
            <w:noWrap/>
            <w:vAlign w:val="bottom"/>
            <w:hideMark/>
          </w:tcPr>
          <w:p w14:paraId="375CBFF3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0.4%</w:t>
            </w:r>
          </w:p>
        </w:tc>
        <w:tc>
          <w:tcPr>
            <w:tcW w:w="720" w:type="dxa"/>
            <w:shd w:val="clear" w:color="000000" w:fill="C4D79B"/>
            <w:noWrap/>
            <w:vAlign w:val="bottom"/>
            <w:hideMark/>
          </w:tcPr>
          <w:p w14:paraId="7C3C91AF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9.4%</w:t>
            </w:r>
          </w:p>
        </w:tc>
        <w:tc>
          <w:tcPr>
            <w:tcW w:w="720" w:type="dxa"/>
            <w:shd w:val="clear" w:color="000000" w:fill="C4D79B"/>
            <w:noWrap/>
            <w:vAlign w:val="bottom"/>
            <w:hideMark/>
          </w:tcPr>
          <w:p w14:paraId="3AADE08F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4.1%</w:t>
            </w:r>
          </w:p>
        </w:tc>
      </w:tr>
      <w:tr w:rsidR="000E0D6B" w:rsidRPr="000E0D6B" w14:paraId="5F93CA96" w14:textId="77777777" w:rsidTr="000E0D6B">
        <w:trPr>
          <w:trHeight w:val="144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1C645533" w14:textId="77777777" w:rsidR="000E0D6B" w:rsidRPr="000E0D6B" w:rsidRDefault="000E0D6B" w:rsidP="000E0D6B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657" w:type="dxa"/>
            <w:shd w:val="clear" w:color="000000" w:fill="C4D79B"/>
            <w:noWrap/>
            <w:vAlign w:val="bottom"/>
            <w:hideMark/>
          </w:tcPr>
          <w:p w14:paraId="502534A8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1.9%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3E61F489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-5.9%</w:t>
            </w:r>
          </w:p>
        </w:tc>
        <w:tc>
          <w:tcPr>
            <w:tcW w:w="714" w:type="dxa"/>
            <w:shd w:val="clear" w:color="000000" w:fill="E6B8B7"/>
            <w:noWrap/>
            <w:vAlign w:val="bottom"/>
            <w:hideMark/>
          </w:tcPr>
          <w:p w14:paraId="4EEF0E00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-2.7%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43F8F4DC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-1.5%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40D6741D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-2.9%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7E314E5A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-4.0%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4497E062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-2.6%</w:t>
            </w:r>
          </w:p>
        </w:tc>
        <w:tc>
          <w:tcPr>
            <w:tcW w:w="657" w:type="dxa"/>
            <w:shd w:val="clear" w:color="000000" w:fill="F2DCDB"/>
            <w:noWrap/>
            <w:vAlign w:val="bottom"/>
            <w:hideMark/>
          </w:tcPr>
          <w:p w14:paraId="1187FC07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-0.6%</w:t>
            </w:r>
          </w:p>
        </w:tc>
        <w:tc>
          <w:tcPr>
            <w:tcW w:w="657" w:type="dxa"/>
            <w:shd w:val="clear" w:color="000000" w:fill="D8E4BC"/>
            <w:noWrap/>
            <w:vAlign w:val="bottom"/>
            <w:hideMark/>
          </w:tcPr>
          <w:p w14:paraId="28DC45A7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1.7%</w:t>
            </w:r>
          </w:p>
        </w:tc>
        <w:tc>
          <w:tcPr>
            <w:tcW w:w="720" w:type="dxa"/>
            <w:shd w:val="clear" w:color="000000" w:fill="D8E4BC"/>
            <w:noWrap/>
            <w:vAlign w:val="bottom"/>
            <w:hideMark/>
          </w:tcPr>
          <w:p w14:paraId="2568D87C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1.1%</w:t>
            </w:r>
          </w:p>
        </w:tc>
        <w:tc>
          <w:tcPr>
            <w:tcW w:w="720" w:type="dxa"/>
            <w:shd w:val="clear" w:color="000000" w:fill="D8E4BC"/>
            <w:noWrap/>
            <w:vAlign w:val="bottom"/>
            <w:hideMark/>
          </w:tcPr>
          <w:p w14:paraId="4245C518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1.5%</w:t>
            </w:r>
          </w:p>
        </w:tc>
        <w:tc>
          <w:tcPr>
            <w:tcW w:w="720" w:type="dxa"/>
            <w:shd w:val="clear" w:color="000000" w:fill="C4D79B"/>
            <w:noWrap/>
            <w:vAlign w:val="bottom"/>
            <w:hideMark/>
          </w:tcPr>
          <w:p w14:paraId="09A6FE77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9.0%</w:t>
            </w:r>
          </w:p>
        </w:tc>
        <w:tc>
          <w:tcPr>
            <w:tcW w:w="720" w:type="dxa"/>
            <w:shd w:val="clear" w:color="000000" w:fill="C4D79B"/>
            <w:noWrap/>
            <w:vAlign w:val="bottom"/>
            <w:hideMark/>
          </w:tcPr>
          <w:p w14:paraId="667CDF6A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4.9%</w:t>
            </w:r>
          </w:p>
        </w:tc>
      </w:tr>
      <w:tr w:rsidR="000E0D6B" w:rsidRPr="000E0D6B" w14:paraId="56075657" w14:textId="77777777" w:rsidTr="005E212C">
        <w:trPr>
          <w:trHeight w:val="144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43CFB79B" w14:textId="77777777" w:rsidR="000E0D6B" w:rsidRPr="000E0D6B" w:rsidRDefault="000E0D6B" w:rsidP="000E0D6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2020</w:t>
            </w:r>
          </w:p>
        </w:tc>
        <w:tc>
          <w:tcPr>
            <w:tcW w:w="657" w:type="dxa"/>
            <w:shd w:val="clear" w:color="auto" w:fill="C4D79B"/>
            <w:noWrap/>
            <w:vAlign w:val="bottom"/>
            <w:hideMark/>
          </w:tcPr>
          <w:p w14:paraId="12C38A5B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1.4%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729F7EC0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-2.8%</w:t>
            </w:r>
          </w:p>
        </w:tc>
        <w:tc>
          <w:tcPr>
            <w:tcW w:w="714" w:type="dxa"/>
            <w:shd w:val="clear" w:color="000000" w:fill="76933C"/>
            <w:noWrap/>
            <w:vAlign w:val="bottom"/>
            <w:hideMark/>
          </w:tcPr>
          <w:p w14:paraId="6BCE86B4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13.6%</w:t>
            </w:r>
          </w:p>
        </w:tc>
        <w:tc>
          <w:tcPr>
            <w:tcW w:w="657" w:type="dxa"/>
            <w:shd w:val="clear" w:color="000000" w:fill="D8E4BC"/>
            <w:noWrap/>
            <w:vAlign w:val="bottom"/>
            <w:hideMark/>
          </w:tcPr>
          <w:p w14:paraId="6D12AA70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4.4%</w:t>
            </w:r>
          </w:p>
        </w:tc>
        <w:tc>
          <w:tcPr>
            <w:tcW w:w="657" w:type="dxa"/>
            <w:shd w:val="clear" w:color="000000" w:fill="C4D79B"/>
            <w:noWrap/>
            <w:vAlign w:val="bottom"/>
            <w:hideMark/>
          </w:tcPr>
          <w:p w14:paraId="00217F0E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0.9%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2013F303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-7.7%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385E730A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-4.7%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1A700A4C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-2.3%</w:t>
            </w:r>
          </w:p>
        </w:tc>
        <w:tc>
          <w:tcPr>
            <w:tcW w:w="657" w:type="dxa"/>
            <w:shd w:val="clear" w:color="000000" w:fill="F2DCDB"/>
            <w:noWrap/>
            <w:vAlign w:val="bottom"/>
            <w:hideMark/>
          </w:tcPr>
          <w:p w14:paraId="5747B9E9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-0.2%</w:t>
            </w:r>
          </w:p>
        </w:tc>
        <w:tc>
          <w:tcPr>
            <w:tcW w:w="720" w:type="dxa"/>
            <w:shd w:val="clear" w:color="000000" w:fill="EBF1DE"/>
            <w:noWrap/>
            <w:vAlign w:val="bottom"/>
            <w:hideMark/>
          </w:tcPr>
          <w:p w14:paraId="75B3F13D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0.5%</w:t>
            </w:r>
          </w:p>
        </w:tc>
        <w:tc>
          <w:tcPr>
            <w:tcW w:w="720" w:type="dxa"/>
            <w:shd w:val="clear" w:color="000000" w:fill="EBF1DE"/>
            <w:noWrap/>
            <w:vAlign w:val="bottom"/>
            <w:hideMark/>
          </w:tcPr>
          <w:p w14:paraId="133AA9F3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0.2%</w:t>
            </w:r>
          </w:p>
        </w:tc>
        <w:tc>
          <w:tcPr>
            <w:tcW w:w="720" w:type="dxa"/>
            <w:shd w:val="clear" w:color="000000" w:fill="C4D79B"/>
            <w:noWrap/>
            <w:vAlign w:val="bottom"/>
            <w:hideMark/>
          </w:tcPr>
          <w:p w14:paraId="4C967B43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6.1%</w:t>
            </w:r>
          </w:p>
        </w:tc>
        <w:tc>
          <w:tcPr>
            <w:tcW w:w="720" w:type="dxa"/>
            <w:shd w:val="clear" w:color="000000" w:fill="C4D79B"/>
            <w:noWrap/>
            <w:vAlign w:val="bottom"/>
            <w:hideMark/>
          </w:tcPr>
          <w:p w14:paraId="440384B8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4.6%</w:t>
            </w:r>
          </w:p>
        </w:tc>
      </w:tr>
      <w:tr w:rsidR="000E0D6B" w:rsidRPr="000E0D6B" w14:paraId="273BB044" w14:textId="77777777" w:rsidTr="000E0D6B">
        <w:trPr>
          <w:trHeight w:val="144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72883D17" w14:textId="77777777" w:rsidR="000E0D6B" w:rsidRPr="000E0D6B" w:rsidRDefault="000E0D6B" w:rsidP="000E0D6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2021</w:t>
            </w:r>
          </w:p>
        </w:tc>
        <w:tc>
          <w:tcPr>
            <w:tcW w:w="657" w:type="dxa"/>
            <w:shd w:val="clear" w:color="000000" w:fill="C4D79B"/>
            <w:noWrap/>
            <w:vAlign w:val="bottom"/>
            <w:hideMark/>
          </w:tcPr>
          <w:p w14:paraId="6F9C945D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2.5%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64F49B1C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-4.6%</w:t>
            </w:r>
          </w:p>
        </w:tc>
        <w:tc>
          <w:tcPr>
            <w:tcW w:w="714" w:type="dxa"/>
            <w:shd w:val="clear" w:color="000000" w:fill="DA9694"/>
            <w:noWrap/>
            <w:vAlign w:val="bottom"/>
            <w:hideMark/>
          </w:tcPr>
          <w:p w14:paraId="16EF6D99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-5.1%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7A4C33B0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-1.3%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5867CE1D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-4.6%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215B0D06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-2.7%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3D0F5487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-4.8%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102AA579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-2.4%</w:t>
            </w:r>
          </w:p>
        </w:tc>
        <w:tc>
          <w:tcPr>
            <w:tcW w:w="657" w:type="dxa"/>
            <w:shd w:val="clear" w:color="000000" w:fill="C4D79B"/>
            <w:noWrap/>
            <w:vAlign w:val="bottom"/>
            <w:hideMark/>
          </w:tcPr>
          <w:p w14:paraId="4F1AD20C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2.6%</w:t>
            </w:r>
          </w:p>
        </w:tc>
        <w:tc>
          <w:tcPr>
            <w:tcW w:w="720" w:type="dxa"/>
            <w:shd w:val="clear" w:color="000000" w:fill="F2DCDB"/>
            <w:noWrap/>
            <w:vAlign w:val="bottom"/>
            <w:hideMark/>
          </w:tcPr>
          <w:p w14:paraId="52F8EDF3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-0.1%</w:t>
            </w:r>
          </w:p>
        </w:tc>
        <w:tc>
          <w:tcPr>
            <w:tcW w:w="720" w:type="dxa"/>
            <w:shd w:val="clear" w:color="000000" w:fill="EBF1DE"/>
            <w:noWrap/>
            <w:vAlign w:val="bottom"/>
            <w:hideMark/>
          </w:tcPr>
          <w:p w14:paraId="32CD6A15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0.2%</w:t>
            </w:r>
          </w:p>
        </w:tc>
        <w:tc>
          <w:tcPr>
            <w:tcW w:w="720" w:type="dxa"/>
            <w:shd w:val="clear" w:color="000000" w:fill="C4D79B"/>
            <w:noWrap/>
            <w:vAlign w:val="bottom"/>
            <w:hideMark/>
          </w:tcPr>
          <w:p w14:paraId="0D6B6333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7.3%</w:t>
            </w:r>
          </w:p>
        </w:tc>
        <w:tc>
          <w:tcPr>
            <w:tcW w:w="720" w:type="dxa"/>
            <w:shd w:val="clear" w:color="000000" w:fill="C4D79B"/>
            <w:noWrap/>
            <w:vAlign w:val="bottom"/>
            <w:hideMark/>
          </w:tcPr>
          <w:p w14:paraId="6BC95E83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3.3%</w:t>
            </w:r>
          </w:p>
        </w:tc>
      </w:tr>
      <w:tr w:rsidR="000E0D6B" w:rsidRPr="000E0D6B" w14:paraId="40AFE043" w14:textId="77777777" w:rsidTr="0003642F">
        <w:trPr>
          <w:trHeight w:val="144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7E5F11A" w14:textId="77777777" w:rsidR="000E0D6B" w:rsidRPr="000E0D6B" w:rsidRDefault="000E0D6B" w:rsidP="000E0D6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2022</w:t>
            </w:r>
          </w:p>
        </w:tc>
        <w:tc>
          <w:tcPr>
            <w:tcW w:w="657" w:type="dxa"/>
            <w:shd w:val="clear" w:color="000000" w:fill="C4D79B"/>
            <w:noWrap/>
            <w:vAlign w:val="bottom"/>
            <w:hideMark/>
          </w:tcPr>
          <w:p w14:paraId="0B5F4877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2.5%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616BC4C9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-5.2%</w:t>
            </w:r>
          </w:p>
        </w:tc>
        <w:tc>
          <w:tcPr>
            <w:tcW w:w="714" w:type="dxa"/>
            <w:shd w:val="clear" w:color="000000" w:fill="E6B8B7"/>
            <w:noWrap/>
            <w:vAlign w:val="bottom"/>
            <w:hideMark/>
          </w:tcPr>
          <w:p w14:paraId="7E693EC3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-2.3%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2699C6B0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-3.9%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74680D8C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-3.2%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56DCBC3A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-4.2%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6D2DED63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-2.7%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15F8D386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-2.0%</w:t>
            </w:r>
          </w:p>
        </w:tc>
        <w:tc>
          <w:tcPr>
            <w:tcW w:w="657" w:type="dxa"/>
            <w:shd w:val="clear" w:color="000000" w:fill="D8E4BC"/>
            <w:noWrap/>
            <w:vAlign w:val="bottom"/>
            <w:hideMark/>
          </w:tcPr>
          <w:p w14:paraId="05D7662B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1.2%</w:t>
            </w:r>
          </w:p>
        </w:tc>
        <w:tc>
          <w:tcPr>
            <w:tcW w:w="720" w:type="dxa"/>
            <w:shd w:val="clear" w:color="000000" w:fill="D8E4BC"/>
            <w:noWrap/>
            <w:vAlign w:val="bottom"/>
            <w:hideMark/>
          </w:tcPr>
          <w:p w14:paraId="337732B9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1.2%</w:t>
            </w:r>
          </w:p>
        </w:tc>
        <w:tc>
          <w:tcPr>
            <w:tcW w:w="720" w:type="dxa"/>
            <w:shd w:val="clear" w:color="000000" w:fill="C4D79B"/>
            <w:noWrap/>
            <w:vAlign w:val="bottom"/>
            <w:hideMark/>
          </w:tcPr>
          <w:p w14:paraId="7EE1B866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3.2%</w:t>
            </w:r>
          </w:p>
        </w:tc>
        <w:tc>
          <w:tcPr>
            <w:tcW w:w="720" w:type="dxa"/>
            <w:shd w:val="clear" w:color="000000" w:fill="C4D79B"/>
            <w:noWrap/>
            <w:vAlign w:val="bottom"/>
            <w:hideMark/>
          </w:tcPr>
          <w:p w14:paraId="346C0F0D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7.9%</w:t>
            </w:r>
          </w:p>
        </w:tc>
        <w:tc>
          <w:tcPr>
            <w:tcW w:w="720" w:type="dxa"/>
            <w:shd w:val="clear" w:color="auto" w:fill="D8E4BC"/>
            <w:noWrap/>
            <w:vAlign w:val="bottom"/>
            <w:hideMark/>
          </w:tcPr>
          <w:p w14:paraId="308A3213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2.5%</w:t>
            </w:r>
          </w:p>
        </w:tc>
      </w:tr>
      <w:tr w:rsidR="000E0D6B" w:rsidRPr="000E0D6B" w14:paraId="7F8D09D9" w14:textId="77777777" w:rsidTr="0003642F">
        <w:trPr>
          <w:trHeight w:val="144"/>
        </w:trPr>
        <w:tc>
          <w:tcPr>
            <w:tcW w:w="1440" w:type="dxa"/>
            <w:shd w:val="clear" w:color="auto" w:fill="auto"/>
            <w:noWrap/>
            <w:vAlign w:val="bottom"/>
            <w:hideMark/>
          </w:tcPr>
          <w:p w14:paraId="363B509E" w14:textId="77777777" w:rsidR="000E0D6B" w:rsidRPr="000E0D6B" w:rsidRDefault="000E0D6B" w:rsidP="000E0D6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2023</w:t>
            </w:r>
          </w:p>
        </w:tc>
        <w:tc>
          <w:tcPr>
            <w:tcW w:w="657" w:type="dxa"/>
            <w:shd w:val="clear" w:color="000000" w:fill="EBF1DE"/>
            <w:noWrap/>
            <w:vAlign w:val="bottom"/>
            <w:hideMark/>
          </w:tcPr>
          <w:p w14:paraId="1C9094EB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0.5%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71ADB4D7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-4.2%</w:t>
            </w:r>
          </w:p>
        </w:tc>
        <w:tc>
          <w:tcPr>
            <w:tcW w:w="714" w:type="dxa"/>
            <w:shd w:val="clear" w:color="000000" w:fill="E6B8B7"/>
            <w:noWrap/>
            <w:vAlign w:val="bottom"/>
            <w:hideMark/>
          </w:tcPr>
          <w:p w14:paraId="2FFF8229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-1.2%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783121A7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-2.2%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0FE4FDCE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-2.2%</w:t>
            </w:r>
          </w:p>
        </w:tc>
        <w:tc>
          <w:tcPr>
            <w:tcW w:w="657" w:type="dxa"/>
            <w:shd w:val="clear" w:color="000000" w:fill="DA9694"/>
            <w:noWrap/>
            <w:vAlign w:val="bottom"/>
            <w:hideMark/>
          </w:tcPr>
          <w:p w14:paraId="5EE97E4F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-4.3%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3E9F7890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-2.8%</w:t>
            </w:r>
          </w:p>
        </w:tc>
        <w:tc>
          <w:tcPr>
            <w:tcW w:w="657" w:type="dxa"/>
            <w:shd w:val="clear" w:color="000000" w:fill="E6B8B7"/>
            <w:noWrap/>
            <w:vAlign w:val="bottom"/>
            <w:hideMark/>
          </w:tcPr>
          <w:p w14:paraId="06E0FA51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-2.7%</w:t>
            </w:r>
          </w:p>
        </w:tc>
        <w:tc>
          <w:tcPr>
            <w:tcW w:w="657" w:type="dxa"/>
            <w:shd w:val="clear" w:color="000000" w:fill="EBF1DE"/>
            <w:noWrap/>
            <w:vAlign w:val="bottom"/>
            <w:hideMark/>
          </w:tcPr>
          <w:p w14:paraId="7FEFAC45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0.3%</w:t>
            </w:r>
          </w:p>
        </w:tc>
        <w:tc>
          <w:tcPr>
            <w:tcW w:w="720" w:type="dxa"/>
            <w:shd w:val="clear" w:color="000000" w:fill="D8E4BC"/>
            <w:noWrap/>
            <w:vAlign w:val="bottom"/>
            <w:hideMark/>
          </w:tcPr>
          <w:p w14:paraId="28B0D1C6" w14:textId="77777777" w:rsidR="000E0D6B" w:rsidRPr="000E0D6B" w:rsidRDefault="000E0D6B" w:rsidP="000E0D6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2.3%</w:t>
            </w:r>
          </w:p>
        </w:tc>
        <w:tc>
          <w:tcPr>
            <w:tcW w:w="720" w:type="dxa"/>
            <w:shd w:val="clear" w:color="auto" w:fill="D8E4BC"/>
            <w:noWrap/>
            <w:vAlign w:val="bottom"/>
            <w:hideMark/>
          </w:tcPr>
          <w:p w14:paraId="226C5267" w14:textId="2F3BE56C" w:rsidR="000E0D6B" w:rsidRPr="000E0D6B" w:rsidRDefault="000E0D6B" w:rsidP="00EF20EE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 </w:t>
            </w:r>
            <w:r w:rsidR="00EF20EE">
              <w:rPr>
                <w:rFonts w:eastAsia="Times New Roman" w:cstheme="minorHAnsi"/>
                <w:sz w:val="18"/>
                <w:szCs w:val="18"/>
              </w:rPr>
              <w:t>1.</w:t>
            </w:r>
            <w:r w:rsidR="005E212C" w:rsidRPr="00A337DE">
              <w:rPr>
                <w:rFonts w:eastAsia="Times New Roman" w:cstheme="minorHAnsi"/>
                <w:sz w:val="18"/>
                <w:szCs w:val="18"/>
                <w:shd w:val="clear" w:color="auto" w:fill="D8E4BC"/>
              </w:rPr>
              <w:t>4</w:t>
            </w:r>
            <w:r w:rsidR="005E212C" w:rsidRPr="005E212C">
              <w:rPr>
                <w:rFonts w:eastAsia="Times New Roman" w:cstheme="minorHAnsi"/>
                <w:sz w:val="18"/>
                <w:szCs w:val="18"/>
              </w:rPr>
              <w:t>%</w:t>
            </w:r>
          </w:p>
        </w:tc>
        <w:tc>
          <w:tcPr>
            <w:tcW w:w="720" w:type="dxa"/>
            <w:shd w:val="clear" w:color="auto" w:fill="CFE0AE"/>
            <w:noWrap/>
            <w:vAlign w:val="bottom"/>
            <w:hideMark/>
          </w:tcPr>
          <w:p w14:paraId="30A1F91C" w14:textId="11647EE7" w:rsidR="000E0D6B" w:rsidRPr="000E0D6B" w:rsidRDefault="000E0D6B" w:rsidP="00264BA7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 w:rsidRPr="000E0D6B">
              <w:rPr>
                <w:rFonts w:eastAsia="Times New Roman" w:cstheme="minorHAnsi"/>
                <w:sz w:val="18"/>
                <w:szCs w:val="18"/>
              </w:rPr>
              <w:t> </w:t>
            </w:r>
            <w:r w:rsidR="00264BA7">
              <w:rPr>
                <w:rFonts w:eastAsia="Times New Roman" w:cstheme="minorHAnsi"/>
                <w:sz w:val="18"/>
                <w:szCs w:val="18"/>
              </w:rPr>
              <w:t>8.4%</w:t>
            </w:r>
          </w:p>
        </w:tc>
        <w:tc>
          <w:tcPr>
            <w:tcW w:w="720" w:type="dxa"/>
            <w:shd w:val="clear" w:color="auto" w:fill="D8E4BC"/>
            <w:noWrap/>
            <w:vAlign w:val="bottom"/>
            <w:hideMark/>
          </w:tcPr>
          <w:p w14:paraId="50DE69C8" w14:textId="40960A13" w:rsidR="000E0D6B" w:rsidRPr="000E0D6B" w:rsidRDefault="0003642F" w:rsidP="0003642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2.3%</w:t>
            </w:r>
          </w:p>
        </w:tc>
      </w:tr>
    </w:tbl>
    <w:p w14:paraId="14458122" w14:textId="4789C89C" w:rsidR="000E0D6B" w:rsidRDefault="000E0D6B" w:rsidP="000E0D6B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0E0D6B">
        <w:t xml:space="preserve"> </w:t>
      </w:r>
      <w:r w:rsidRPr="00555250">
        <w:rPr>
          <w:color w:val="7F7F7F" w:themeColor="text1" w:themeTint="80"/>
          <w:sz w:val="16"/>
          <w:szCs w:val="16"/>
        </w:rPr>
        <w:t xml:space="preserve">Source: </w:t>
      </w:r>
      <w:r>
        <w:rPr>
          <w:color w:val="7F7F7F" w:themeColor="text1" w:themeTint="80"/>
          <w:sz w:val="16"/>
          <w:szCs w:val="16"/>
        </w:rPr>
        <w:t>Circana</w:t>
      </w:r>
      <w:r w:rsidRPr="00555250">
        <w:rPr>
          <w:color w:val="7F7F7F" w:themeColor="text1" w:themeTint="80"/>
          <w:sz w:val="16"/>
          <w:szCs w:val="16"/>
        </w:rPr>
        <w:t xml:space="preserve">, Integrated Fresh, MULO, </w:t>
      </w:r>
      <w:r>
        <w:rPr>
          <w:color w:val="7F7F7F" w:themeColor="text1" w:themeTint="80"/>
          <w:sz w:val="16"/>
          <w:szCs w:val="16"/>
        </w:rPr>
        <w:t>quad weeks 2017-2023</w:t>
      </w:r>
    </w:p>
    <w:p w14:paraId="517A6985" w14:textId="77777777" w:rsidR="00F20BAF" w:rsidRPr="000E0D6B" w:rsidRDefault="00F20BAF" w:rsidP="000E0D6B">
      <w:pPr>
        <w:pStyle w:val="NoSpacing"/>
      </w:pPr>
    </w:p>
    <w:p w14:paraId="2A45DBD8" w14:textId="04A1650F" w:rsidR="00666D40" w:rsidRPr="00927EAC" w:rsidRDefault="00666D40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t>Inflation</w:t>
      </w:r>
    </w:p>
    <w:p w14:paraId="4A3C02BB" w14:textId="14BDBC3B" w:rsidR="00666D40" w:rsidRDefault="006A1766" w:rsidP="00472B02">
      <w:pPr>
        <w:pStyle w:val="NoSpacing"/>
      </w:pPr>
      <w:r>
        <w:t xml:space="preserve">Inflation </w:t>
      </w:r>
      <w:r w:rsidR="0031233D">
        <w:t xml:space="preserve">across total food and beverages is slowing down and </w:t>
      </w:r>
      <w:r>
        <w:t xml:space="preserve">mushrooms are following suit. </w:t>
      </w:r>
      <w:r w:rsidR="00030ABF">
        <w:t>M</w:t>
      </w:r>
      <w:r w:rsidR="000E2A1D">
        <w:t xml:space="preserve">ushroom prices </w:t>
      </w:r>
      <w:r w:rsidR="00C9550B">
        <w:t xml:space="preserve">per unit </w:t>
      </w:r>
      <w:r w:rsidR="004F7487">
        <w:t>inc</w:t>
      </w:r>
      <w:r w:rsidR="00795483">
        <w:t>reased</w:t>
      </w:r>
      <w:r w:rsidR="000E2A1D">
        <w:t xml:space="preserve"> </w:t>
      </w:r>
      <w:r w:rsidR="00A14586">
        <w:t xml:space="preserve">by </w:t>
      </w:r>
      <w:r w:rsidR="00496964">
        <w:t>0.6</w:t>
      </w:r>
      <w:r w:rsidR="00322039">
        <w:t xml:space="preserve">% versus year ago </w:t>
      </w:r>
      <w:r w:rsidR="000E2A1D">
        <w:t>in the latest quad-week period</w:t>
      </w:r>
      <w:r w:rsidR="00030ABF">
        <w:t xml:space="preserve">. </w:t>
      </w:r>
      <w:r w:rsidR="00B42A49">
        <w:t xml:space="preserve">This is down from </w:t>
      </w:r>
      <w:r w:rsidR="007946B0">
        <w:t>+</w:t>
      </w:r>
      <w:r w:rsidR="00496964">
        <w:t>2.0%</w:t>
      </w:r>
      <w:r>
        <w:t xml:space="preserve"> in the 52-week view. </w:t>
      </w:r>
      <w:r w:rsidR="000E2A1D">
        <w:t xml:space="preserve"> </w:t>
      </w:r>
    </w:p>
    <w:p w14:paraId="484C35C9" w14:textId="2EB83AFC" w:rsidR="0094219B" w:rsidRDefault="0094219B" w:rsidP="00472B02">
      <w:pPr>
        <w:pStyle w:val="NoSpacing"/>
      </w:pPr>
    </w:p>
    <w:tbl>
      <w:tblPr>
        <w:tblStyle w:val="ListTable3-Accent2"/>
        <w:tblW w:w="10075" w:type="dxa"/>
        <w:tblLook w:val="04A0" w:firstRow="1" w:lastRow="0" w:firstColumn="1" w:lastColumn="0" w:noHBand="0" w:noVBand="1"/>
      </w:tblPr>
      <w:tblGrid>
        <w:gridCol w:w="2875"/>
        <w:gridCol w:w="304"/>
        <w:gridCol w:w="1146"/>
        <w:gridCol w:w="973"/>
        <w:gridCol w:w="909"/>
        <w:gridCol w:w="1776"/>
        <w:gridCol w:w="817"/>
        <w:gridCol w:w="1275"/>
      </w:tblGrid>
      <w:tr w:rsidR="000C3CC4" w:rsidRPr="00124CB7" w14:paraId="6E9D1AEF" w14:textId="162D7E86" w:rsidTr="002F44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75" w:type="dxa"/>
          </w:tcPr>
          <w:p w14:paraId="74759AF7" w14:textId="77777777" w:rsidR="000C3CC4" w:rsidRPr="00124CB7" w:rsidRDefault="000C3CC4" w:rsidP="000C3CC4">
            <w:pPr>
              <w:pStyle w:val="NoSpacing"/>
            </w:pPr>
            <w:r w:rsidRPr="00124CB7">
              <w:t>Fresh mushrooms</w:t>
            </w:r>
          </w:p>
        </w:tc>
        <w:tc>
          <w:tcPr>
            <w:tcW w:w="1450" w:type="dxa"/>
            <w:gridSpan w:val="2"/>
          </w:tcPr>
          <w:p w14:paraId="5EC6EFF0" w14:textId="06CE534B" w:rsidR="000C3CC4" w:rsidRPr="00124CB7" w:rsidRDefault="000C3CC4" w:rsidP="00B03343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w.e. </w:t>
            </w:r>
            <w:r w:rsidR="00FC56B0">
              <w:t>12/31</w:t>
            </w:r>
            <w:r w:rsidR="00EB090C">
              <w:t>/2023</w:t>
            </w:r>
          </w:p>
        </w:tc>
        <w:tc>
          <w:tcPr>
            <w:tcW w:w="973" w:type="dxa"/>
          </w:tcPr>
          <w:p w14:paraId="10EFADEC" w14:textId="03181B90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251BBC">
              <w:t>2022</w:t>
            </w:r>
          </w:p>
        </w:tc>
        <w:tc>
          <w:tcPr>
            <w:tcW w:w="909" w:type="dxa"/>
            <w:tcBorders>
              <w:right w:val="single" w:sz="4" w:space="0" w:color="ED7D31"/>
            </w:tcBorders>
          </w:tcPr>
          <w:p w14:paraId="55EFE125" w14:textId="0D145010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251BBC">
              <w:t>2020</w:t>
            </w:r>
          </w:p>
        </w:tc>
        <w:tc>
          <w:tcPr>
            <w:tcW w:w="1776" w:type="dxa"/>
            <w:tcBorders>
              <w:left w:val="single" w:sz="4" w:space="0" w:color="ED7D31"/>
            </w:tcBorders>
          </w:tcPr>
          <w:p w14:paraId="6A5B944C" w14:textId="1750F66F" w:rsidR="000C3CC4" w:rsidRPr="00124CB7" w:rsidRDefault="00694050" w:rsidP="00B03343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Latest 52 w.e.</w:t>
            </w:r>
            <w:r w:rsidR="000C3CC4">
              <w:t xml:space="preserve"> </w:t>
            </w:r>
            <w:r w:rsidR="00FC56B0">
              <w:t>12/31</w:t>
            </w:r>
            <w:r w:rsidR="00EB090C">
              <w:t>/2023</w:t>
            </w:r>
          </w:p>
        </w:tc>
        <w:tc>
          <w:tcPr>
            <w:tcW w:w="817" w:type="dxa"/>
          </w:tcPr>
          <w:p w14:paraId="56551B99" w14:textId="71D2CC9A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251BBC">
              <w:t>2022</w:t>
            </w:r>
          </w:p>
        </w:tc>
        <w:tc>
          <w:tcPr>
            <w:tcW w:w="1275" w:type="dxa"/>
          </w:tcPr>
          <w:p w14:paraId="1A109D51" w14:textId="22B9DD22" w:rsidR="000C3CC4" w:rsidRPr="00124CB7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251BBC">
              <w:t>2020</w:t>
            </w:r>
          </w:p>
        </w:tc>
      </w:tr>
      <w:tr w:rsidR="000C3CC4" w14:paraId="2B35BE12" w14:textId="0A6FF303" w:rsidTr="002F44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9" w:type="dxa"/>
            <w:gridSpan w:val="2"/>
          </w:tcPr>
          <w:p w14:paraId="5B4CB702" w14:textId="77777777" w:rsidR="000C3CC4" w:rsidRPr="00124CB7" w:rsidRDefault="000C3CC4" w:rsidP="000C3CC4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Price/unit</w:t>
            </w:r>
          </w:p>
        </w:tc>
        <w:tc>
          <w:tcPr>
            <w:tcW w:w="1146" w:type="dxa"/>
          </w:tcPr>
          <w:p w14:paraId="2915A28B" w14:textId="122DCB97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496964">
              <w:t>3.05</w:t>
            </w:r>
          </w:p>
        </w:tc>
        <w:tc>
          <w:tcPr>
            <w:tcW w:w="973" w:type="dxa"/>
          </w:tcPr>
          <w:p w14:paraId="3E0967AB" w14:textId="068412D5" w:rsidR="000C3CC4" w:rsidRDefault="00FC56B0" w:rsidP="00EA0CB5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496964">
              <w:t>0.6</w:t>
            </w:r>
            <w:r w:rsidR="000C3CC4">
              <w:t>%</w:t>
            </w:r>
          </w:p>
        </w:tc>
        <w:tc>
          <w:tcPr>
            <w:tcW w:w="909" w:type="dxa"/>
            <w:tcBorders>
              <w:right w:val="single" w:sz="4" w:space="0" w:color="ED7D31"/>
            </w:tcBorders>
          </w:tcPr>
          <w:p w14:paraId="09DAD54E" w14:textId="7F2DFD1E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496964">
              <w:t>11.3</w:t>
            </w:r>
            <w:r>
              <w:t>%</w:t>
            </w:r>
          </w:p>
        </w:tc>
        <w:tc>
          <w:tcPr>
            <w:tcW w:w="1776" w:type="dxa"/>
            <w:tcBorders>
              <w:left w:val="single" w:sz="4" w:space="0" w:color="ED7D31"/>
            </w:tcBorders>
          </w:tcPr>
          <w:p w14:paraId="03CA719E" w14:textId="2C121B57" w:rsidR="000C3CC4" w:rsidRDefault="000C3CC4" w:rsidP="00AB019A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</w:t>
            </w:r>
            <w:r w:rsidR="00496964">
              <w:t>2.96</w:t>
            </w:r>
          </w:p>
        </w:tc>
        <w:tc>
          <w:tcPr>
            <w:tcW w:w="817" w:type="dxa"/>
          </w:tcPr>
          <w:p w14:paraId="08755E5E" w14:textId="147C5A9B" w:rsidR="000C3CC4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496964">
              <w:t>2.0</w:t>
            </w:r>
            <w:r>
              <w:t>%</w:t>
            </w:r>
          </w:p>
        </w:tc>
        <w:tc>
          <w:tcPr>
            <w:tcW w:w="1275" w:type="dxa"/>
          </w:tcPr>
          <w:p w14:paraId="19B1F6D2" w14:textId="0687EBF7" w:rsidR="000C3CC4" w:rsidRDefault="000C3CC4" w:rsidP="00AB019A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496964">
              <w:t>11.4</w:t>
            </w:r>
            <w:r>
              <w:t>%</w:t>
            </w:r>
          </w:p>
        </w:tc>
      </w:tr>
      <w:tr w:rsidR="0004266D" w14:paraId="7C18640F" w14:textId="5B569261" w:rsidTr="002F44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79" w:type="dxa"/>
            <w:gridSpan w:val="2"/>
          </w:tcPr>
          <w:p w14:paraId="47C97CE0" w14:textId="77777777" w:rsidR="0004266D" w:rsidRPr="00124CB7" w:rsidRDefault="0004266D" w:rsidP="0004266D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Price/volume</w:t>
            </w:r>
          </w:p>
        </w:tc>
        <w:tc>
          <w:tcPr>
            <w:tcW w:w="1146" w:type="dxa"/>
          </w:tcPr>
          <w:p w14:paraId="17C86A08" w14:textId="7C42C9AC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496964">
              <w:t>4.70</w:t>
            </w:r>
          </w:p>
        </w:tc>
        <w:tc>
          <w:tcPr>
            <w:tcW w:w="973" w:type="dxa"/>
          </w:tcPr>
          <w:p w14:paraId="7E986169" w14:textId="05283B46" w:rsidR="0004266D" w:rsidRDefault="00496964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-0.1</w:t>
            </w:r>
            <w:r w:rsidR="0004266D">
              <w:t>%</w:t>
            </w:r>
          </w:p>
        </w:tc>
        <w:tc>
          <w:tcPr>
            <w:tcW w:w="909" w:type="dxa"/>
            <w:tcBorders>
              <w:right w:val="single" w:sz="4" w:space="0" w:color="ED7D31"/>
            </w:tcBorders>
          </w:tcPr>
          <w:p w14:paraId="36DDF54D" w14:textId="745542AB" w:rsidR="0004266D" w:rsidRDefault="0004266D" w:rsidP="00483711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496964">
              <w:t>9.7</w:t>
            </w:r>
            <w:r>
              <w:t>%</w:t>
            </w:r>
          </w:p>
        </w:tc>
        <w:tc>
          <w:tcPr>
            <w:tcW w:w="1776" w:type="dxa"/>
            <w:tcBorders>
              <w:left w:val="single" w:sz="4" w:space="0" w:color="ED7D31"/>
            </w:tcBorders>
          </w:tcPr>
          <w:p w14:paraId="233A8701" w14:textId="16F52722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="00496964">
              <w:t>4.68</w:t>
            </w:r>
          </w:p>
        </w:tc>
        <w:tc>
          <w:tcPr>
            <w:tcW w:w="817" w:type="dxa"/>
          </w:tcPr>
          <w:p w14:paraId="1759FD32" w14:textId="039A523B" w:rsidR="0004266D" w:rsidRDefault="0004266D" w:rsidP="00AB019A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496964">
              <w:t>1.5</w:t>
            </w:r>
            <w:r>
              <w:t>%</w:t>
            </w:r>
          </w:p>
        </w:tc>
        <w:tc>
          <w:tcPr>
            <w:tcW w:w="1275" w:type="dxa"/>
          </w:tcPr>
          <w:p w14:paraId="725313BE" w14:textId="58E9947E" w:rsidR="0004266D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+</w:t>
            </w:r>
            <w:r w:rsidR="00496964">
              <w:t>10.4</w:t>
            </w:r>
            <w:r w:rsidR="00483711">
              <w:t>%</w:t>
            </w:r>
          </w:p>
        </w:tc>
      </w:tr>
    </w:tbl>
    <w:p w14:paraId="5CF68DB9" w14:textId="77777777" w:rsidR="00170260" w:rsidRDefault="00170260" w:rsidP="00170260">
      <w:pPr>
        <w:pStyle w:val="NoSpacing"/>
      </w:pPr>
    </w:p>
    <w:p w14:paraId="611C2D9A" w14:textId="40DB0B1D" w:rsidR="00170260" w:rsidRDefault="00B672D0" w:rsidP="00170260">
      <w:pPr>
        <w:pStyle w:val="NoSpacing"/>
      </w:pPr>
      <w:r>
        <w:t xml:space="preserve">Moderation in price increases </w:t>
      </w:r>
      <w:r w:rsidR="0009067E">
        <w:t xml:space="preserve">went </w:t>
      </w:r>
      <w:r>
        <w:t xml:space="preserve">hand-in-hand with </w:t>
      </w:r>
      <w:r w:rsidR="00F12F2D">
        <w:t xml:space="preserve">level </w:t>
      </w:r>
      <w:r>
        <w:t>p</w:t>
      </w:r>
      <w:r w:rsidR="006636C7">
        <w:t>romotional activity</w:t>
      </w:r>
      <w:r>
        <w:t xml:space="preserve">. </w:t>
      </w:r>
      <w:r w:rsidR="0009067E">
        <w:t xml:space="preserve">During </w:t>
      </w:r>
      <w:r w:rsidR="006636C7">
        <w:t>the latest quad-week period</w:t>
      </w:r>
      <w:r w:rsidR="00A80980">
        <w:t xml:space="preserve"> 16.2</w:t>
      </w:r>
      <w:r w:rsidR="00FF2D4A">
        <w:t xml:space="preserve">% of total </w:t>
      </w:r>
      <w:r w:rsidR="00085508">
        <w:t xml:space="preserve">fresh mushroom </w:t>
      </w:r>
      <w:r w:rsidR="00FF2D4A">
        <w:t>dollars</w:t>
      </w:r>
      <w:r w:rsidR="004C1DB1">
        <w:t xml:space="preserve"> sold</w:t>
      </w:r>
      <w:r>
        <w:t xml:space="preserve"> while on promotion</w:t>
      </w:r>
      <w:r w:rsidR="00E508BB">
        <w:t xml:space="preserve">. </w:t>
      </w:r>
    </w:p>
    <w:p w14:paraId="363D2F2B" w14:textId="77777777" w:rsidR="00170260" w:rsidRDefault="00170260" w:rsidP="00170260">
      <w:pPr>
        <w:pStyle w:val="NoSpacing"/>
      </w:pPr>
    </w:p>
    <w:tbl>
      <w:tblPr>
        <w:tblStyle w:val="ListTable3-Accent2"/>
        <w:tblW w:w="10070" w:type="dxa"/>
        <w:tblLook w:val="04A0" w:firstRow="1" w:lastRow="0" w:firstColumn="1" w:lastColumn="0" w:noHBand="0" w:noVBand="1"/>
      </w:tblPr>
      <w:tblGrid>
        <w:gridCol w:w="3539"/>
        <w:gridCol w:w="397"/>
        <w:gridCol w:w="1342"/>
        <w:gridCol w:w="1369"/>
        <w:gridCol w:w="2054"/>
        <w:gridCol w:w="1369"/>
      </w:tblGrid>
      <w:tr w:rsidR="00972570" w:rsidRPr="00124CB7" w14:paraId="5DFB9CAB" w14:textId="77777777" w:rsidTr="006940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39" w:type="dxa"/>
          </w:tcPr>
          <w:p w14:paraId="4168BC1A" w14:textId="77777777" w:rsidR="00972570" w:rsidRPr="00124CB7" w:rsidRDefault="00972570" w:rsidP="00FF6A85">
            <w:pPr>
              <w:pStyle w:val="NoSpacing"/>
            </w:pPr>
            <w:r w:rsidRPr="00124CB7">
              <w:t>Fresh mushrooms</w:t>
            </w:r>
          </w:p>
        </w:tc>
        <w:tc>
          <w:tcPr>
            <w:tcW w:w="1739" w:type="dxa"/>
            <w:gridSpan w:val="2"/>
          </w:tcPr>
          <w:p w14:paraId="6A0500B8" w14:textId="71DF2042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4 w.e. </w:t>
            </w:r>
            <w:r w:rsidR="00FC56B0">
              <w:t>12/31</w:t>
            </w:r>
            <w:r w:rsidR="00EB090C">
              <w:t>/2023</w:t>
            </w:r>
          </w:p>
        </w:tc>
        <w:tc>
          <w:tcPr>
            <w:tcW w:w="1369" w:type="dxa"/>
            <w:tcBorders>
              <w:right w:val="single" w:sz="4" w:space="0" w:color="ED7D31"/>
            </w:tcBorders>
          </w:tcPr>
          <w:p w14:paraId="5CF9736D" w14:textId="00DD2640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251BBC">
              <w:t>2022</w:t>
            </w:r>
          </w:p>
        </w:tc>
        <w:tc>
          <w:tcPr>
            <w:tcW w:w="2054" w:type="dxa"/>
            <w:tcBorders>
              <w:left w:val="single" w:sz="4" w:space="0" w:color="ED7D31"/>
            </w:tcBorders>
          </w:tcPr>
          <w:p w14:paraId="413A4F70" w14:textId="57805353" w:rsidR="00972570" w:rsidRPr="00124CB7" w:rsidRDefault="00694050" w:rsidP="00B03343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Latest 52 w.e.</w:t>
            </w:r>
            <w:r w:rsidR="00972570">
              <w:t xml:space="preserve"> </w:t>
            </w:r>
            <w:r w:rsidR="00FC56B0">
              <w:t>12/31</w:t>
            </w:r>
            <w:r w:rsidR="00EB090C">
              <w:t>/2023</w:t>
            </w:r>
          </w:p>
        </w:tc>
        <w:tc>
          <w:tcPr>
            <w:tcW w:w="1369" w:type="dxa"/>
          </w:tcPr>
          <w:p w14:paraId="75064544" w14:textId="0F8976C1" w:rsidR="00972570" w:rsidRPr="00124CB7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CB7">
              <w:t xml:space="preserve">Vs. </w:t>
            </w:r>
            <w:r w:rsidR="00251BBC">
              <w:t>2022</w:t>
            </w:r>
          </w:p>
        </w:tc>
      </w:tr>
      <w:tr w:rsidR="004A50D2" w14:paraId="3B76FFA3" w14:textId="78296325" w:rsidTr="00314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  <w:gridSpan w:val="2"/>
          </w:tcPr>
          <w:p w14:paraId="2B5B6C81" w14:textId="6313A9FC" w:rsidR="004A50D2" w:rsidRDefault="004A50D2" w:rsidP="004A50D2">
            <w:pPr>
              <w:pStyle w:val="NoSpacing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Share of dollars sold on promotion</w:t>
            </w:r>
          </w:p>
        </w:tc>
        <w:tc>
          <w:tcPr>
            <w:tcW w:w="1342" w:type="dxa"/>
            <w:shd w:val="clear" w:color="auto" w:fill="auto"/>
          </w:tcPr>
          <w:p w14:paraId="6D5E5F03" w14:textId="49076397" w:rsidR="004A50D2" w:rsidRPr="006617FB" w:rsidRDefault="00496964" w:rsidP="004A50D2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16.2</w:t>
            </w:r>
            <w:r w:rsidR="004A50D2" w:rsidRPr="006617FB">
              <w:t>%</w:t>
            </w:r>
          </w:p>
        </w:tc>
        <w:tc>
          <w:tcPr>
            <w:tcW w:w="1369" w:type="dxa"/>
            <w:tcBorders>
              <w:right w:val="single" w:sz="4" w:space="0" w:color="ED7D31"/>
            </w:tcBorders>
          </w:tcPr>
          <w:p w14:paraId="586FECBD" w14:textId="643A8D92" w:rsidR="004A50D2" w:rsidRPr="009B0330" w:rsidRDefault="00511CD0" w:rsidP="004A50D2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496964">
              <w:t>10.4</w:t>
            </w:r>
            <w:r w:rsidR="004A50D2" w:rsidRPr="009B0330">
              <w:t>%</w:t>
            </w:r>
          </w:p>
        </w:tc>
        <w:tc>
          <w:tcPr>
            <w:tcW w:w="2054" w:type="dxa"/>
            <w:tcBorders>
              <w:left w:val="single" w:sz="4" w:space="0" w:color="ED7D31"/>
            </w:tcBorders>
          </w:tcPr>
          <w:p w14:paraId="66CD7DD9" w14:textId="53936138" w:rsidR="004A50D2" w:rsidRPr="009B0330" w:rsidRDefault="00496964" w:rsidP="00916DE2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18.0</w:t>
            </w:r>
            <w:r w:rsidR="004A50D2" w:rsidRPr="009B0330">
              <w:t>%</w:t>
            </w:r>
          </w:p>
        </w:tc>
        <w:tc>
          <w:tcPr>
            <w:tcW w:w="1369" w:type="dxa"/>
            <w:shd w:val="clear" w:color="auto" w:fill="auto"/>
          </w:tcPr>
          <w:p w14:paraId="7461CDF6" w14:textId="31319D29" w:rsidR="004A50D2" w:rsidRPr="00314DA1" w:rsidRDefault="00FC56B0" w:rsidP="00145E27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+</w:t>
            </w:r>
            <w:r w:rsidR="00496964">
              <w:t>17.3</w:t>
            </w:r>
            <w:r w:rsidR="004A50D2" w:rsidRPr="00314DA1">
              <w:t>%</w:t>
            </w:r>
          </w:p>
        </w:tc>
      </w:tr>
    </w:tbl>
    <w:p w14:paraId="23606064" w14:textId="12EA2A51" w:rsidR="00555250" w:rsidRPr="00555250" w:rsidRDefault="00555250" w:rsidP="00555250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r w:rsidR="004C5B27">
        <w:rPr>
          <w:color w:val="7F7F7F" w:themeColor="text1" w:themeTint="80"/>
          <w:sz w:val="16"/>
          <w:szCs w:val="16"/>
        </w:rPr>
        <w:t xml:space="preserve">Circana, </w:t>
      </w:r>
      <w:r w:rsidRPr="00555250">
        <w:rPr>
          <w:color w:val="7F7F7F" w:themeColor="text1" w:themeTint="80"/>
          <w:sz w:val="16"/>
          <w:szCs w:val="16"/>
        </w:rPr>
        <w:t xml:space="preserve">Integrated Fresh, MULO, </w:t>
      </w:r>
      <w:r w:rsidR="00A657C4">
        <w:rPr>
          <w:color w:val="7F7F7F" w:themeColor="text1" w:themeTint="80"/>
          <w:sz w:val="16"/>
          <w:szCs w:val="16"/>
        </w:rPr>
        <w:t xml:space="preserve">YTD and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FC56B0">
        <w:rPr>
          <w:color w:val="7F7F7F" w:themeColor="text1" w:themeTint="80"/>
          <w:sz w:val="16"/>
          <w:szCs w:val="16"/>
        </w:rPr>
        <w:t>12/31</w:t>
      </w:r>
      <w:r w:rsidR="00EB090C">
        <w:rPr>
          <w:color w:val="7F7F7F" w:themeColor="text1" w:themeTint="80"/>
          <w:sz w:val="16"/>
          <w:szCs w:val="16"/>
        </w:rPr>
        <w:t>/2023</w:t>
      </w:r>
    </w:p>
    <w:p w14:paraId="6CBB9CA7" w14:textId="00F915EB" w:rsidR="0094219B" w:rsidRDefault="0094219B" w:rsidP="00472B02">
      <w:pPr>
        <w:pStyle w:val="NoSpacing"/>
      </w:pPr>
    </w:p>
    <w:p w14:paraId="6ECA980F" w14:textId="1C95F143" w:rsidR="005C6AEE" w:rsidRPr="00927EAC" w:rsidRDefault="005C6AEE" w:rsidP="00927EAC">
      <w:pPr>
        <w:pStyle w:val="Heading2"/>
        <w:rPr>
          <w:b/>
          <w:bCs/>
          <w:color w:val="ED7D31" w:themeColor="accent2"/>
        </w:rPr>
      </w:pPr>
      <w:r w:rsidRPr="00927EAC">
        <w:rPr>
          <w:b/>
          <w:bCs/>
          <w:color w:val="ED7D31" w:themeColor="accent2"/>
        </w:rPr>
        <w:t>Performance by segment</w:t>
      </w:r>
    </w:p>
    <w:p w14:paraId="3F555681" w14:textId="41819157" w:rsidR="00927EAC" w:rsidRDefault="004B7951" w:rsidP="00927EAC">
      <w:pPr>
        <w:pStyle w:val="NoSpacing"/>
      </w:pPr>
      <w:r>
        <w:t>W</w:t>
      </w:r>
      <w:r w:rsidR="00927EAC">
        <w:t>hite mushrooms represent</w:t>
      </w:r>
      <w:r w:rsidR="00461D8C">
        <w:t>ed</w:t>
      </w:r>
      <w:r w:rsidR="00927EAC">
        <w:t xml:space="preserve"> </w:t>
      </w:r>
      <w:r w:rsidR="00DD1737">
        <w:t>52.6</w:t>
      </w:r>
      <w:r w:rsidR="00927EAC">
        <w:t xml:space="preserve">% of </w:t>
      </w:r>
      <w:r w:rsidR="004C1DB1">
        <w:t>mushroom dollars</w:t>
      </w:r>
      <w:r w:rsidR="00927EAC">
        <w:t xml:space="preserve"> and </w:t>
      </w:r>
      <w:r w:rsidR="00DD1737">
        <w:t>59.0</w:t>
      </w:r>
      <w:r w:rsidR="00AB019A">
        <w:t>%</w:t>
      </w:r>
      <w:r w:rsidR="00927EAC">
        <w:t xml:space="preserve"> of pounds</w:t>
      </w:r>
      <w:r w:rsidR="00AC2C09">
        <w:t xml:space="preserve"> in</w:t>
      </w:r>
      <w:r>
        <w:t xml:space="preserve"> the four</w:t>
      </w:r>
      <w:r w:rsidR="00461D8C">
        <w:t>-week period</w:t>
      </w:r>
      <w:r w:rsidR="00927EAC">
        <w:t xml:space="preserve">. </w:t>
      </w:r>
      <w:r w:rsidR="00904C5C">
        <w:t>Brown mushrooms</w:t>
      </w:r>
      <w:r>
        <w:t>, the combination of cr</w:t>
      </w:r>
      <w:r w:rsidR="002437CE">
        <w:t>i</w:t>
      </w:r>
      <w:r>
        <w:t>minis and portabellas</w:t>
      </w:r>
      <w:r w:rsidR="00F40BC0">
        <w:t xml:space="preserve"> had </w:t>
      </w:r>
      <w:r w:rsidR="002F442E">
        <w:t xml:space="preserve">a </w:t>
      </w:r>
      <w:r w:rsidR="00F40BC0">
        <w:t xml:space="preserve">better performance than white. </w:t>
      </w:r>
    </w:p>
    <w:p w14:paraId="29B3DB23" w14:textId="73EA9AE3" w:rsidR="00B25DFD" w:rsidRDefault="00B25DFD" w:rsidP="00927EAC">
      <w:pPr>
        <w:pStyle w:val="NoSpacing"/>
      </w:pPr>
    </w:p>
    <w:tbl>
      <w:tblPr>
        <w:tblStyle w:val="ListTable3-Accent2"/>
        <w:tblW w:w="10615" w:type="dxa"/>
        <w:tblLayout w:type="fixed"/>
        <w:tblLook w:val="0400" w:firstRow="0" w:lastRow="0" w:firstColumn="0" w:lastColumn="0" w:noHBand="0" w:noVBand="1"/>
      </w:tblPr>
      <w:tblGrid>
        <w:gridCol w:w="2547"/>
        <w:gridCol w:w="1168"/>
        <w:gridCol w:w="882"/>
        <w:gridCol w:w="991"/>
        <w:gridCol w:w="972"/>
        <w:gridCol w:w="927"/>
        <w:gridCol w:w="1117"/>
        <w:gridCol w:w="1047"/>
        <w:gridCol w:w="964"/>
      </w:tblGrid>
      <w:tr w:rsidR="00A43A45" w:rsidRPr="00B25DFD" w14:paraId="66036A96" w14:textId="09558220" w:rsidTr="00330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547" w:type="dxa"/>
            <w:shd w:val="clear" w:color="auto" w:fill="ED7D31" w:themeFill="accent2"/>
            <w:vAlign w:val="center"/>
            <w:hideMark/>
          </w:tcPr>
          <w:p w14:paraId="4B138C18" w14:textId="2E5A5DA3" w:rsidR="00461D8C" w:rsidRPr="006A7A6E" w:rsidRDefault="00461D8C" w:rsidP="00CE27CF">
            <w:pPr>
              <w:pStyle w:val="NoSpacing"/>
              <w:rPr>
                <w:rFonts w:cstheme="minorHAnsi"/>
                <w:b/>
                <w:bCs/>
                <w:color w:val="FFFFFF" w:themeColor="background1"/>
              </w:rPr>
            </w:pPr>
            <w:bookmarkStart w:id="0" w:name="_Hlk97115006"/>
            <w:r w:rsidRPr="006A7A6E">
              <w:rPr>
                <w:rFonts w:cstheme="minorHAnsi"/>
                <w:b/>
                <w:bCs/>
                <w:color w:val="FFFFFF" w:themeColor="background1"/>
              </w:rPr>
              <w:t xml:space="preserve">4 weeks ending </w:t>
            </w:r>
            <w:r w:rsidR="00FC56B0">
              <w:rPr>
                <w:rFonts w:cstheme="minorHAnsi"/>
                <w:b/>
                <w:bCs/>
                <w:color w:val="FFFFFF" w:themeColor="background1"/>
              </w:rPr>
              <w:t>12/31</w:t>
            </w:r>
            <w:r w:rsidR="00EB090C">
              <w:rPr>
                <w:rFonts w:cstheme="minorHAnsi"/>
                <w:b/>
                <w:bCs/>
                <w:color w:val="FFFFFF" w:themeColor="background1"/>
              </w:rPr>
              <w:t>/2023</w:t>
            </w:r>
          </w:p>
        </w:tc>
        <w:tc>
          <w:tcPr>
            <w:tcW w:w="1168" w:type="dxa"/>
            <w:shd w:val="clear" w:color="auto" w:fill="ED7D31" w:themeFill="accent2"/>
            <w:hideMark/>
          </w:tcPr>
          <w:p w14:paraId="47F253CD" w14:textId="6F53405A" w:rsidR="00461D8C" w:rsidRPr="006A7A6E" w:rsidRDefault="00461D8C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6A7A6E">
              <w:rPr>
                <w:rFonts w:cstheme="minorHAnsi"/>
                <w:b/>
                <w:bCs/>
                <w:color w:val="FFFFFF" w:themeColor="background1"/>
              </w:rPr>
              <w:t>Dollars</w:t>
            </w:r>
          </w:p>
        </w:tc>
        <w:tc>
          <w:tcPr>
            <w:tcW w:w="882" w:type="dxa"/>
            <w:shd w:val="clear" w:color="auto" w:fill="ED7D31" w:themeFill="accent2"/>
          </w:tcPr>
          <w:p w14:paraId="385A94D8" w14:textId="1A4D75AA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Dollar s</w:t>
            </w:r>
            <w:r w:rsidR="00461D8C">
              <w:rPr>
                <w:rFonts w:cstheme="minorHAnsi"/>
                <w:b/>
                <w:bCs/>
                <w:color w:val="FFFFFF" w:themeColor="background1"/>
              </w:rPr>
              <w:t>hare</w:t>
            </w:r>
          </w:p>
        </w:tc>
        <w:tc>
          <w:tcPr>
            <w:tcW w:w="991" w:type="dxa"/>
            <w:shd w:val="clear" w:color="auto" w:fill="ED7D31" w:themeFill="accent2"/>
            <w:hideMark/>
          </w:tcPr>
          <w:p w14:paraId="3685CC92" w14:textId="5F7AA071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$ sales 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 xml:space="preserve">s. </w:t>
            </w:r>
            <w:r w:rsidR="00251BBC">
              <w:rPr>
                <w:rFonts w:cstheme="minorHAnsi"/>
                <w:b/>
                <w:bCs/>
                <w:color w:val="FFFFFF" w:themeColor="background1"/>
              </w:rPr>
              <w:t>2022</w:t>
            </w:r>
          </w:p>
        </w:tc>
        <w:tc>
          <w:tcPr>
            <w:tcW w:w="972" w:type="dxa"/>
            <w:tcBorders>
              <w:right w:val="single" w:sz="4" w:space="0" w:color="ED7D31"/>
            </w:tcBorders>
            <w:shd w:val="clear" w:color="auto" w:fill="ED7D31" w:themeFill="accent2"/>
            <w:hideMark/>
          </w:tcPr>
          <w:p w14:paraId="4605C27F" w14:textId="0095037F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$ sales 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 xml:space="preserve">s. </w:t>
            </w:r>
            <w:r w:rsidR="00251BBC">
              <w:rPr>
                <w:rFonts w:cstheme="minorHAnsi"/>
                <w:b/>
                <w:bCs/>
                <w:color w:val="FFFFFF" w:themeColor="background1"/>
              </w:rPr>
              <w:t>2020</w:t>
            </w:r>
          </w:p>
        </w:tc>
        <w:tc>
          <w:tcPr>
            <w:tcW w:w="927" w:type="dxa"/>
            <w:tcBorders>
              <w:left w:val="single" w:sz="4" w:space="0" w:color="ED7D31"/>
            </w:tcBorders>
            <w:shd w:val="clear" w:color="auto" w:fill="ED7D31" w:themeFill="accent2"/>
          </w:tcPr>
          <w:p w14:paraId="306DC338" w14:textId="78470F88" w:rsidR="00461D8C" w:rsidRPr="006A7A6E" w:rsidRDefault="00461D8C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 w:rsidRPr="006A7A6E">
              <w:rPr>
                <w:rFonts w:cstheme="minorHAnsi"/>
                <w:b/>
                <w:bCs/>
                <w:color w:val="FFFFFF" w:themeColor="background1"/>
              </w:rPr>
              <w:t>Volume</w:t>
            </w:r>
            <w:r w:rsidR="00D8225F">
              <w:rPr>
                <w:rFonts w:cstheme="minorHAnsi"/>
                <w:b/>
                <w:bCs/>
                <w:color w:val="FFFFFF" w:themeColor="background1"/>
              </w:rPr>
              <w:t xml:space="preserve"> (lbs)</w:t>
            </w:r>
          </w:p>
        </w:tc>
        <w:tc>
          <w:tcPr>
            <w:tcW w:w="1117" w:type="dxa"/>
            <w:shd w:val="clear" w:color="auto" w:fill="ED7D31" w:themeFill="accent2"/>
          </w:tcPr>
          <w:p w14:paraId="782C6C5A" w14:textId="3EB1CA01" w:rsidR="00D8225F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Lbs</w:t>
            </w:r>
          </w:p>
          <w:p w14:paraId="60FA614A" w14:textId="53D11403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s</w:t>
            </w:r>
            <w:r w:rsidR="00461D8C">
              <w:rPr>
                <w:rFonts w:cstheme="minorHAnsi"/>
                <w:b/>
                <w:bCs/>
                <w:color w:val="FFFFFF" w:themeColor="background1"/>
              </w:rPr>
              <w:t>hare</w:t>
            </w:r>
          </w:p>
        </w:tc>
        <w:tc>
          <w:tcPr>
            <w:tcW w:w="1047" w:type="dxa"/>
            <w:shd w:val="clear" w:color="auto" w:fill="ED7D31" w:themeFill="accent2"/>
          </w:tcPr>
          <w:p w14:paraId="7DE6FAA8" w14:textId="407FBFD8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 xml:space="preserve">Lbs </w:t>
            </w:r>
            <w:r>
              <w:rPr>
                <w:rFonts w:cstheme="minorHAnsi"/>
                <w:b/>
                <w:bCs/>
                <w:color w:val="FFFFFF" w:themeColor="background1"/>
              </w:rPr>
              <w:br/>
              <w:t>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 xml:space="preserve">s. </w:t>
            </w:r>
            <w:r w:rsidR="00251BBC">
              <w:rPr>
                <w:rFonts w:cstheme="minorHAnsi"/>
                <w:b/>
                <w:bCs/>
                <w:color w:val="FFFFFF" w:themeColor="background1"/>
              </w:rPr>
              <w:t>2022</w:t>
            </w:r>
          </w:p>
        </w:tc>
        <w:tc>
          <w:tcPr>
            <w:tcW w:w="964" w:type="dxa"/>
            <w:shd w:val="clear" w:color="auto" w:fill="ED7D31" w:themeFill="accent2"/>
          </w:tcPr>
          <w:p w14:paraId="212AEB88" w14:textId="5FC08CEC" w:rsidR="00461D8C" w:rsidRPr="006A7A6E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Lbs v</w:t>
            </w:r>
            <w:r w:rsidR="00461D8C" w:rsidRPr="006A7A6E">
              <w:rPr>
                <w:rFonts w:cstheme="minorHAnsi"/>
                <w:b/>
                <w:bCs/>
                <w:color w:val="FFFFFF" w:themeColor="background1"/>
              </w:rPr>
              <w:t xml:space="preserve">s. </w:t>
            </w:r>
            <w:r w:rsidR="00251BBC">
              <w:rPr>
                <w:rFonts w:cstheme="minorHAnsi"/>
                <w:b/>
                <w:bCs/>
                <w:color w:val="FFFFFF" w:themeColor="background1"/>
              </w:rPr>
              <w:t>2020</w:t>
            </w:r>
          </w:p>
        </w:tc>
      </w:tr>
      <w:tr w:rsidR="008F2AA0" w:rsidRPr="00B25DFD" w14:paraId="69D4AA5B" w14:textId="069A747C" w:rsidTr="003305B1">
        <w:trPr>
          <w:trHeight w:val="20"/>
        </w:trPr>
        <w:tc>
          <w:tcPr>
            <w:tcW w:w="2547" w:type="dxa"/>
            <w:vAlign w:val="center"/>
            <w:hideMark/>
          </w:tcPr>
          <w:p w14:paraId="2C1CDE46" w14:textId="178D4679" w:rsidR="008F2AA0" w:rsidRPr="006A7A6E" w:rsidRDefault="008F2AA0" w:rsidP="008F2AA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 f</w:t>
            </w:r>
            <w:r w:rsidRPr="006A7A6E">
              <w:rPr>
                <w:rFonts w:cstheme="minorHAnsi"/>
                <w:b/>
                <w:bCs/>
              </w:rPr>
              <w:t>resh mushrooms</w:t>
            </w:r>
          </w:p>
        </w:tc>
        <w:tc>
          <w:tcPr>
            <w:tcW w:w="1168" w:type="dxa"/>
            <w:hideMark/>
          </w:tcPr>
          <w:p w14:paraId="6A87FED7" w14:textId="1218D38B" w:rsidR="008F2AA0" w:rsidRPr="006A7A6E" w:rsidRDefault="008F2AA0" w:rsidP="008F2AA0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6A7A6E">
              <w:rPr>
                <w:rFonts w:cstheme="minorHAnsi"/>
                <w:b/>
                <w:bCs/>
                <w:color w:val="000000" w:themeColor="text1"/>
              </w:rPr>
              <w:t>$</w:t>
            </w:r>
            <w:r w:rsidR="003305B1">
              <w:rPr>
                <w:rFonts w:cstheme="minorHAnsi"/>
                <w:b/>
                <w:bCs/>
                <w:color w:val="000000" w:themeColor="text1"/>
              </w:rPr>
              <w:t>101.4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3A01C257" w14:textId="5BC053CF" w:rsidR="008F2AA0" w:rsidRPr="006A7A6E" w:rsidRDefault="008F2AA0" w:rsidP="008F2AA0">
            <w:pPr>
              <w:pStyle w:val="NoSpacing"/>
              <w:jc w:val="right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100.0%</w:t>
            </w:r>
          </w:p>
        </w:tc>
        <w:tc>
          <w:tcPr>
            <w:tcW w:w="991" w:type="dxa"/>
            <w:hideMark/>
          </w:tcPr>
          <w:p w14:paraId="7E486F05" w14:textId="23520DEE" w:rsidR="008F2AA0" w:rsidRPr="006A7A6E" w:rsidRDefault="008F2AA0" w:rsidP="008F2AA0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3305B1">
              <w:rPr>
                <w:rFonts w:cstheme="minorHAnsi"/>
                <w:b/>
                <w:bCs/>
                <w:color w:val="000000" w:themeColor="text1"/>
              </w:rPr>
              <w:t>5.2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972" w:type="dxa"/>
            <w:tcBorders>
              <w:right w:val="single" w:sz="4" w:space="0" w:color="ED7D31"/>
            </w:tcBorders>
            <w:hideMark/>
          </w:tcPr>
          <w:p w14:paraId="3BD808C1" w14:textId="538E4057" w:rsidR="008F2AA0" w:rsidRPr="006A7A6E" w:rsidRDefault="008F2AA0" w:rsidP="008F2AA0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3305B1">
              <w:rPr>
                <w:rFonts w:cstheme="minorHAnsi"/>
                <w:b/>
                <w:bCs/>
                <w:color w:val="000000" w:themeColor="text1"/>
              </w:rPr>
              <w:t>12.2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6E7375BC" w14:textId="6FDC07ED" w:rsidR="008F2AA0" w:rsidRPr="006A7A6E" w:rsidRDefault="003305B1" w:rsidP="008F2AA0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21.6</w:t>
            </w:r>
            <w:r w:rsidR="008F2AA0" w:rsidRPr="006A7A6E">
              <w:rPr>
                <w:rFonts w:cstheme="minorHAnsi"/>
                <w:b/>
                <w:bCs/>
                <w:color w:val="000000" w:themeColor="text1"/>
              </w:rPr>
              <w:t>M</w:t>
            </w:r>
          </w:p>
        </w:tc>
        <w:tc>
          <w:tcPr>
            <w:tcW w:w="1117" w:type="dxa"/>
          </w:tcPr>
          <w:p w14:paraId="62317D86" w14:textId="4533EB76" w:rsidR="008F2AA0" w:rsidRPr="006A7A6E" w:rsidRDefault="00511CD0" w:rsidP="008F2AA0">
            <w:pPr>
              <w:pStyle w:val="NoSpacing"/>
              <w:jc w:val="right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100.0</w:t>
            </w:r>
            <w:r w:rsidR="008F2AA0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1047" w:type="dxa"/>
          </w:tcPr>
          <w:p w14:paraId="5E78B271" w14:textId="7C197C9C" w:rsidR="008F2AA0" w:rsidRPr="006A7A6E" w:rsidRDefault="008F2AA0" w:rsidP="008F2AA0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3305B1">
              <w:rPr>
                <w:rFonts w:cstheme="minorHAnsi"/>
                <w:b/>
                <w:bCs/>
                <w:color w:val="000000" w:themeColor="text1"/>
              </w:rPr>
              <w:t>5.1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  <w:tc>
          <w:tcPr>
            <w:tcW w:w="964" w:type="dxa"/>
          </w:tcPr>
          <w:p w14:paraId="576290B6" w14:textId="4DC06951" w:rsidR="008F2AA0" w:rsidRPr="006A7A6E" w:rsidRDefault="008F2AA0" w:rsidP="008F2AA0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-</w:t>
            </w:r>
            <w:r w:rsidR="003305B1">
              <w:rPr>
                <w:rFonts w:cstheme="minorHAnsi"/>
                <w:b/>
                <w:bCs/>
                <w:color w:val="000000" w:themeColor="text1"/>
              </w:rPr>
              <w:t>19.9</w:t>
            </w:r>
            <w:r w:rsidRPr="006A7A6E">
              <w:rPr>
                <w:rFonts w:cstheme="minorHAnsi"/>
                <w:b/>
                <w:bCs/>
                <w:color w:val="000000" w:themeColor="text1"/>
              </w:rPr>
              <w:t>%</w:t>
            </w:r>
          </w:p>
        </w:tc>
      </w:tr>
      <w:tr w:rsidR="00AB019A" w:rsidRPr="00B25DFD" w14:paraId="20B4A675" w14:textId="7B567306" w:rsidTr="00330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547" w:type="dxa"/>
            <w:vAlign w:val="center"/>
            <w:hideMark/>
          </w:tcPr>
          <w:p w14:paraId="0674F69D" w14:textId="21733F06" w:rsidR="00AB019A" w:rsidRPr="006A7A6E" w:rsidRDefault="00AB019A" w:rsidP="00AB019A">
            <w:pPr>
              <w:rPr>
                <w:rFonts w:cstheme="minorHAnsi"/>
              </w:rPr>
            </w:pPr>
            <w:r w:rsidRPr="006A7A6E">
              <w:rPr>
                <w:rFonts w:cstheme="minorHAnsi"/>
              </w:rPr>
              <w:t>White mushrooms</w:t>
            </w:r>
          </w:p>
        </w:tc>
        <w:tc>
          <w:tcPr>
            <w:tcW w:w="1168" w:type="dxa"/>
            <w:hideMark/>
          </w:tcPr>
          <w:p w14:paraId="502595AA" w14:textId="4F1EFA54" w:rsidR="00AB019A" w:rsidRPr="002F23A1" w:rsidRDefault="00AB019A" w:rsidP="00AB019A">
            <w:pPr>
              <w:pStyle w:val="NoSpacing"/>
              <w:jc w:val="right"/>
              <w:rPr>
                <w:rFonts w:cstheme="minorHAnsi"/>
              </w:rPr>
            </w:pPr>
            <w:r w:rsidRPr="002F23A1">
              <w:rPr>
                <w:rFonts w:cstheme="minorHAnsi"/>
                <w:color w:val="000000" w:themeColor="text1"/>
              </w:rPr>
              <w:t>$</w:t>
            </w:r>
            <w:r w:rsidR="003305B1">
              <w:rPr>
                <w:rFonts w:cstheme="minorHAnsi"/>
                <w:color w:val="000000" w:themeColor="text1"/>
              </w:rPr>
              <w:t>53.3</w:t>
            </w:r>
            <w:r w:rsidRPr="002F23A1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5E770B3E" w14:textId="7F9034FC" w:rsidR="00AB019A" w:rsidRPr="00D96AEE" w:rsidRDefault="003305B1" w:rsidP="00AB019A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52.6</w:t>
            </w:r>
            <w:r w:rsidR="00AB019A" w:rsidRPr="004C6314">
              <w:rPr>
                <w:rFonts w:cstheme="minorHAnsi"/>
              </w:rPr>
              <w:t>%</w:t>
            </w:r>
          </w:p>
        </w:tc>
        <w:tc>
          <w:tcPr>
            <w:tcW w:w="991" w:type="dxa"/>
            <w:hideMark/>
          </w:tcPr>
          <w:p w14:paraId="4CEB702D" w14:textId="12212233" w:rsidR="00AB019A" w:rsidRPr="00D96AEE" w:rsidRDefault="00AB019A" w:rsidP="00AB019A">
            <w:pPr>
              <w:pStyle w:val="NoSpacing"/>
              <w:jc w:val="right"/>
              <w:rPr>
                <w:rFonts w:cstheme="minorHAnsi"/>
              </w:rPr>
            </w:pPr>
            <w:r w:rsidRPr="006B4514">
              <w:rPr>
                <w:rFonts w:cstheme="minorHAnsi"/>
                <w:color w:val="000000" w:themeColor="text1"/>
              </w:rPr>
              <w:t>-</w:t>
            </w:r>
            <w:r w:rsidR="003305B1">
              <w:rPr>
                <w:rFonts w:cstheme="minorHAnsi"/>
                <w:color w:val="000000" w:themeColor="text1"/>
              </w:rPr>
              <w:t>5.3</w:t>
            </w:r>
            <w:r w:rsidRPr="006B4514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72" w:type="dxa"/>
            <w:tcBorders>
              <w:right w:val="single" w:sz="4" w:space="0" w:color="ED7D31"/>
            </w:tcBorders>
            <w:hideMark/>
          </w:tcPr>
          <w:p w14:paraId="7F3B4AE1" w14:textId="1BA34021" w:rsidR="00AB019A" w:rsidRPr="0004266D" w:rsidRDefault="00AB019A" w:rsidP="00AB019A">
            <w:pPr>
              <w:pStyle w:val="NoSpacing"/>
              <w:jc w:val="right"/>
              <w:rPr>
                <w:rFonts w:cstheme="minorHAnsi"/>
              </w:rPr>
            </w:pPr>
            <w:r w:rsidRPr="00741482">
              <w:rPr>
                <w:rFonts w:cstheme="minorHAnsi"/>
                <w:color w:val="000000" w:themeColor="text1"/>
              </w:rPr>
              <w:t>-</w:t>
            </w:r>
            <w:r w:rsidR="003305B1">
              <w:rPr>
                <w:rFonts w:cstheme="minorHAnsi"/>
                <w:color w:val="000000" w:themeColor="text1"/>
              </w:rPr>
              <w:t>14.4</w:t>
            </w:r>
            <w:r w:rsidRPr="00741482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3E87B660" w14:textId="751CA071" w:rsidR="00AB019A" w:rsidRPr="0004266D" w:rsidRDefault="003305B1" w:rsidP="00AB019A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12.7</w:t>
            </w:r>
            <w:r w:rsidR="00AB019A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117" w:type="dxa"/>
          </w:tcPr>
          <w:p w14:paraId="4385ED4A" w14:textId="2A00BC79" w:rsidR="00AB019A" w:rsidRPr="00337F18" w:rsidRDefault="003305B1" w:rsidP="00AB019A">
            <w:pPr>
              <w:pStyle w:val="NoSpacing"/>
              <w:tabs>
                <w:tab w:val="left" w:pos="510"/>
                <w:tab w:val="right" w:pos="674"/>
              </w:tabs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59.0</w:t>
            </w:r>
            <w:r w:rsidR="00AB019A" w:rsidRPr="000B53C4">
              <w:rPr>
                <w:rFonts w:cstheme="minorHAnsi"/>
              </w:rPr>
              <w:t>%</w:t>
            </w:r>
          </w:p>
        </w:tc>
        <w:tc>
          <w:tcPr>
            <w:tcW w:w="1047" w:type="dxa"/>
          </w:tcPr>
          <w:p w14:paraId="776C4AD3" w14:textId="1F6EE37A" w:rsidR="00AB019A" w:rsidRPr="0004266D" w:rsidRDefault="00AB019A" w:rsidP="00AB019A">
            <w:pPr>
              <w:pStyle w:val="NoSpacing"/>
              <w:jc w:val="right"/>
              <w:rPr>
                <w:rFonts w:cstheme="minorHAnsi"/>
              </w:rPr>
            </w:pPr>
            <w:r w:rsidRPr="00493791">
              <w:rPr>
                <w:rFonts w:cstheme="minorHAnsi"/>
                <w:color w:val="000000" w:themeColor="text1"/>
              </w:rPr>
              <w:t>-</w:t>
            </w:r>
            <w:r w:rsidR="003305B1">
              <w:rPr>
                <w:rFonts w:cstheme="minorHAnsi"/>
                <w:color w:val="000000" w:themeColor="text1"/>
              </w:rPr>
              <w:t>7.0</w:t>
            </w:r>
            <w:r w:rsidRPr="00493791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64" w:type="dxa"/>
          </w:tcPr>
          <w:p w14:paraId="107F8B93" w14:textId="468F4FBE" w:rsidR="00AB019A" w:rsidRPr="00D96AEE" w:rsidRDefault="00AB019A" w:rsidP="00AB019A">
            <w:pPr>
              <w:pStyle w:val="NoSpacing"/>
              <w:jc w:val="right"/>
              <w:rPr>
                <w:rFonts w:cstheme="minorHAnsi"/>
              </w:rPr>
            </w:pPr>
            <w:r w:rsidRPr="00493791">
              <w:rPr>
                <w:rFonts w:cstheme="minorHAnsi"/>
                <w:color w:val="000000" w:themeColor="text1"/>
              </w:rPr>
              <w:t>-</w:t>
            </w:r>
            <w:r w:rsidR="003305B1">
              <w:rPr>
                <w:rFonts w:cstheme="minorHAnsi"/>
                <w:color w:val="000000" w:themeColor="text1"/>
              </w:rPr>
              <w:t>22.6</w:t>
            </w:r>
            <w:r w:rsidRPr="00493791">
              <w:rPr>
                <w:rFonts w:cstheme="minorHAnsi"/>
                <w:color w:val="000000" w:themeColor="text1"/>
              </w:rPr>
              <w:t>%</w:t>
            </w:r>
          </w:p>
        </w:tc>
      </w:tr>
      <w:tr w:rsidR="00AB019A" w:rsidRPr="00B25DFD" w14:paraId="6060C93B" w14:textId="081A30E4" w:rsidTr="003305B1">
        <w:trPr>
          <w:trHeight w:val="20"/>
        </w:trPr>
        <w:tc>
          <w:tcPr>
            <w:tcW w:w="2547" w:type="dxa"/>
            <w:vAlign w:val="center"/>
            <w:hideMark/>
          </w:tcPr>
          <w:p w14:paraId="4D628EC6" w14:textId="7F1F9492" w:rsidR="00AB019A" w:rsidRPr="006A7A6E" w:rsidRDefault="00AB019A" w:rsidP="00AB019A">
            <w:pPr>
              <w:rPr>
                <w:rFonts w:cstheme="minorHAnsi"/>
              </w:rPr>
            </w:pPr>
            <w:r w:rsidRPr="006A7A6E">
              <w:rPr>
                <w:rFonts w:cstheme="minorHAnsi"/>
              </w:rPr>
              <w:t>Brown mushrooms</w:t>
            </w:r>
          </w:p>
        </w:tc>
        <w:tc>
          <w:tcPr>
            <w:tcW w:w="1168" w:type="dxa"/>
            <w:hideMark/>
          </w:tcPr>
          <w:p w14:paraId="590C2B94" w14:textId="40776C9D" w:rsidR="00AB019A" w:rsidRPr="002F23A1" w:rsidRDefault="00AB019A" w:rsidP="00AB019A">
            <w:pPr>
              <w:pStyle w:val="NoSpacing"/>
              <w:jc w:val="right"/>
              <w:rPr>
                <w:rFonts w:cstheme="minorHAnsi"/>
              </w:rPr>
            </w:pPr>
            <w:r w:rsidRPr="002F23A1">
              <w:rPr>
                <w:rFonts w:cstheme="minorHAnsi"/>
                <w:color w:val="000000" w:themeColor="text1"/>
              </w:rPr>
              <w:t>$</w:t>
            </w:r>
            <w:r w:rsidR="003305B1">
              <w:rPr>
                <w:rFonts w:cstheme="minorHAnsi"/>
                <w:color w:val="000000" w:themeColor="text1"/>
              </w:rPr>
              <w:t>42.1</w:t>
            </w:r>
            <w:r w:rsidRPr="002F23A1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02395440" w14:textId="1F1A1E7E" w:rsidR="00AB019A" w:rsidRPr="00337F18" w:rsidRDefault="003305B1" w:rsidP="00AB019A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41.5</w:t>
            </w:r>
            <w:r w:rsidR="00AB019A" w:rsidRPr="004C6314">
              <w:rPr>
                <w:rFonts w:cstheme="minorHAnsi"/>
              </w:rPr>
              <w:t>%</w:t>
            </w:r>
          </w:p>
        </w:tc>
        <w:tc>
          <w:tcPr>
            <w:tcW w:w="991" w:type="dxa"/>
            <w:hideMark/>
          </w:tcPr>
          <w:p w14:paraId="42F0AAF3" w14:textId="03137A11" w:rsidR="00AB019A" w:rsidRPr="0004266D" w:rsidRDefault="00AB019A" w:rsidP="00AB019A">
            <w:pPr>
              <w:pStyle w:val="NoSpacing"/>
              <w:jc w:val="right"/>
              <w:rPr>
                <w:rFonts w:cstheme="minorHAnsi"/>
              </w:rPr>
            </w:pPr>
            <w:r w:rsidRPr="006B4514">
              <w:rPr>
                <w:rFonts w:cstheme="minorHAnsi"/>
                <w:color w:val="000000" w:themeColor="text1"/>
              </w:rPr>
              <w:t>-</w:t>
            </w:r>
            <w:r w:rsidR="003305B1">
              <w:rPr>
                <w:rFonts w:cstheme="minorHAnsi"/>
                <w:color w:val="000000" w:themeColor="text1"/>
              </w:rPr>
              <w:t>4.6</w:t>
            </w:r>
            <w:r w:rsidRPr="006B4514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72" w:type="dxa"/>
            <w:tcBorders>
              <w:right w:val="single" w:sz="4" w:space="0" w:color="ED7D31"/>
            </w:tcBorders>
            <w:hideMark/>
          </w:tcPr>
          <w:p w14:paraId="25DB127B" w14:textId="404E0575" w:rsidR="00AB019A" w:rsidRPr="0004266D" w:rsidRDefault="00AB019A" w:rsidP="00AB019A">
            <w:pPr>
              <w:pStyle w:val="NoSpacing"/>
              <w:jc w:val="right"/>
              <w:rPr>
                <w:rFonts w:cstheme="minorHAnsi"/>
              </w:rPr>
            </w:pPr>
            <w:r w:rsidRPr="00741482">
              <w:rPr>
                <w:rFonts w:cstheme="minorHAnsi"/>
                <w:color w:val="000000" w:themeColor="text1"/>
              </w:rPr>
              <w:t>-</w:t>
            </w:r>
            <w:r w:rsidR="003305B1">
              <w:rPr>
                <w:rFonts w:cstheme="minorHAnsi"/>
                <w:color w:val="000000" w:themeColor="text1"/>
              </w:rPr>
              <w:t>7.7</w:t>
            </w:r>
            <w:r w:rsidRPr="00741482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6FD24DED" w14:textId="1E7A85F4" w:rsidR="00AB019A" w:rsidRPr="0004266D" w:rsidRDefault="003305B1" w:rsidP="00AB019A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8.4</w:t>
            </w:r>
            <w:r w:rsidR="00AB019A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117" w:type="dxa"/>
          </w:tcPr>
          <w:p w14:paraId="39529C18" w14:textId="3D572270" w:rsidR="00AB019A" w:rsidRPr="00337F18" w:rsidRDefault="003305B1" w:rsidP="00AB019A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38.9</w:t>
            </w:r>
            <w:r w:rsidR="00AB019A" w:rsidRPr="000B53C4">
              <w:rPr>
                <w:rFonts w:cstheme="minorHAnsi"/>
              </w:rPr>
              <w:t>%</w:t>
            </w:r>
          </w:p>
        </w:tc>
        <w:tc>
          <w:tcPr>
            <w:tcW w:w="1047" w:type="dxa"/>
          </w:tcPr>
          <w:p w14:paraId="720478A7" w14:textId="028FC419" w:rsidR="00AB019A" w:rsidRPr="0004266D" w:rsidRDefault="00AB019A" w:rsidP="00AB019A">
            <w:pPr>
              <w:pStyle w:val="NoSpacing"/>
              <w:jc w:val="right"/>
              <w:rPr>
                <w:rFonts w:cstheme="minorHAnsi"/>
              </w:rPr>
            </w:pPr>
            <w:r w:rsidRPr="00493791">
              <w:rPr>
                <w:rFonts w:cstheme="minorHAnsi"/>
                <w:color w:val="000000" w:themeColor="text1"/>
              </w:rPr>
              <w:t>-</w:t>
            </w:r>
            <w:r w:rsidR="003305B1">
              <w:rPr>
                <w:rFonts w:cstheme="minorHAnsi"/>
                <w:color w:val="000000" w:themeColor="text1"/>
              </w:rPr>
              <w:t>2.3</w:t>
            </w:r>
            <w:r w:rsidRPr="00493791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64" w:type="dxa"/>
          </w:tcPr>
          <w:p w14:paraId="30958CBD" w14:textId="68B5C9F0" w:rsidR="00AB019A" w:rsidRPr="00D96AEE" w:rsidRDefault="00AB019A" w:rsidP="00AB019A">
            <w:pPr>
              <w:pStyle w:val="NoSpacing"/>
              <w:jc w:val="right"/>
              <w:rPr>
                <w:rFonts w:cstheme="minorHAnsi"/>
              </w:rPr>
            </w:pPr>
            <w:r w:rsidRPr="00493791">
              <w:rPr>
                <w:rFonts w:cstheme="minorHAnsi"/>
                <w:color w:val="000000" w:themeColor="text1"/>
              </w:rPr>
              <w:t>-</w:t>
            </w:r>
            <w:r w:rsidR="003305B1">
              <w:rPr>
                <w:rFonts w:cstheme="minorHAnsi"/>
                <w:color w:val="000000" w:themeColor="text1"/>
              </w:rPr>
              <w:t>15.2</w:t>
            </w:r>
            <w:r w:rsidRPr="00493791">
              <w:rPr>
                <w:rFonts w:cstheme="minorHAnsi"/>
                <w:color w:val="000000" w:themeColor="text1"/>
              </w:rPr>
              <w:t>%</w:t>
            </w:r>
          </w:p>
        </w:tc>
      </w:tr>
      <w:tr w:rsidR="00AB019A" w:rsidRPr="00B25DFD" w14:paraId="2B6B448E" w14:textId="7445020D" w:rsidTr="003305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547" w:type="dxa"/>
            <w:vAlign w:val="center"/>
            <w:hideMark/>
          </w:tcPr>
          <w:p w14:paraId="7C14C062" w14:textId="0BCE1D26" w:rsidR="00AB019A" w:rsidRPr="006A7A6E" w:rsidRDefault="00AB019A" w:rsidP="00AB019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Specialty </w:t>
            </w:r>
            <w:r w:rsidRPr="006A7A6E">
              <w:rPr>
                <w:rFonts w:cstheme="minorHAnsi"/>
              </w:rPr>
              <w:t>mushrooms</w:t>
            </w:r>
          </w:p>
        </w:tc>
        <w:tc>
          <w:tcPr>
            <w:tcW w:w="1168" w:type="dxa"/>
            <w:hideMark/>
          </w:tcPr>
          <w:p w14:paraId="43257BA5" w14:textId="3323887F" w:rsidR="00AB019A" w:rsidRPr="002F23A1" w:rsidRDefault="00AB019A" w:rsidP="00AB019A">
            <w:pPr>
              <w:pStyle w:val="NoSpacing"/>
              <w:jc w:val="right"/>
              <w:rPr>
                <w:rFonts w:cstheme="minorHAnsi"/>
              </w:rPr>
            </w:pPr>
            <w:r w:rsidRPr="002F23A1">
              <w:rPr>
                <w:rFonts w:cstheme="minorHAnsi"/>
                <w:color w:val="000000" w:themeColor="text1"/>
              </w:rPr>
              <w:t>$</w:t>
            </w:r>
            <w:r w:rsidR="003305B1">
              <w:rPr>
                <w:rFonts w:cstheme="minorHAnsi"/>
                <w:color w:val="000000" w:themeColor="text1"/>
              </w:rPr>
              <w:t>6.0</w:t>
            </w:r>
            <w:r w:rsidRPr="002F23A1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882" w:type="dxa"/>
          </w:tcPr>
          <w:p w14:paraId="7EC04D31" w14:textId="654458B4" w:rsidR="00AB019A" w:rsidRPr="00337F18" w:rsidRDefault="003305B1" w:rsidP="00AB019A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5.9</w:t>
            </w:r>
            <w:r w:rsidR="00AB019A" w:rsidRPr="004C6314">
              <w:rPr>
                <w:rFonts w:cstheme="minorHAnsi"/>
              </w:rPr>
              <w:t>%</w:t>
            </w:r>
          </w:p>
        </w:tc>
        <w:tc>
          <w:tcPr>
            <w:tcW w:w="991" w:type="dxa"/>
            <w:hideMark/>
          </w:tcPr>
          <w:p w14:paraId="10052F27" w14:textId="7A0218FA" w:rsidR="00AB019A" w:rsidRPr="0004266D" w:rsidRDefault="00FC56B0" w:rsidP="00AB019A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3305B1">
              <w:rPr>
                <w:rFonts w:cstheme="minorHAnsi"/>
                <w:color w:val="000000" w:themeColor="text1"/>
              </w:rPr>
              <w:t>7.7</w:t>
            </w:r>
            <w:r w:rsidR="00AB019A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72" w:type="dxa"/>
            <w:tcBorders>
              <w:right w:val="single" w:sz="4" w:space="0" w:color="ED7D31"/>
            </w:tcBorders>
            <w:hideMark/>
          </w:tcPr>
          <w:p w14:paraId="31EEA636" w14:textId="12E50127" w:rsidR="00AB019A" w:rsidRPr="0004266D" w:rsidRDefault="00AB019A" w:rsidP="00AB019A">
            <w:pPr>
              <w:pStyle w:val="NoSpacing"/>
              <w:jc w:val="right"/>
              <w:rPr>
                <w:rFonts w:cstheme="minorHAnsi"/>
              </w:rPr>
            </w:pPr>
            <w:r w:rsidRPr="00741482">
              <w:rPr>
                <w:rFonts w:cstheme="minorHAnsi"/>
                <w:color w:val="000000" w:themeColor="text1"/>
              </w:rPr>
              <w:t>-</w:t>
            </w:r>
            <w:r w:rsidR="003305B1">
              <w:rPr>
                <w:rFonts w:cstheme="minorHAnsi"/>
                <w:color w:val="000000" w:themeColor="text1"/>
              </w:rPr>
              <w:t>20.5</w:t>
            </w:r>
            <w:r w:rsidRPr="00741482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</w:tcPr>
          <w:p w14:paraId="166CB34C" w14:textId="34BF75E9" w:rsidR="00AB019A" w:rsidRPr="0004266D" w:rsidRDefault="003305B1" w:rsidP="00AB019A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0.4</w:t>
            </w:r>
            <w:r w:rsidR="00AB019A" w:rsidRPr="0004266D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117" w:type="dxa"/>
          </w:tcPr>
          <w:p w14:paraId="417DE33D" w14:textId="16B85656" w:rsidR="00AB019A" w:rsidRPr="00337F18" w:rsidRDefault="003305B1" w:rsidP="00AB019A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2.1</w:t>
            </w:r>
            <w:r w:rsidR="00AB019A" w:rsidRPr="000B53C4">
              <w:rPr>
                <w:rFonts w:cstheme="minorHAnsi"/>
              </w:rPr>
              <w:t>%</w:t>
            </w:r>
          </w:p>
        </w:tc>
        <w:tc>
          <w:tcPr>
            <w:tcW w:w="1047" w:type="dxa"/>
          </w:tcPr>
          <w:p w14:paraId="632726C6" w14:textId="311C90FA" w:rsidR="00AB019A" w:rsidRPr="0004266D" w:rsidRDefault="00FC56B0" w:rsidP="00AB019A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3305B1">
              <w:rPr>
                <w:rFonts w:cstheme="minorHAnsi"/>
                <w:color w:val="000000" w:themeColor="text1"/>
              </w:rPr>
              <w:t>2.8</w:t>
            </w:r>
            <w:r w:rsidR="00AB019A" w:rsidRPr="0004266D">
              <w:rPr>
                <w:rFonts w:cstheme="minorHAnsi"/>
                <w:color w:val="000000" w:themeColor="text1"/>
              </w:rPr>
              <w:t>%</w:t>
            </w:r>
          </w:p>
        </w:tc>
        <w:tc>
          <w:tcPr>
            <w:tcW w:w="964" w:type="dxa"/>
          </w:tcPr>
          <w:p w14:paraId="700774A9" w14:textId="393DC646" w:rsidR="00AB019A" w:rsidRPr="0004266D" w:rsidRDefault="00AB019A" w:rsidP="00AB019A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-</w:t>
            </w:r>
            <w:r w:rsidR="003305B1">
              <w:rPr>
                <w:rFonts w:cstheme="minorHAnsi"/>
                <w:color w:val="000000" w:themeColor="text1"/>
              </w:rPr>
              <w:t>25.6</w:t>
            </w:r>
            <w:r w:rsidRPr="0004266D">
              <w:rPr>
                <w:rFonts w:cstheme="minorHAnsi"/>
                <w:color w:val="000000" w:themeColor="text1"/>
              </w:rPr>
              <w:t>%</w:t>
            </w:r>
          </w:p>
        </w:tc>
      </w:tr>
    </w:tbl>
    <w:bookmarkEnd w:id="0"/>
    <w:p w14:paraId="45617577" w14:textId="7E527FAB" w:rsidR="00555250" w:rsidRPr="00555250" w:rsidRDefault="00555250" w:rsidP="00782D09">
      <w:pPr>
        <w:pStyle w:val="NoSpacing"/>
        <w:spacing w:before="120"/>
        <w:rPr>
          <w:color w:val="7F7F7F" w:themeColor="text1" w:themeTint="80"/>
          <w:sz w:val="16"/>
          <w:szCs w:val="16"/>
        </w:rPr>
      </w:pPr>
      <w:r w:rsidRPr="00555250">
        <w:rPr>
          <w:color w:val="7F7F7F" w:themeColor="text1" w:themeTint="80"/>
          <w:sz w:val="16"/>
          <w:szCs w:val="16"/>
        </w:rPr>
        <w:t xml:space="preserve">Source: </w:t>
      </w:r>
      <w:r w:rsidR="004C5B27">
        <w:rPr>
          <w:color w:val="7F7F7F" w:themeColor="text1" w:themeTint="80"/>
          <w:sz w:val="16"/>
          <w:szCs w:val="16"/>
        </w:rPr>
        <w:t>Circana</w:t>
      </w:r>
      <w:r w:rsidRPr="00555250">
        <w:rPr>
          <w:color w:val="7F7F7F" w:themeColor="text1" w:themeTint="80"/>
          <w:sz w:val="16"/>
          <w:szCs w:val="16"/>
        </w:rPr>
        <w:t xml:space="preserve">, Integrated Fresh, MULO, </w:t>
      </w:r>
      <w:r w:rsidR="007D30DA">
        <w:rPr>
          <w:color w:val="7F7F7F" w:themeColor="text1" w:themeTint="80"/>
          <w:sz w:val="16"/>
          <w:szCs w:val="16"/>
        </w:rPr>
        <w:t>4</w:t>
      </w:r>
      <w:r w:rsidRPr="00555250">
        <w:rPr>
          <w:color w:val="7F7F7F" w:themeColor="text1" w:themeTint="80"/>
          <w:sz w:val="16"/>
          <w:szCs w:val="16"/>
        </w:rPr>
        <w:t xml:space="preserve"> weeks ending </w:t>
      </w:r>
      <w:r w:rsidR="00FC56B0">
        <w:rPr>
          <w:color w:val="7F7F7F" w:themeColor="text1" w:themeTint="80"/>
          <w:sz w:val="16"/>
          <w:szCs w:val="16"/>
        </w:rPr>
        <w:t>12/31</w:t>
      </w:r>
      <w:r w:rsidR="00EB090C">
        <w:rPr>
          <w:color w:val="7F7F7F" w:themeColor="text1" w:themeTint="80"/>
          <w:sz w:val="16"/>
          <w:szCs w:val="16"/>
        </w:rPr>
        <w:t>/2023</w:t>
      </w:r>
    </w:p>
    <w:p w14:paraId="0804BC52" w14:textId="568E8254" w:rsidR="0092088E" w:rsidRDefault="0092088E" w:rsidP="00472B02">
      <w:pPr>
        <w:pStyle w:val="NoSpacing"/>
      </w:pPr>
    </w:p>
    <w:p w14:paraId="59E70896" w14:textId="52CB107E" w:rsidR="004C2808" w:rsidRPr="004462C1" w:rsidRDefault="004C2808" w:rsidP="004462C1">
      <w:pPr>
        <w:pStyle w:val="Heading2"/>
        <w:rPr>
          <w:b/>
          <w:bCs/>
          <w:color w:val="ED7D31" w:themeColor="accent2"/>
        </w:rPr>
      </w:pPr>
      <w:r w:rsidRPr="004462C1">
        <w:rPr>
          <w:b/>
          <w:bCs/>
          <w:color w:val="ED7D31" w:themeColor="accent2"/>
        </w:rPr>
        <w:t>Additional observations:</w:t>
      </w:r>
    </w:p>
    <w:p w14:paraId="22421914" w14:textId="5681FD78" w:rsidR="00C9550B" w:rsidRPr="00B11421" w:rsidRDefault="00C9550B" w:rsidP="00174F0E">
      <w:pPr>
        <w:pStyle w:val="NoSpacing"/>
        <w:numPr>
          <w:ilvl w:val="0"/>
          <w:numId w:val="2"/>
        </w:numPr>
        <w:rPr>
          <w:color w:val="000000" w:themeColor="text1"/>
        </w:rPr>
      </w:pPr>
      <w:r w:rsidRPr="00B11421">
        <w:rPr>
          <w:color w:val="000000" w:themeColor="text1"/>
          <w:u w:val="single"/>
        </w:rPr>
        <w:t>Package size</w:t>
      </w:r>
      <w:r w:rsidRPr="00B11421">
        <w:rPr>
          <w:color w:val="000000" w:themeColor="text1"/>
        </w:rPr>
        <w:t xml:space="preserve">: </w:t>
      </w:r>
      <w:r w:rsidR="00B672D0" w:rsidRPr="00B11421">
        <w:rPr>
          <w:color w:val="000000" w:themeColor="text1"/>
        </w:rPr>
        <w:t>8</w:t>
      </w:r>
      <w:r w:rsidRPr="00B11421">
        <w:rPr>
          <w:color w:val="000000" w:themeColor="text1"/>
        </w:rPr>
        <w:t xml:space="preserve">-ounce packages </w:t>
      </w:r>
      <w:r w:rsidR="00B42A49" w:rsidRPr="00B11421">
        <w:rPr>
          <w:color w:val="000000" w:themeColor="text1"/>
        </w:rPr>
        <w:t xml:space="preserve">generated </w:t>
      </w:r>
      <w:r w:rsidR="0029118F">
        <w:rPr>
          <w:color w:val="000000" w:themeColor="text1"/>
        </w:rPr>
        <w:t>50.5</w:t>
      </w:r>
      <w:r w:rsidR="00B672D0" w:rsidRPr="00B11421">
        <w:rPr>
          <w:color w:val="000000" w:themeColor="text1"/>
        </w:rPr>
        <w:t>% of total sales in the four-week period</w:t>
      </w:r>
      <w:r w:rsidR="00B11421" w:rsidRPr="00B11421">
        <w:rPr>
          <w:color w:val="000000" w:themeColor="text1"/>
        </w:rPr>
        <w:t xml:space="preserve"> and performed better than 16-ounce packages</w:t>
      </w:r>
      <w:r w:rsidRPr="00B11421">
        <w:rPr>
          <w:color w:val="000000" w:themeColor="text1"/>
        </w:rPr>
        <w:t>.</w:t>
      </w:r>
    </w:p>
    <w:p w14:paraId="5A086945" w14:textId="4109532B" w:rsidR="00B11421" w:rsidRPr="00B11421" w:rsidRDefault="004462C1" w:rsidP="00F55B8D">
      <w:pPr>
        <w:pStyle w:val="NoSpacing"/>
        <w:numPr>
          <w:ilvl w:val="0"/>
          <w:numId w:val="2"/>
        </w:numPr>
        <w:rPr>
          <w:color w:val="000000" w:themeColor="text1"/>
        </w:rPr>
      </w:pPr>
      <w:r w:rsidRPr="00B11421">
        <w:rPr>
          <w:color w:val="000000" w:themeColor="text1"/>
          <w:u w:val="single"/>
        </w:rPr>
        <w:t>Organic vs</w:t>
      </w:r>
      <w:r w:rsidR="005B6968" w:rsidRPr="00B11421">
        <w:rPr>
          <w:color w:val="000000" w:themeColor="text1"/>
          <w:u w:val="single"/>
        </w:rPr>
        <w:t>.</w:t>
      </w:r>
      <w:r w:rsidRPr="00B11421">
        <w:rPr>
          <w:color w:val="000000" w:themeColor="text1"/>
          <w:u w:val="single"/>
        </w:rPr>
        <w:t xml:space="preserve"> conventional</w:t>
      </w:r>
      <w:r w:rsidRPr="00B11421">
        <w:rPr>
          <w:color w:val="000000" w:themeColor="text1"/>
        </w:rPr>
        <w:t xml:space="preserve">: Organic </w:t>
      </w:r>
      <w:r w:rsidR="005B6968" w:rsidRPr="00B11421">
        <w:rPr>
          <w:color w:val="000000" w:themeColor="text1"/>
        </w:rPr>
        <w:t xml:space="preserve">mushrooms </w:t>
      </w:r>
      <w:r w:rsidRPr="00B11421">
        <w:rPr>
          <w:color w:val="000000" w:themeColor="text1"/>
        </w:rPr>
        <w:t>made up</w:t>
      </w:r>
      <w:r w:rsidR="007946B0">
        <w:rPr>
          <w:color w:val="000000" w:themeColor="text1"/>
        </w:rPr>
        <w:t xml:space="preserve"> </w:t>
      </w:r>
      <w:r w:rsidR="0029118F">
        <w:rPr>
          <w:color w:val="000000" w:themeColor="text1"/>
        </w:rPr>
        <w:t>10.2</w:t>
      </w:r>
      <w:r w:rsidRPr="00B11421">
        <w:rPr>
          <w:color w:val="000000" w:themeColor="text1"/>
        </w:rPr>
        <w:t xml:space="preserve">% of </w:t>
      </w:r>
      <w:r w:rsidR="00BE7EF2" w:rsidRPr="00B11421">
        <w:rPr>
          <w:color w:val="000000" w:themeColor="text1"/>
        </w:rPr>
        <w:t>pounds</w:t>
      </w:r>
      <w:r w:rsidR="00F12F2D">
        <w:rPr>
          <w:color w:val="000000" w:themeColor="text1"/>
        </w:rPr>
        <w:t>, but sales fell below year ago levels after tracking ahead</w:t>
      </w:r>
      <w:r w:rsidR="00B42A49" w:rsidRPr="00B11421">
        <w:rPr>
          <w:color w:val="000000" w:themeColor="text1"/>
        </w:rPr>
        <w:t xml:space="preserve">. </w:t>
      </w:r>
      <w:r w:rsidR="0009067E" w:rsidRPr="00B11421">
        <w:rPr>
          <w:color w:val="000000" w:themeColor="text1"/>
        </w:rPr>
        <w:t xml:space="preserve">Over the past 52 weeks, </w:t>
      </w:r>
      <w:r w:rsidR="00B11421" w:rsidRPr="00B11421">
        <w:rPr>
          <w:color w:val="000000" w:themeColor="text1"/>
        </w:rPr>
        <w:t>pound</w:t>
      </w:r>
      <w:r w:rsidR="0029118F">
        <w:rPr>
          <w:color w:val="000000" w:themeColor="text1"/>
        </w:rPr>
        <w:t xml:space="preserve"> sales de</w:t>
      </w:r>
      <w:r w:rsidR="00B42A49" w:rsidRPr="00B11421">
        <w:rPr>
          <w:color w:val="000000" w:themeColor="text1"/>
        </w:rPr>
        <w:t xml:space="preserve">creased </w:t>
      </w:r>
      <w:r w:rsidR="0029118F">
        <w:rPr>
          <w:color w:val="000000" w:themeColor="text1"/>
        </w:rPr>
        <w:t>2.9</w:t>
      </w:r>
      <w:r w:rsidR="00B42A49" w:rsidRPr="00B11421">
        <w:rPr>
          <w:color w:val="000000" w:themeColor="text1"/>
        </w:rPr>
        <w:t xml:space="preserve">% </w:t>
      </w:r>
      <w:r w:rsidR="0009067E" w:rsidRPr="00B11421">
        <w:rPr>
          <w:color w:val="000000" w:themeColor="text1"/>
        </w:rPr>
        <w:t>fo</w:t>
      </w:r>
      <w:r w:rsidR="00916DE2" w:rsidRPr="00B11421">
        <w:rPr>
          <w:color w:val="000000" w:themeColor="text1"/>
        </w:rPr>
        <w:t>r organic mushrooms</w:t>
      </w:r>
      <w:r w:rsidR="0009067E" w:rsidRPr="00B11421">
        <w:rPr>
          <w:color w:val="000000" w:themeColor="text1"/>
        </w:rPr>
        <w:t>.</w:t>
      </w:r>
    </w:p>
    <w:p w14:paraId="5CC8E748" w14:textId="54D838A3" w:rsidR="00300A5F" w:rsidRPr="00B11421" w:rsidRDefault="00B11421" w:rsidP="00F55B8D">
      <w:pPr>
        <w:pStyle w:val="NoSpacing"/>
        <w:numPr>
          <w:ilvl w:val="0"/>
          <w:numId w:val="2"/>
        </w:numPr>
        <w:rPr>
          <w:color w:val="000000" w:themeColor="text1"/>
        </w:rPr>
      </w:pPr>
      <w:r w:rsidRPr="00BD7CF0">
        <w:rPr>
          <w:color w:val="000000" w:themeColor="text1"/>
          <w:u w:val="single"/>
        </w:rPr>
        <w:t>Whole vs. sliced/diced</w:t>
      </w:r>
      <w:r>
        <w:rPr>
          <w:color w:val="000000" w:themeColor="text1"/>
        </w:rPr>
        <w:t>: whole mushrooms are outperforming sliced/cut/diced wi</w:t>
      </w:r>
      <w:r w:rsidR="0083255B">
        <w:rPr>
          <w:color w:val="000000" w:themeColor="text1"/>
        </w:rPr>
        <w:t>th</w:t>
      </w:r>
      <w:r w:rsidR="007946B0">
        <w:rPr>
          <w:color w:val="000000" w:themeColor="text1"/>
        </w:rPr>
        <w:t xml:space="preserve"> </w:t>
      </w:r>
      <w:r w:rsidR="001A33F9">
        <w:rPr>
          <w:color w:val="000000" w:themeColor="text1"/>
        </w:rPr>
        <w:t xml:space="preserve">a </w:t>
      </w:r>
      <w:r w:rsidR="007946B0">
        <w:rPr>
          <w:color w:val="000000" w:themeColor="text1"/>
        </w:rPr>
        <w:t xml:space="preserve">volume </w:t>
      </w:r>
      <w:r w:rsidR="001A33F9">
        <w:rPr>
          <w:color w:val="000000" w:themeColor="text1"/>
        </w:rPr>
        <w:t xml:space="preserve">change </w:t>
      </w:r>
      <w:r w:rsidR="007946B0">
        <w:rPr>
          <w:color w:val="000000" w:themeColor="text1"/>
        </w:rPr>
        <w:t xml:space="preserve">of </w:t>
      </w:r>
      <w:r w:rsidR="00AB019A">
        <w:rPr>
          <w:color w:val="000000" w:themeColor="text1"/>
        </w:rPr>
        <w:t>-</w:t>
      </w:r>
      <w:r w:rsidR="0029118F">
        <w:rPr>
          <w:color w:val="000000" w:themeColor="text1"/>
        </w:rPr>
        <w:t>2.9</w:t>
      </w:r>
      <w:r w:rsidR="007946B0">
        <w:rPr>
          <w:color w:val="000000" w:themeColor="text1"/>
        </w:rPr>
        <w:t>% for no preparation and -</w:t>
      </w:r>
      <w:r w:rsidR="00411710">
        <w:rPr>
          <w:color w:val="000000" w:themeColor="text1"/>
        </w:rPr>
        <w:t>7.8</w:t>
      </w:r>
      <w:r>
        <w:rPr>
          <w:color w:val="000000" w:themeColor="text1"/>
        </w:rPr>
        <w:t>% for</w:t>
      </w:r>
      <w:r w:rsidR="007946B0">
        <w:rPr>
          <w:color w:val="000000" w:themeColor="text1"/>
        </w:rPr>
        <w:t xml:space="preserve"> cut/sliced</w:t>
      </w:r>
      <w:r w:rsidR="001A33F9">
        <w:rPr>
          <w:color w:val="000000" w:themeColor="text1"/>
        </w:rPr>
        <w:t xml:space="preserve"> mushrooms</w:t>
      </w:r>
      <w:r w:rsidR="007946B0">
        <w:rPr>
          <w:color w:val="000000" w:themeColor="text1"/>
        </w:rPr>
        <w:t xml:space="preserve">, which reflect </w:t>
      </w:r>
      <w:r w:rsidR="00411710">
        <w:rPr>
          <w:color w:val="000000" w:themeColor="text1"/>
        </w:rPr>
        <w:t>44.5</w:t>
      </w:r>
      <w:r>
        <w:rPr>
          <w:color w:val="000000" w:themeColor="text1"/>
        </w:rPr>
        <w:t xml:space="preserve">% of pound sales. </w:t>
      </w:r>
      <w:r w:rsidR="0009067E" w:rsidRPr="00B11421">
        <w:rPr>
          <w:color w:val="000000" w:themeColor="text1"/>
        </w:rPr>
        <w:t xml:space="preserve"> </w:t>
      </w:r>
    </w:p>
    <w:p w14:paraId="780AB35F" w14:textId="77777777" w:rsidR="000E0D6B" w:rsidRPr="00B11421" w:rsidRDefault="000E0D6B" w:rsidP="00C9550B">
      <w:pPr>
        <w:pStyle w:val="NoSpacing"/>
        <w:rPr>
          <w:color w:val="000000" w:themeColor="text1"/>
          <w:sz w:val="14"/>
          <w:szCs w:val="14"/>
        </w:rPr>
      </w:pPr>
    </w:p>
    <w:p w14:paraId="5DBFDF80" w14:textId="0BD1943F" w:rsidR="00B34EF7" w:rsidRPr="00B34EF7" w:rsidRDefault="00782D09" w:rsidP="00C9550B">
      <w:pPr>
        <w:pStyle w:val="NoSpacing"/>
      </w:pPr>
      <w:r w:rsidRPr="00EB30C7">
        <w:rPr>
          <w:color w:val="7F7F7F" w:themeColor="text1" w:themeTint="80"/>
          <w:sz w:val="16"/>
          <w:szCs w:val="16"/>
        </w:rPr>
        <w:t xml:space="preserve">Source: </w:t>
      </w:r>
      <w:r w:rsidR="004C5B27">
        <w:rPr>
          <w:color w:val="7F7F7F" w:themeColor="text1" w:themeTint="80"/>
          <w:sz w:val="16"/>
          <w:szCs w:val="16"/>
        </w:rPr>
        <w:t>Circana</w:t>
      </w:r>
      <w:r w:rsidRPr="00EB30C7">
        <w:rPr>
          <w:color w:val="7F7F7F" w:themeColor="text1" w:themeTint="80"/>
          <w:sz w:val="16"/>
          <w:szCs w:val="16"/>
        </w:rPr>
        <w:t xml:space="preserve">, Integrated Fresh, MULO, </w:t>
      </w:r>
      <w:r w:rsidR="004B7951" w:rsidRPr="00EB30C7">
        <w:rPr>
          <w:color w:val="7F7F7F" w:themeColor="text1" w:themeTint="80"/>
          <w:sz w:val="16"/>
          <w:szCs w:val="16"/>
        </w:rPr>
        <w:t>4</w:t>
      </w:r>
      <w:r w:rsidR="0009067E">
        <w:rPr>
          <w:color w:val="7F7F7F" w:themeColor="text1" w:themeTint="80"/>
          <w:sz w:val="16"/>
          <w:szCs w:val="16"/>
        </w:rPr>
        <w:t xml:space="preserve"> or 52</w:t>
      </w:r>
      <w:r w:rsidRPr="00EB30C7">
        <w:rPr>
          <w:color w:val="7F7F7F" w:themeColor="text1" w:themeTint="80"/>
          <w:sz w:val="16"/>
          <w:szCs w:val="16"/>
        </w:rPr>
        <w:t xml:space="preserve"> weeks ending </w:t>
      </w:r>
      <w:r w:rsidR="00FC56B0">
        <w:rPr>
          <w:color w:val="7F7F7F" w:themeColor="text1" w:themeTint="80"/>
          <w:sz w:val="16"/>
          <w:szCs w:val="16"/>
        </w:rPr>
        <w:t>12/31</w:t>
      </w:r>
      <w:r w:rsidR="00EB090C">
        <w:rPr>
          <w:color w:val="7F7F7F" w:themeColor="text1" w:themeTint="80"/>
          <w:sz w:val="16"/>
          <w:szCs w:val="16"/>
        </w:rPr>
        <w:t>/2023</w:t>
      </w:r>
      <w:r w:rsidR="00B34EF7">
        <w:t xml:space="preserve"> </w:t>
      </w:r>
    </w:p>
    <w:sectPr w:rsidR="00B34EF7" w:rsidRPr="00B34EF7" w:rsidSect="009D40C5">
      <w:pgSz w:w="12240" w:h="15840"/>
      <w:pgMar w:top="720" w:right="1080" w:bottom="90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E9457" w14:textId="77777777" w:rsidR="009D40C5" w:rsidRDefault="009D40C5" w:rsidP="004E49DD">
      <w:pPr>
        <w:spacing w:after="0" w:line="240" w:lineRule="auto"/>
      </w:pPr>
      <w:r>
        <w:separator/>
      </w:r>
    </w:p>
  </w:endnote>
  <w:endnote w:type="continuationSeparator" w:id="0">
    <w:p w14:paraId="3CFABC9E" w14:textId="77777777" w:rsidR="009D40C5" w:rsidRDefault="009D40C5" w:rsidP="004E4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6E3A1" w14:textId="77777777" w:rsidR="009D40C5" w:rsidRDefault="009D40C5" w:rsidP="004E49DD">
      <w:pPr>
        <w:spacing w:after="0" w:line="240" w:lineRule="auto"/>
      </w:pPr>
      <w:r>
        <w:separator/>
      </w:r>
    </w:p>
  </w:footnote>
  <w:footnote w:type="continuationSeparator" w:id="0">
    <w:p w14:paraId="2A699C81" w14:textId="77777777" w:rsidR="009D40C5" w:rsidRDefault="009D40C5" w:rsidP="004E4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7DB0"/>
    <w:multiLevelType w:val="hybridMultilevel"/>
    <w:tmpl w:val="4F1C3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E75F2"/>
    <w:multiLevelType w:val="hybridMultilevel"/>
    <w:tmpl w:val="3E080B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106E38"/>
    <w:multiLevelType w:val="hybridMultilevel"/>
    <w:tmpl w:val="682851D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0C5748"/>
    <w:multiLevelType w:val="hybridMultilevel"/>
    <w:tmpl w:val="6DF848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FC3B04"/>
    <w:multiLevelType w:val="hybridMultilevel"/>
    <w:tmpl w:val="7F3CC4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3B0A5F"/>
    <w:multiLevelType w:val="hybridMultilevel"/>
    <w:tmpl w:val="07A24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260834"/>
    <w:multiLevelType w:val="hybridMultilevel"/>
    <w:tmpl w:val="E31420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632060"/>
    <w:multiLevelType w:val="hybridMultilevel"/>
    <w:tmpl w:val="727C6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543B87"/>
    <w:multiLevelType w:val="hybridMultilevel"/>
    <w:tmpl w:val="F7BE00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97271D"/>
    <w:multiLevelType w:val="hybridMultilevel"/>
    <w:tmpl w:val="6812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92F24"/>
    <w:multiLevelType w:val="hybridMultilevel"/>
    <w:tmpl w:val="B5BC8C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4309E8"/>
    <w:multiLevelType w:val="hybridMultilevel"/>
    <w:tmpl w:val="0F663C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185B61"/>
    <w:multiLevelType w:val="hybridMultilevel"/>
    <w:tmpl w:val="E54C3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39032F"/>
    <w:multiLevelType w:val="hybridMultilevel"/>
    <w:tmpl w:val="2C6C9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C266F7"/>
    <w:multiLevelType w:val="hybridMultilevel"/>
    <w:tmpl w:val="AB3EF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1B0A5F"/>
    <w:multiLevelType w:val="hybridMultilevel"/>
    <w:tmpl w:val="20560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214409"/>
    <w:multiLevelType w:val="hybridMultilevel"/>
    <w:tmpl w:val="3BF6A0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BC79E5"/>
    <w:multiLevelType w:val="hybridMultilevel"/>
    <w:tmpl w:val="36A25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DD128A"/>
    <w:multiLevelType w:val="hybridMultilevel"/>
    <w:tmpl w:val="E18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FBD39AD"/>
    <w:multiLevelType w:val="hybridMultilevel"/>
    <w:tmpl w:val="3A285B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4820719">
    <w:abstractNumId w:val="9"/>
  </w:num>
  <w:num w:numId="2" w16cid:durableId="739987886">
    <w:abstractNumId w:val="11"/>
  </w:num>
  <w:num w:numId="3" w16cid:durableId="626590477">
    <w:abstractNumId w:val="13"/>
  </w:num>
  <w:num w:numId="4" w16cid:durableId="1271816547">
    <w:abstractNumId w:val="4"/>
  </w:num>
  <w:num w:numId="5" w16cid:durableId="1832714364">
    <w:abstractNumId w:val="17"/>
  </w:num>
  <w:num w:numId="6" w16cid:durableId="990792969">
    <w:abstractNumId w:val="12"/>
  </w:num>
  <w:num w:numId="7" w16cid:durableId="812331036">
    <w:abstractNumId w:val="6"/>
  </w:num>
  <w:num w:numId="8" w16cid:durableId="2078474989">
    <w:abstractNumId w:val="3"/>
  </w:num>
  <w:num w:numId="9" w16cid:durableId="223295540">
    <w:abstractNumId w:val="1"/>
  </w:num>
  <w:num w:numId="10" w16cid:durableId="1118839719">
    <w:abstractNumId w:val="15"/>
  </w:num>
  <w:num w:numId="11" w16cid:durableId="1456211450">
    <w:abstractNumId w:val="2"/>
  </w:num>
  <w:num w:numId="12" w16cid:durableId="980353650">
    <w:abstractNumId w:val="14"/>
  </w:num>
  <w:num w:numId="13" w16cid:durableId="635262645">
    <w:abstractNumId w:val="5"/>
  </w:num>
  <w:num w:numId="14" w16cid:durableId="387193271">
    <w:abstractNumId w:val="7"/>
  </w:num>
  <w:num w:numId="15" w16cid:durableId="696200725">
    <w:abstractNumId w:val="19"/>
  </w:num>
  <w:num w:numId="16" w16cid:durableId="1214659095">
    <w:abstractNumId w:val="0"/>
  </w:num>
  <w:num w:numId="17" w16cid:durableId="107238049">
    <w:abstractNumId w:val="10"/>
  </w:num>
  <w:num w:numId="18" w16cid:durableId="97332161">
    <w:abstractNumId w:val="18"/>
  </w:num>
  <w:num w:numId="19" w16cid:durableId="209419901">
    <w:abstractNumId w:val="8"/>
  </w:num>
  <w:num w:numId="20" w16cid:durableId="12089546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F7"/>
    <w:rsid w:val="00002FF4"/>
    <w:rsid w:val="00014870"/>
    <w:rsid w:val="00015E7B"/>
    <w:rsid w:val="00026928"/>
    <w:rsid w:val="00030ABF"/>
    <w:rsid w:val="00035D16"/>
    <w:rsid w:val="0003642F"/>
    <w:rsid w:val="00040942"/>
    <w:rsid w:val="0004266D"/>
    <w:rsid w:val="00044279"/>
    <w:rsid w:val="00047054"/>
    <w:rsid w:val="00052654"/>
    <w:rsid w:val="0005390A"/>
    <w:rsid w:val="00057984"/>
    <w:rsid w:val="00070F7C"/>
    <w:rsid w:val="0007328F"/>
    <w:rsid w:val="00074705"/>
    <w:rsid w:val="0007660D"/>
    <w:rsid w:val="000809C3"/>
    <w:rsid w:val="00085508"/>
    <w:rsid w:val="00085F10"/>
    <w:rsid w:val="00090109"/>
    <w:rsid w:val="0009067E"/>
    <w:rsid w:val="000963FA"/>
    <w:rsid w:val="000A4146"/>
    <w:rsid w:val="000C1DF9"/>
    <w:rsid w:val="000C29FA"/>
    <w:rsid w:val="000C3CC4"/>
    <w:rsid w:val="000D5A69"/>
    <w:rsid w:val="000D7A79"/>
    <w:rsid w:val="000E0D6B"/>
    <w:rsid w:val="000E2A1D"/>
    <w:rsid w:val="000E537C"/>
    <w:rsid w:val="000E61FF"/>
    <w:rsid w:val="001026FB"/>
    <w:rsid w:val="001055A7"/>
    <w:rsid w:val="001119BD"/>
    <w:rsid w:val="00113A33"/>
    <w:rsid w:val="0011683C"/>
    <w:rsid w:val="00117FE8"/>
    <w:rsid w:val="00124C8B"/>
    <w:rsid w:val="00124CB7"/>
    <w:rsid w:val="00133971"/>
    <w:rsid w:val="00137C12"/>
    <w:rsid w:val="00142A42"/>
    <w:rsid w:val="00145E27"/>
    <w:rsid w:val="00164656"/>
    <w:rsid w:val="00170260"/>
    <w:rsid w:val="00184281"/>
    <w:rsid w:val="001A33F9"/>
    <w:rsid w:val="001A4D44"/>
    <w:rsid w:val="001A601E"/>
    <w:rsid w:val="001B1351"/>
    <w:rsid w:val="001B18A2"/>
    <w:rsid w:val="001B762B"/>
    <w:rsid w:val="001C4DB2"/>
    <w:rsid w:val="001D16CA"/>
    <w:rsid w:val="001D2675"/>
    <w:rsid w:val="001D4C76"/>
    <w:rsid w:val="00200AD1"/>
    <w:rsid w:val="00221F2D"/>
    <w:rsid w:val="00222054"/>
    <w:rsid w:val="002225C6"/>
    <w:rsid w:val="00224A21"/>
    <w:rsid w:val="002253FE"/>
    <w:rsid w:val="0022580E"/>
    <w:rsid w:val="00226D0D"/>
    <w:rsid w:val="00232F2D"/>
    <w:rsid w:val="00240137"/>
    <w:rsid w:val="002437CE"/>
    <w:rsid w:val="00251BBC"/>
    <w:rsid w:val="00264BA7"/>
    <w:rsid w:val="00264EDA"/>
    <w:rsid w:val="002712E8"/>
    <w:rsid w:val="00273580"/>
    <w:rsid w:val="00276C09"/>
    <w:rsid w:val="00277D7C"/>
    <w:rsid w:val="00281498"/>
    <w:rsid w:val="00283DB2"/>
    <w:rsid w:val="00284A86"/>
    <w:rsid w:val="0029118F"/>
    <w:rsid w:val="00291F75"/>
    <w:rsid w:val="00292678"/>
    <w:rsid w:val="002B3879"/>
    <w:rsid w:val="002B7DCE"/>
    <w:rsid w:val="002B7E48"/>
    <w:rsid w:val="002E2CD2"/>
    <w:rsid w:val="002F23A1"/>
    <w:rsid w:val="002F442E"/>
    <w:rsid w:val="00300A5F"/>
    <w:rsid w:val="003045B7"/>
    <w:rsid w:val="003070A2"/>
    <w:rsid w:val="0031233D"/>
    <w:rsid w:val="00312734"/>
    <w:rsid w:val="00314DA1"/>
    <w:rsid w:val="00322039"/>
    <w:rsid w:val="003223C7"/>
    <w:rsid w:val="00323F77"/>
    <w:rsid w:val="003263AC"/>
    <w:rsid w:val="003305B1"/>
    <w:rsid w:val="00337F18"/>
    <w:rsid w:val="00347118"/>
    <w:rsid w:val="00347E3A"/>
    <w:rsid w:val="003534A1"/>
    <w:rsid w:val="003621B3"/>
    <w:rsid w:val="00362BB1"/>
    <w:rsid w:val="003648C5"/>
    <w:rsid w:val="00375863"/>
    <w:rsid w:val="00395541"/>
    <w:rsid w:val="00396448"/>
    <w:rsid w:val="003A3323"/>
    <w:rsid w:val="003A5AFE"/>
    <w:rsid w:val="003A6A4B"/>
    <w:rsid w:val="003C014B"/>
    <w:rsid w:val="003C1DD2"/>
    <w:rsid w:val="003C4CCE"/>
    <w:rsid w:val="003C72DD"/>
    <w:rsid w:val="003D184D"/>
    <w:rsid w:val="003D3BDA"/>
    <w:rsid w:val="003D5B00"/>
    <w:rsid w:val="003D6A0F"/>
    <w:rsid w:val="003E466E"/>
    <w:rsid w:val="003E61D0"/>
    <w:rsid w:val="003E75D3"/>
    <w:rsid w:val="003F77CF"/>
    <w:rsid w:val="00403666"/>
    <w:rsid w:val="00406762"/>
    <w:rsid w:val="00411710"/>
    <w:rsid w:val="00417945"/>
    <w:rsid w:val="00421D7D"/>
    <w:rsid w:val="00423CCF"/>
    <w:rsid w:val="00445779"/>
    <w:rsid w:val="004462C1"/>
    <w:rsid w:val="00451263"/>
    <w:rsid w:val="00455F77"/>
    <w:rsid w:val="0045625B"/>
    <w:rsid w:val="0045784D"/>
    <w:rsid w:val="00461D8C"/>
    <w:rsid w:val="00467FB5"/>
    <w:rsid w:val="00471DC7"/>
    <w:rsid w:val="00472B02"/>
    <w:rsid w:val="0047570E"/>
    <w:rsid w:val="00476A3C"/>
    <w:rsid w:val="00476C12"/>
    <w:rsid w:val="00483711"/>
    <w:rsid w:val="00485429"/>
    <w:rsid w:val="00487F75"/>
    <w:rsid w:val="00496964"/>
    <w:rsid w:val="004A3A95"/>
    <w:rsid w:val="004A50D2"/>
    <w:rsid w:val="004B6371"/>
    <w:rsid w:val="004B7951"/>
    <w:rsid w:val="004C088A"/>
    <w:rsid w:val="004C1DB1"/>
    <w:rsid w:val="004C2808"/>
    <w:rsid w:val="004C5B27"/>
    <w:rsid w:val="004C625A"/>
    <w:rsid w:val="004E1EE4"/>
    <w:rsid w:val="004E49DD"/>
    <w:rsid w:val="004E4F69"/>
    <w:rsid w:val="004E6889"/>
    <w:rsid w:val="004F4C4D"/>
    <w:rsid w:val="004F7487"/>
    <w:rsid w:val="00504377"/>
    <w:rsid w:val="00504861"/>
    <w:rsid w:val="005049A9"/>
    <w:rsid w:val="00511CD0"/>
    <w:rsid w:val="00525F06"/>
    <w:rsid w:val="00526E95"/>
    <w:rsid w:val="00527BE9"/>
    <w:rsid w:val="00535D22"/>
    <w:rsid w:val="0054182D"/>
    <w:rsid w:val="00541AFF"/>
    <w:rsid w:val="00543607"/>
    <w:rsid w:val="0055095F"/>
    <w:rsid w:val="00552C5D"/>
    <w:rsid w:val="005547EE"/>
    <w:rsid w:val="00555250"/>
    <w:rsid w:val="005571F3"/>
    <w:rsid w:val="00562346"/>
    <w:rsid w:val="0056284A"/>
    <w:rsid w:val="00591D5D"/>
    <w:rsid w:val="0059588E"/>
    <w:rsid w:val="005A3316"/>
    <w:rsid w:val="005A54F2"/>
    <w:rsid w:val="005B1FEE"/>
    <w:rsid w:val="005B6968"/>
    <w:rsid w:val="005C6AEE"/>
    <w:rsid w:val="005C75C7"/>
    <w:rsid w:val="005E1A66"/>
    <w:rsid w:val="005E212C"/>
    <w:rsid w:val="005E5127"/>
    <w:rsid w:val="005F1173"/>
    <w:rsid w:val="006035CB"/>
    <w:rsid w:val="00606FA3"/>
    <w:rsid w:val="00615709"/>
    <w:rsid w:val="00617504"/>
    <w:rsid w:val="00620ED9"/>
    <w:rsid w:val="00621E2A"/>
    <w:rsid w:val="00630F34"/>
    <w:rsid w:val="00632993"/>
    <w:rsid w:val="00645A58"/>
    <w:rsid w:val="006617FB"/>
    <w:rsid w:val="006636C7"/>
    <w:rsid w:val="00666D40"/>
    <w:rsid w:val="006673B8"/>
    <w:rsid w:val="0066746E"/>
    <w:rsid w:val="00677889"/>
    <w:rsid w:val="00684918"/>
    <w:rsid w:val="00694050"/>
    <w:rsid w:val="00697E4D"/>
    <w:rsid w:val="006A1766"/>
    <w:rsid w:val="006A7A6E"/>
    <w:rsid w:val="006C6780"/>
    <w:rsid w:val="006E50F3"/>
    <w:rsid w:val="006F1F55"/>
    <w:rsid w:val="006F64AE"/>
    <w:rsid w:val="006F765A"/>
    <w:rsid w:val="00706FA9"/>
    <w:rsid w:val="007070AC"/>
    <w:rsid w:val="0071051A"/>
    <w:rsid w:val="007106F4"/>
    <w:rsid w:val="00730897"/>
    <w:rsid w:val="00731BCD"/>
    <w:rsid w:val="00734289"/>
    <w:rsid w:val="007501A6"/>
    <w:rsid w:val="00752CD4"/>
    <w:rsid w:val="007764C7"/>
    <w:rsid w:val="00782D09"/>
    <w:rsid w:val="00785D0D"/>
    <w:rsid w:val="00787BBD"/>
    <w:rsid w:val="007946B0"/>
    <w:rsid w:val="00795483"/>
    <w:rsid w:val="007A01C9"/>
    <w:rsid w:val="007A0B40"/>
    <w:rsid w:val="007A67D7"/>
    <w:rsid w:val="007B4A25"/>
    <w:rsid w:val="007C6DB2"/>
    <w:rsid w:val="007D30DA"/>
    <w:rsid w:val="007D3393"/>
    <w:rsid w:val="007D33D8"/>
    <w:rsid w:val="007D3D1C"/>
    <w:rsid w:val="007F098A"/>
    <w:rsid w:val="007F1F55"/>
    <w:rsid w:val="007F35D3"/>
    <w:rsid w:val="007F7149"/>
    <w:rsid w:val="007F7823"/>
    <w:rsid w:val="00802E32"/>
    <w:rsid w:val="00826014"/>
    <w:rsid w:val="0083255B"/>
    <w:rsid w:val="00832F0A"/>
    <w:rsid w:val="00837283"/>
    <w:rsid w:val="00851AC9"/>
    <w:rsid w:val="0086198D"/>
    <w:rsid w:val="0086536E"/>
    <w:rsid w:val="00866A7D"/>
    <w:rsid w:val="00873884"/>
    <w:rsid w:val="008815E3"/>
    <w:rsid w:val="008857EE"/>
    <w:rsid w:val="008A084A"/>
    <w:rsid w:val="008A1DBB"/>
    <w:rsid w:val="008A56E2"/>
    <w:rsid w:val="008B128D"/>
    <w:rsid w:val="008B46B0"/>
    <w:rsid w:val="008B633D"/>
    <w:rsid w:val="008B6971"/>
    <w:rsid w:val="008B7FFD"/>
    <w:rsid w:val="008C7975"/>
    <w:rsid w:val="008D2A88"/>
    <w:rsid w:val="008D3EBE"/>
    <w:rsid w:val="008E48B1"/>
    <w:rsid w:val="008F2AA0"/>
    <w:rsid w:val="008F5801"/>
    <w:rsid w:val="009040DB"/>
    <w:rsid w:val="0090410F"/>
    <w:rsid w:val="00904C5C"/>
    <w:rsid w:val="00910CD7"/>
    <w:rsid w:val="00911960"/>
    <w:rsid w:val="009169B9"/>
    <w:rsid w:val="00916DE2"/>
    <w:rsid w:val="0092088E"/>
    <w:rsid w:val="00920FBD"/>
    <w:rsid w:val="009232D4"/>
    <w:rsid w:val="00926E8A"/>
    <w:rsid w:val="00927EAC"/>
    <w:rsid w:val="009362D0"/>
    <w:rsid w:val="0094103D"/>
    <w:rsid w:val="00941C01"/>
    <w:rsid w:val="0094219B"/>
    <w:rsid w:val="00943FF6"/>
    <w:rsid w:val="009442FF"/>
    <w:rsid w:val="00956FE2"/>
    <w:rsid w:val="00957F25"/>
    <w:rsid w:val="00972570"/>
    <w:rsid w:val="00975AF5"/>
    <w:rsid w:val="00977F7F"/>
    <w:rsid w:val="00986D1F"/>
    <w:rsid w:val="009B0330"/>
    <w:rsid w:val="009B3A61"/>
    <w:rsid w:val="009B71AE"/>
    <w:rsid w:val="009B7AC3"/>
    <w:rsid w:val="009D40C5"/>
    <w:rsid w:val="009D5574"/>
    <w:rsid w:val="009D6711"/>
    <w:rsid w:val="009F6363"/>
    <w:rsid w:val="00A00697"/>
    <w:rsid w:val="00A050F9"/>
    <w:rsid w:val="00A13601"/>
    <w:rsid w:val="00A142BB"/>
    <w:rsid w:val="00A14586"/>
    <w:rsid w:val="00A14C2B"/>
    <w:rsid w:val="00A30FD1"/>
    <w:rsid w:val="00A337DE"/>
    <w:rsid w:val="00A41711"/>
    <w:rsid w:val="00A43A45"/>
    <w:rsid w:val="00A45D51"/>
    <w:rsid w:val="00A50806"/>
    <w:rsid w:val="00A5084B"/>
    <w:rsid w:val="00A51F5B"/>
    <w:rsid w:val="00A52411"/>
    <w:rsid w:val="00A52B14"/>
    <w:rsid w:val="00A52EB4"/>
    <w:rsid w:val="00A53BAA"/>
    <w:rsid w:val="00A542DA"/>
    <w:rsid w:val="00A657C4"/>
    <w:rsid w:val="00A668C3"/>
    <w:rsid w:val="00A70428"/>
    <w:rsid w:val="00A72B72"/>
    <w:rsid w:val="00A80980"/>
    <w:rsid w:val="00A94A88"/>
    <w:rsid w:val="00A95B14"/>
    <w:rsid w:val="00A96E20"/>
    <w:rsid w:val="00AA721E"/>
    <w:rsid w:val="00AB019A"/>
    <w:rsid w:val="00AB06EA"/>
    <w:rsid w:val="00AC2BFD"/>
    <w:rsid w:val="00AC2C09"/>
    <w:rsid w:val="00AC5D3F"/>
    <w:rsid w:val="00AD30B8"/>
    <w:rsid w:val="00AD7044"/>
    <w:rsid w:val="00AE0F54"/>
    <w:rsid w:val="00AE32A2"/>
    <w:rsid w:val="00AE7908"/>
    <w:rsid w:val="00AF14BD"/>
    <w:rsid w:val="00AF55E3"/>
    <w:rsid w:val="00AF5F52"/>
    <w:rsid w:val="00B01FA0"/>
    <w:rsid w:val="00B03343"/>
    <w:rsid w:val="00B0627A"/>
    <w:rsid w:val="00B11421"/>
    <w:rsid w:val="00B135D9"/>
    <w:rsid w:val="00B13706"/>
    <w:rsid w:val="00B1715B"/>
    <w:rsid w:val="00B24BBD"/>
    <w:rsid w:val="00B25DFD"/>
    <w:rsid w:val="00B33A73"/>
    <w:rsid w:val="00B34EF7"/>
    <w:rsid w:val="00B362B8"/>
    <w:rsid w:val="00B40C43"/>
    <w:rsid w:val="00B42A49"/>
    <w:rsid w:val="00B42A84"/>
    <w:rsid w:val="00B542D1"/>
    <w:rsid w:val="00B562D5"/>
    <w:rsid w:val="00B66E92"/>
    <w:rsid w:val="00B672D0"/>
    <w:rsid w:val="00B8232B"/>
    <w:rsid w:val="00B9392A"/>
    <w:rsid w:val="00B96FC1"/>
    <w:rsid w:val="00B979CF"/>
    <w:rsid w:val="00BB03F4"/>
    <w:rsid w:val="00BB197D"/>
    <w:rsid w:val="00BC1A46"/>
    <w:rsid w:val="00BC34B2"/>
    <w:rsid w:val="00BC63FC"/>
    <w:rsid w:val="00BD7CF0"/>
    <w:rsid w:val="00BE7EF2"/>
    <w:rsid w:val="00BF2F6B"/>
    <w:rsid w:val="00BF3DAE"/>
    <w:rsid w:val="00BF5D9C"/>
    <w:rsid w:val="00BF62D3"/>
    <w:rsid w:val="00BF713B"/>
    <w:rsid w:val="00C00809"/>
    <w:rsid w:val="00C00CFD"/>
    <w:rsid w:val="00C0288B"/>
    <w:rsid w:val="00C12877"/>
    <w:rsid w:val="00C12E18"/>
    <w:rsid w:val="00C329D7"/>
    <w:rsid w:val="00C3770B"/>
    <w:rsid w:val="00C422D1"/>
    <w:rsid w:val="00C469D3"/>
    <w:rsid w:val="00C61921"/>
    <w:rsid w:val="00C65479"/>
    <w:rsid w:val="00C71FDD"/>
    <w:rsid w:val="00C72284"/>
    <w:rsid w:val="00C81CBF"/>
    <w:rsid w:val="00C8545B"/>
    <w:rsid w:val="00C92074"/>
    <w:rsid w:val="00C954F2"/>
    <w:rsid w:val="00C9550B"/>
    <w:rsid w:val="00CB0BBD"/>
    <w:rsid w:val="00CB4067"/>
    <w:rsid w:val="00CB592A"/>
    <w:rsid w:val="00CB6109"/>
    <w:rsid w:val="00CE27CF"/>
    <w:rsid w:val="00CE4BEB"/>
    <w:rsid w:val="00CE621C"/>
    <w:rsid w:val="00D03B05"/>
    <w:rsid w:val="00D116C0"/>
    <w:rsid w:val="00D1241B"/>
    <w:rsid w:val="00D131C5"/>
    <w:rsid w:val="00D14991"/>
    <w:rsid w:val="00D2073F"/>
    <w:rsid w:val="00D22E21"/>
    <w:rsid w:val="00D26DE8"/>
    <w:rsid w:val="00D305A5"/>
    <w:rsid w:val="00D31C81"/>
    <w:rsid w:val="00D44344"/>
    <w:rsid w:val="00D4752E"/>
    <w:rsid w:val="00D55AB1"/>
    <w:rsid w:val="00D66EF8"/>
    <w:rsid w:val="00D81FBA"/>
    <w:rsid w:val="00D8225F"/>
    <w:rsid w:val="00D8798E"/>
    <w:rsid w:val="00D9097A"/>
    <w:rsid w:val="00D96AEE"/>
    <w:rsid w:val="00D97BC7"/>
    <w:rsid w:val="00DA553C"/>
    <w:rsid w:val="00DB764D"/>
    <w:rsid w:val="00DD1737"/>
    <w:rsid w:val="00DD58ED"/>
    <w:rsid w:val="00DD59DA"/>
    <w:rsid w:val="00DE4C4C"/>
    <w:rsid w:val="00DE66CE"/>
    <w:rsid w:val="00E20285"/>
    <w:rsid w:val="00E20E22"/>
    <w:rsid w:val="00E22317"/>
    <w:rsid w:val="00E229C8"/>
    <w:rsid w:val="00E23359"/>
    <w:rsid w:val="00E26986"/>
    <w:rsid w:val="00E26AD1"/>
    <w:rsid w:val="00E34CF4"/>
    <w:rsid w:val="00E37DF5"/>
    <w:rsid w:val="00E4438B"/>
    <w:rsid w:val="00E477C3"/>
    <w:rsid w:val="00E508BB"/>
    <w:rsid w:val="00E54683"/>
    <w:rsid w:val="00E57C49"/>
    <w:rsid w:val="00E629E0"/>
    <w:rsid w:val="00E65269"/>
    <w:rsid w:val="00E65A4C"/>
    <w:rsid w:val="00E758A0"/>
    <w:rsid w:val="00E81634"/>
    <w:rsid w:val="00E85C62"/>
    <w:rsid w:val="00EA0CB5"/>
    <w:rsid w:val="00EB090C"/>
    <w:rsid w:val="00EB30C7"/>
    <w:rsid w:val="00ED0859"/>
    <w:rsid w:val="00ED2B2E"/>
    <w:rsid w:val="00EE6AB6"/>
    <w:rsid w:val="00EF1E09"/>
    <w:rsid w:val="00EF20EE"/>
    <w:rsid w:val="00EF25E4"/>
    <w:rsid w:val="00F02776"/>
    <w:rsid w:val="00F04FAB"/>
    <w:rsid w:val="00F0742E"/>
    <w:rsid w:val="00F12F2D"/>
    <w:rsid w:val="00F16E5F"/>
    <w:rsid w:val="00F20BAF"/>
    <w:rsid w:val="00F24969"/>
    <w:rsid w:val="00F26DD2"/>
    <w:rsid w:val="00F273C5"/>
    <w:rsid w:val="00F31822"/>
    <w:rsid w:val="00F40BC0"/>
    <w:rsid w:val="00F4460A"/>
    <w:rsid w:val="00F47EA1"/>
    <w:rsid w:val="00F55228"/>
    <w:rsid w:val="00F57DFC"/>
    <w:rsid w:val="00F65EBE"/>
    <w:rsid w:val="00F71485"/>
    <w:rsid w:val="00F800A5"/>
    <w:rsid w:val="00F86B08"/>
    <w:rsid w:val="00F93404"/>
    <w:rsid w:val="00F96C98"/>
    <w:rsid w:val="00FA1CDF"/>
    <w:rsid w:val="00FB15C0"/>
    <w:rsid w:val="00FC01AA"/>
    <w:rsid w:val="00FC364A"/>
    <w:rsid w:val="00FC53C7"/>
    <w:rsid w:val="00FC56B0"/>
    <w:rsid w:val="00FE6030"/>
    <w:rsid w:val="00FF2D4A"/>
    <w:rsid w:val="00FF42F9"/>
    <w:rsid w:val="00F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C26CF"/>
  <w15:chartTrackingRefBased/>
  <w15:docId w15:val="{88E0E6D9-E49F-4D55-878F-F966AA63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E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7E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34EF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B34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20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4">
    <w:name w:val="List Table 3 Accent 4"/>
    <w:basedOn w:val="TableNormal"/>
    <w:uiPriority w:val="48"/>
    <w:rsid w:val="00124CB7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24CB7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927E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LightShading-Accent5">
    <w:name w:val="Light Shading Accent 5"/>
    <w:basedOn w:val="TableNormal"/>
    <w:uiPriority w:val="60"/>
    <w:rsid w:val="00D9097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D9097A"/>
  </w:style>
  <w:style w:type="table" w:styleId="GridTable4-Accent2">
    <w:name w:val="Grid Table 4 Accent 2"/>
    <w:basedOn w:val="TableNormal"/>
    <w:uiPriority w:val="49"/>
    <w:rsid w:val="00EE6AB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E4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9DD"/>
  </w:style>
  <w:style w:type="paragraph" w:styleId="Footer">
    <w:name w:val="footer"/>
    <w:basedOn w:val="Normal"/>
    <w:link w:val="FooterChar"/>
    <w:uiPriority w:val="99"/>
    <w:unhideWhenUsed/>
    <w:rsid w:val="004E4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9DD"/>
  </w:style>
  <w:style w:type="table" w:styleId="ListTable6Colorful-Accent2">
    <w:name w:val="List Table 6 Colorful Accent 2"/>
    <w:basedOn w:val="TableNormal"/>
    <w:uiPriority w:val="51"/>
    <w:rsid w:val="00184281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aliases w:val="FooterText,Bullet List,cS List Paragraph,numbered,Paragraphe de liste1,Bulletr List Paragraph,列  出  段  落,列  出  段  落  1,List Paragraph2,List Paragraph21,List Paragraph11,Parágrafo da Lista1,Párrafo de lista1,リ  ス  ト  段  落  1,Listeafsnit1"/>
    <w:basedOn w:val="Normal"/>
    <w:link w:val="ListParagraphChar"/>
    <w:uiPriority w:val="99"/>
    <w:qFormat/>
    <w:rsid w:val="007764C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20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ListTable1Light-Accent4">
    <w:name w:val="List Table 1 Light Accent 4"/>
    <w:basedOn w:val="TableNormal"/>
    <w:uiPriority w:val="46"/>
    <w:rsid w:val="005B1F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222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customStyle="1" w:styleId="ListParagraphChar">
    <w:name w:val="List Paragraph Char"/>
    <w:aliases w:val="FooterText Char,Bullet List Char,cS List Paragraph Char,numbered Char,Paragraphe de liste1 Char,Bulletr List Paragraph Char,列  出  段  落 Char,列  出  段  落  1 Char,List Paragraph2 Char,List Paragraph21 Char,List Paragraph11 Char"/>
    <w:basedOn w:val="DefaultParagraphFont"/>
    <w:link w:val="ListParagraph"/>
    <w:uiPriority w:val="99"/>
    <w:locked/>
    <w:rsid w:val="00226D0D"/>
  </w:style>
  <w:style w:type="table" w:styleId="ListTable1Light-Accent1">
    <w:name w:val="List Table 1 Light Accent 1"/>
    <w:basedOn w:val="TableNormal"/>
    <w:uiPriority w:val="46"/>
    <w:rsid w:val="00226D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CC6D87633A914982032CB9EEE36AB5" ma:contentTypeVersion="7" ma:contentTypeDescription="Create a new document." ma:contentTypeScope="" ma:versionID="95650b1e668ecf14a7b37f6fab8a6ef2">
  <xsd:schema xmlns:xsd="http://www.w3.org/2001/XMLSchema" xmlns:xs="http://www.w3.org/2001/XMLSchema" xmlns:p="http://schemas.microsoft.com/office/2006/metadata/properties" xmlns:ns3="8dc0963e-725f-4df9-9ee5-3409d10e749b" xmlns:ns4="06c98763-7e7f-47de-a217-4e462391dcfe" targetNamespace="http://schemas.microsoft.com/office/2006/metadata/properties" ma:root="true" ma:fieldsID="fa4d687149612bc3b1b818fcaf75cf7f" ns3:_="" ns4:_="">
    <xsd:import namespace="8dc0963e-725f-4df9-9ee5-3409d10e749b"/>
    <xsd:import namespace="06c98763-7e7f-47de-a217-4e462391dc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0963e-725f-4df9-9ee5-3409d10e7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98763-7e7f-47de-a217-4e462391dc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1464D6-CB41-44CB-870E-B5306D6655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84B90F-70E5-47E2-B86D-1B566B2640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CFD535-1FFA-40C2-AD3A-BB227B2D0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0963e-725f-4df9-9ee5-3409d10e749b"/>
    <ds:schemaRef ds:uri="06c98763-7e7f-47de-a217-4e462391d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2</Pages>
  <Words>961</Words>
  <Characters>5480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Roerink</dc:creator>
  <cp:keywords/>
  <dc:description/>
  <cp:lastModifiedBy>Anne-Marie Roerink</cp:lastModifiedBy>
  <cp:revision>37</cp:revision>
  <dcterms:created xsi:type="dcterms:W3CDTF">2023-11-17T10:48:00Z</dcterms:created>
  <dcterms:modified xsi:type="dcterms:W3CDTF">2024-01-18T13:17:00Z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0x01010047CC6D87633A914982032CB9EEE36AB5</vt:lpwstr>
  </property>
</Properties>
</file>