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7C44EFA9">
            <wp:simplePos x="0" y="0"/>
            <wp:positionH relativeFrom="margin">
              <wp:align>center</wp:align>
            </wp:positionH>
            <wp:positionV relativeFrom="paragraph">
              <wp:posOffset>-22860</wp:posOffset>
            </wp:positionV>
            <wp:extent cx="2098415" cy="75247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415" cy="75247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A72B72" w:rsidRDefault="0054182D" w:rsidP="00B34EF7">
      <w:pPr>
        <w:pStyle w:val="Title"/>
        <w:rPr>
          <w:sz w:val="48"/>
          <w:szCs w:val="48"/>
        </w:rPr>
      </w:pPr>
    </w:p>
    <w:p w14:paraId="2AC16FEE" w14:textId="649964C4"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w:t>
      </w:r>
      <w:r w:rsidR="00AE32A2">
        <w:rPr>
          <w:sz w:val="44"/>
          <w:szCs w:val="44"/>
        </w:rPr>
        <w:t xml:space="preserve"> and 52</w:t>
      </w:r>
      <w:r w:rsidR="000C3CC4" w:rsidRPr="000C3CC4">
        <w:rPr>
          <w:sz w:val="44"/>
          <w:szCs w:val="44"/>
        </w:rPr>
        <w:t xml:space="preserve"> w</w:t>
      </w:r>
      <w:r w:rsidR="00D22E21">
        <w:rPr>
          <w:sz w:val="44"/>
          <w:szCs w:val="44"/>
        </w:rPr>
        <w:t>.e.</w:t>
      </w:r>
      <w:r w:rsidR="000C3CC4" w:rsidRPr="000C3CC4">
        <w:rPr>
          <w:sz w:val="44"/>
          <w:szCs w:val="44"/>
        </w:rPr>
        <w:t xml:space="preserve"> </w:t>
      </w:r>
      <w:r w:rsidR="00AB019A">
        <w:rPr>
          <w:sz w:val="44"/>
          <w:szCs w:val="44"/>
        </w:rPr>
        <w:t>12.3</w:t>
      </w:r>
      <w:r w:rsidR="00445779">
        <w:rPr>
          <w:sz w:val="44"/>
          <w:szCs w:val="44"/>
        </w:rPr>
        <w:t>.2023</w:t>
      </w:r>
    </w:p>
    <w:p w14:paraId="022A5B42" w14:textId="605814EC" w:rsidR="00B34EF7" w:rsidRDefault="00B34EF7" w:rsidP="00B34EF7">
      <w:pPr>
        <w:pStyle w:val="NoSpacing"/>
      </w:pPr>
    </w:p>
    <w:p w14:paraId="5B083E85" w14:textId="6DF7E497" w:rsidR="00F86B08" w:rsidRDefault="00F86B08" w:rsidP="00927EAC">
      <w:pPr>
        <w:pStyle w:val="Heading2"/>
        <w:rPr>
          <w:b/>
          <w:bCs/>
          <w:color w:val="ED7D31" w:themeColor="accent2"/>
        </w:rPr>
      </w:pPr>
      <w:r>
        <w:rPr>
          <w:b/>
          <w:bCs/>
          <w:color w:val="ED7D31" w:themeColor="accent2"/>
        </w:rPr>
        <w:t>The Marketplace</w:t>
      </w:r>
    </w:p>
    <w:p w14:paraId="2DA05841" w14:textId="05979BD2" w:rsidR="00FC01AA" w:rsidRPr="00630F34" w:rsidRDefault="005B1FEE" w:rsidP="00630F34">
      <w:pPr>
        <w:pStyle w:val="NoSpacing"/>
      </w:pPr>
      <w:r w:rsidRPr="00630F34">
        <w:t xml:space="preserve">The University of Michigan Consumer Confidence Index </w:t>
      </w:r>
      <w:r w:rsidR="00FC01AA" w:rsidRPr="00630F34">
        <w:t xml:space="preserve">had its fourth consecutive decline as consumers remain worried over their household finances. </w:t>
      </w:r>
      <w:r w:rsidR="00FC01AA" w:rsidRPr="00630F34">
        <w:t>Consumer confidence is one of the key indicators to help forecast the future strength of the U.S. economy and consumer spending along with it.</w:t>
      </w:r>
      <w:r w:rsidR="00FC01AA" w:rsidRPr="00630F34">
        <w:t xml:space="preserve"> </w:t>
      </w:r>
      <w:r w:rsidR="00FC01AA" w:rsidRPr="00630F34">
        <w:t>Kansas State University found similar marketplace sentiment in their November tracker study. Only 15% of consumers consider their household finances better than last year, leading to an ongoing emphasis on price in the purchase decision.</w:t>
      </w:r>
    </w:p>
    <w:p w14:paraId="4A9AD287" w14:textId="50FA6650" w:rsidR="00FC01AA" w:rsidRPr="00630F34" w:rsidRDefault="00F20BAF" w:rsidP="00630F34">
      <w:pPr>
        <w:pStyle w:val="NoSpacing"/>
      </w:pPr>
      <w:r>
        <w:rPr>
          <w:b/>
          <w:bCs/>
          <w:noProof/>
          <w:color w:val="595959" w:themeColor="text1" w:themeTint="A6"/>
          <w:sz w:val="24"/>
          <w:szCs w:val="24"/>
          <w:lang w:val="nl-NL" w:eastAsia="nl-NL"/>
        </w:rPr>
        <w:drawing>
          <wp:anchor distT="0" distB="0" distL="114300" distR="114300" simplePos="0" relativeHeight="251661312" behindDoc="0" locked="0" layoutInCell="1" allowOverlap="1" wp14:anchorId="79E0D3E3" wp14:editId="0004BB83">
            <wp:simplePos x="0" y="0"/>
            <wp:positionH relativeFrom="column">
              <wp:posOffset>3864306</wp:posOffset>
            </wp:positionH>
            <wp:positionV relativeFrom="paragraph">
              <wp:posOffset>163195</wp:posOffset>
            </wp:positionV>
            <wp:extent cx="357505" cy="357505"/>
            <wp:effectExtent l="0" t="0" r="0" b="4445"/>
            <wp:wrapNone/>
            <wp:docPr id="327562086" name="Graphic 2" descr="Shopping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62086" name="Graphic 327562086" descr="Shopping ba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57505" cy="357505"/>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595959" w:themeColor="text1" w:themeTint="A6"/>
          <w:sz w:val="24"/>
          <w:szCs w:val="24"/>
          <w:lang w:val="nl-NL" w:eastAsia="nl-NL"/>
        </w:rPr>
        <w:drawing>
          <wp:anchor distT="0" distB="0" distL="114300" distR="114300" simplePos="0" relativeHeight="251662336" behindDoc="0" locked="0" layoutInCell="1" allowOverlap="1" wp14:anchorId="269F6402" wp14:editId="66493AB1">
            <wp:simplePos x="0" y="0"/>
            <wp:positionH relativeFrom="column">
              <wp:posOffset>3867150</wp:posOffset>
            </wp:positionH>
            <wp:positionV relativeFrom="paragraph">
              <wp:posOffset>600406</wp:posOffset>
            </wp:positionV>
            <wp:extent cx="349250" cy="349250"/>
            <wp:effectExtent l="0" t="0" r="0" b="0"/>
            <wp:wrapNone/>
            <wp:docPr id="2099884773" name="Graphic 3" descr="Shoe foot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84773" name="Graphic 2099884773" descr="Shoe footprints"/>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9250" cy="349250"/>
                    </a:xfrm>
                    <a:prstGeom prst="rect">
                      <a:avLst/>
                    </a:prstGeom>
                  </pic:spPr>
                </pic:pic>
              </a:graphicData>
            </a:graphic>
            <wp14:sizeRelH relativeFrom="margin">
              <wp14:pctWidth>0</wp14:pctWidth>
            </wp14:sizeRelH>
            <wp14:sizeRelV relativeFrom="margin">
              <wp14:pctHeight>0</wp14:pctHeight>
            </wp14:sizeRelV>
          </wp:anchor>
        </w:drawing>
      </w:r>
      <w:r w:rsidRPr="00630F34">
        <w:drawing>
          <wp:anchor distT="0" distB="0" distL="114300" distR="114300" simplePos="0" relativeHeight="251663360" behindDoc="0" locked="0" layoutInCell="1" allowOverlap="1" wp14:anchorId="50502B81" wp14:editId="4E2E8CD4">
            <wp:simplePos x="0" y="0"/>
            <wp:positionH relativeFrom="column">
              <wp:posOffset>3888740</wp:posOffset>
            </wp:positionH>
            <wp:positionV relativeFrom="paragraph">
              <wp:posOffset>1042366</wp:posOffset>
            </wp:positionV>
            <wp:extent cx="333375" cy="333375"/>
            <wp:effectExtent l="0" t="0" r="9525" b="9525"/>
            <wp:wrapNone/>
            <wp:docPr id="589730407" name="Graphic 4" descr="Shopping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30407" name="Graphic 589730407" descr="Shopping cart"/>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595959" w:themeColor="text1" w:themeTint="A6"/>
          <w:sz w:val="24"/>
          <w:szCs w:val="24"/>
          <w:lang w:val="nl-NL" w:eastAsia="nl-NL"/>
        </w:rPr>
        <mc:AlternateContent>
          <mc:Choice Requires="wps">
            <w:drawing>
              <wp:anchor distT="0" distB="0" distL="114300" distR="114300" simplePos="0" relativeHeight="251664384" behindDoc="0" locked="0" layoutInCell="1" allowOverlap="1" wp14:anchorId="0D063491" wp14:editId="7849C595">
                <wp:simplePos x="0" y="0"/>
                <wp:positionH relativeFrom="page">
                  <wp:posOffset>4989168</wp:posOffset>
                </wp:positionH>
                <wp:positionV relativeFrom="paragraph">
                  <wp:posOffset>144256</wp:posOffset>
                </wp:positionV>
                <wp:extent cx="2122971" cy="1359121"/>
                <wp:effectExtent l="0" t="0" r="0" b="0"/>
                <wp:wrapNone/>
                <wp:docPr id="361469223" name="Text Box 5"/>
                <wp:cNvGraphicFramePr/>
                <a:graphic xmlns:a="http://schemas.openxmlformats.org/drawingml/2006/main">
                  <a:graphicData uri="http://schemas.microsoft.com/office/word/2010/wordprocessingShape">
                    <wps:wsp>
                      <wps:cNvSpPr txBox="1"/>
                      <wps:spPr>
                        <a:xfrm>
                          <a:off x="0" y="0"/>
                          <a:ext cx="2122971" cy="1359121"/>
                        </a:xfrm>
                        <a:prstGeom prst="rect">
                          <a:avLst/>
                        </a:prstGeom>
                        <a:noFill/>
                        <a:ln w="6350">
                          <a:noFill/>
                        </a:ln>
                      </wps:spPr>
                      <wps:txbx>
                        <w:txbxContent>
                          <w:p w14:paraId="7684DAF5" w14:textId="77777777" w:rsidR="00FC01AA" w:rsidRDefault="00FC01AA" w:rsidP="00FC01AA">
                            <w:pPr>
                              <w:spacing w:after="0" w:line="240" w:lineRule="auto"/>
                              <w:rPr>
                                <w:rFonts w:ascii="Arial" w:hAnsi="Arial" w:cs="Arial"/>
                                <w:b/>
                                <w:bCs/>
                                <w:color w:val="FFFFFF" w:themeColor="background1"/>
                                <w:sz w:val="18"/>
                                <w:szCs w:val="18"/>
                              </w:rPr>
                            </w:pPr>
                            <w:r>
                              <w:rPr>
                                <w:rFonts w:ascii="Arial" w:hAnsi="Arial" w:cs="Arial"/>
                                <w:b/>
                                <w:bCs/>
                                <w:color w:val="FFFFFF" w:themeColor="background1"/>
                                <w:sz w:val="18"/>
                                <w:szCs w:val="18"/>
                              </w:rPr>
                              <w:t>Produce</w:t>
                            </w:r>
                            <w:r w:rsidRPr="00B7563F">
                              <w:rPr>
                                <w:rFonts w:ascii="Arial" w:hAnsi="Arial" w:cs="Arial"/>
                                <w:b/>
                                <w:bCs/>
                                <w:color w:val="FFFFFF" w:themeColor="background1"/>
                                <w:sz w:val="18"/>
                                <w:szCs w:val="18"/>
                              </w:rPr>
                              <w:t xml:space="preserve"> department dollars</w:t>
                            </w:r>
                            <w:r>
                              <w:rPr>
                                <w:rFonts w:ascii="Arial" w:hAnsi="Arial" w:cs="Arial"/>
                                <w:b/>
                                <w:bCs/>
                                <w:color w:val="FFFFFF" w:themeColor="background1"/>
                                <w:sz w:val="18"/>
                                <w:szCs w:val="18"/>
                              </w:rPr>
                              <w:t>/</w:t>
                            </w:r>
                            <w:r w:rsidRPr="00B7563F">
                              <w:rPr>
                                <w:rFonts w:ascii="Arial" w:hAnsi="Arial" w:cs="Arial"/>
                                <w:b/>
                                <w:bCs/>
                                <w:color w:val="FFFFFF" w:themeColor="background1"/>
                                <w:sz w:val="18"/>
                                <w:szCs w:val="18"/>
                              </w:rPr>
                              <w:t xml:space="preserve"> buyer</w:t>
                            </w:r>
                          </w:p>
                          <w:p w14:paraId="61D0EFE0" w14:textId="77777777" w:rsidR="00FC01AA" w:rsidRDefault="00FC01AA" w:rsidP="00FC01AA">
                            <w:pPr>
                              <w:spacing w:after="0" w:line="240" w:lineRule="auto"/>
                              <w:rPr>
                                <w:rFonts w:ascii="Arial" w:hAnsi="Arial" w:cs="Arial"/>
                                <w:color w:val="FFFFFF" w:themeColor="background1"/>
                                <w:sz w:val="18"/>
                                <w:szCs w:val="18"/>
                              </w:rPr>
                            </w:pPr>
                            <w:r>
                              <w:rPr>
                                <w:rFonts w:ascii="Arial" w:hAnsi="Arial" w:cs="Arial"/>
                                <w:color w:val="FFFFFF" w:themeColor="background1"/>
                                <w:sz w:val="18"/>
                                <w:szCs w:val="18"/>
                              </w:rPr>
                              <w:t>$53.00, +0.1% versus year ago</w:t>
                            </w:r>
                          </w:p>
                          <w:p w14:paraId="278F3C6B" w14:textId="77777777" w:rsidR="00FC01AA" w:rsidRPr="00B7563F" w:rsidRDefault="00FC01AA" w:rsidP="00FC01AA">
                            <w:pPr>
                              <w:spacing w:after="0" w:line="240" w:lineRule="auto"/>
                              <w:rPr>
                                <w:rFonts w:ascii="Arial" w:hAnsi="Arial" w:cs="Arial"/>
                                <w:color w:val="FFFFFF" w:themeColor="background1"/>
                              </w:rPr>
                            </w:pPr>
                          </w:p>
                          <w:p w14:paraId="3D0D98C2" w14:textId="77777777" w:rsidR="00FC01AA" w:rsidRPr="00B7563F" w:rsidRDefault="00FC01AA" w:rsidP="00FC01AA">
                            <w:pPr>
                              <w:spacing w:after="0" w:line="240" w:lineRule="auto"/>
                              <w:rPr>
                                <w:rFonts w:ascii="Arial" w:hAnsi="Arial" w:cs="Arial"/>
                                <w:b/>
                                <w:bCs/>
                                <w:color w:val="FFFFFF" w:themeColor="background1"/>
                                <w:sz w:val="18"/>
                                <w:szCs w:val="18"/>
                              </w:rPr>
                            </w:pPr>
                            <w:r>
                              <w:rPr>
                                <w:rFonts w:ascii="Arial" w:hAnsi="Arial" w:cs="Arial"/>
                                <w:b/>
                                <w:bCs/>
                                <w:color w:val="FFFFFF" w:themeColor="background1"/>
                                <w:sz w:val="18"/>
                                <w:szCs w:val="18"/>
                              </w:rPr>
                              <w:t>Produce</w:t>
                            </w:r>
                            <w:r w:rsidRPr="00B7563F">
                              <w:rPr>
                                <w:rFonts w:ascii="Arial" w:hAnsi="Arial" w:cs="Arial"/>
                                <w:b/>
                                <w:bCs/>
                                <w:color w:val="FFFFFF" w:themeColor="background1"/>
                                <w:sz w:val="18"/>
                                <w:szCs w:val="18"/>
                              </w:rPr>
                              <w:t xml:space="preserve"> department trips</w:t>
                            </w:r>
                            <w:r>
                              <w:rPr>
                                <w:rFonts w:ascii="Arial" w:hAnsi="Arial" w:cs="Arial"/>
                                <w:b/>
                                <w:bCs/>
                                <w:color w:val="FFFFFF" w:themeColor="background1"/>
                                <w:sz w:val="18"/>
                                <w:szCs w:val="18"/>
                              </w:rPr>
                              <w:t>/</w:t>
                            </w:r>
                            <w:r w:rsidRPr="00B7563F">
                              <w:rPr>
                                <w:rFonts w:ascii="Arial" w:hAnsi="Arial" w:cs="Arial"/>
                                <w:b/>
                                <w:bCs/>
                                <w:color w:val="FFFFFF" w:themeColor="background1"/>
                                <w:sz w:val="18"/>
                                <w:szCs w:val="18"/>
                              </w:rPr>
                              <w:t>buyer</w:t>
                            </w:r>
                          </w:p>
                          <w:p w14:paraId="4DAA13AE" w14:textId="77777777" w:rsidR="00FC01AA" w:rsidRDefault="00FC01AA" w:rsidP="00FC01AA">
                            <w:pPr>
                              <w:spacing w:after="0" w:line="240" w:lineRule="auto"/>
                              <w:rPr>
                                <w:rFonts w:ascii="Arial" w:hAnsi="Arial" w:cs="Arial"/>
                                <w:color w:val="FFFFFF" w:themeColor="background1"/>
                                <w:sz w:val="18"/>
                                <w:szCs w:val="18"/>
                              </w:rPr>
                            </w:pPr>
                            <w:r>
                              <w:rPr>
                                <w:rFonts w:ascii="Arial" w:hAnsi="Arial" w:cs="Arial"/>
                                <w:color w:val="FFFFFF" w:themeColor="background1"/>
                                <w:sz w:val="18"/>
                                <w:szCs w:val="18"/>
                              </w:rPr>
                              <w:t>6.3 trips, +0.4% versus year ago</w:t>
                            </w:r>
                          </w:p>
                          <w:p w14:paraId="10C1E5D0" w14:textId="77777777" w:rsidR="00FC01AA" w:rsidRPr="00B7563F" w:rsidRDefault="00FC01AA" w:rsidP="00FC01AA">
                            <w:pPr>
                              <w:spacing w:after="0" w:line="240" w:lineRule="auto"/>
                              <w:rPr>
                                <w:rFonts w:ascii="Arial" w:hAnsi="Arial" w:cs="Arial"/>
                                <w:color w:val="FFFFFF" w:themeColor="background1"/>
                              </w:rPr>
                            </w:pPr>
                          </w:p>
                          <w:p w14:paraId="799A09BE" w14:textId="77777777" w:rsidR="00FC01AA" w:rsidRPr="00B7563F" w:rsidRDefault="00FC01AA" w:rsidP="00FC01AA">
                            <w:pPr>
                              <w:spacing w:after="0" w:line="240" w:lineRule="auto"/>
                              <w:rPr>
                                <w:rFonts w:ascii="Arial" w:hAnsi="Arial" w:cs="Arial"/>
                                <w:b/>
                                <w:bCs/>
                                <w:color w:val="FFFFFF" w:themeColor="background1"/>
                                <w:sz w:val="18"/>
                                <w:szCs w:val="18"/>
                              </w:rPr>
                            </w:pPr>
                            <w:r>
                              <w:rPr>
                                <w:rFonts w:ascii="Arial" w:hAnsi="Arial" w:cs="Arial"/>
                                <w:b/>
                                <w:bCs/>
                                <w:color w:val="FFFFFF" w:themeColor="background1"/>
                                <w:sz w:val="18"/>
                                <w:szCs w:val="18"/>
                              </w:rPr>
                              <w:t>Produce</w:t>
                            </w:r>
                            <w:r w:rsidRPr="00B7563F">
                              <w:rPr>
                                <w:rFonts w:ascii="Arial" w:hAnsi="Arial" w:cs="Arial"/>
                                <w:b/>
                                <w:bCs/>
                                <w:color w:val="FFFFFF" w:themeColor="background1"/>
                                <w:sz w:val="18"/>
                                <w:szCs w:val="18"/>
                              </w:rPr>
                              <w:t xml:space="preserve"> department dollars</w:t>
                            </w:r>
                            <w:r>
                              <w:rPr>
                                <w:rFonts w:ascii="Arial" w:hAnsi="Arial" w:cs="Arial"/>
                                <w:b/>
                                <w:bCs/>
                                <w:color w:val="FFFFFF" w:themeColor="background1"/>
                                <w:sz w:val="18"/>
                                <w:szCs w:val="18"/>
                              </w:rPr>
                              <w:t>/</w:t>
                            </w:r>
                            <w:r w:rsidRPr="00B7563F">
                              <w:rPr>
                                <w:rFonts w:ascii="Arial" w:hAnsi="Arial" w:cs="Arial"/>
                                <w:b/>
                                <w:bCs/>
                                <w:color w:val="FFFFFF" w:themeColor="background1"/>
                                <w:sz w:val="18"/>
                                <w:szCs w:val="18"/>
                              </w:rPr>
                              <w:t>trip</w:t>
                            </w:r>
                          </w:p>
                          <w:p w14:paraId="2574AC2C" w14:textId="77777777" w:rsidR="00FC01AA" w:rsidRDefault="00FC01AA" w:rsidP="00FC01AA">
                            <w:pPr>
                              <w:spacing w:after="0" w:line="240" w:lineRule="auto"/>
                              <w:rPr>
                                <w:rFonts w:ascii="Arial" w:hAnsi="Arial" w:cs="Arial"/>
                                <w:color w:val="FFFFFF" w:themeColor="background1"/>
                                <w:sz w:val="18"/>
                                <w:szCs w:val="18"/>
                              </w:rPr>
                            </w:pPr>
                            <w:r>
                              <w:rPr>
                                <w:rFonts w:ascii="Arial" w:hAnsi="Arial" w:cs="Arial"/>
                                <w:color w:val="FFFFFF" w:themeColor="background1"/>
                                <w:sz w:val="18"/>
                                <w:szCs w:val="18"/>
                              </w:rPr>
                              <w:t>$8.50, -0.3% versus year ago</w:t>
                            </w:r>
                          </w:p>
                          <w:p w14:paraId="07FDC810" w14:textId="77777777" w:rsidR="00FC01AA" w:rsidRPr="00B7563F" w:rsidRDefault="00FC01AA" w:rsidP="00FC01AA">
                            <w:pPr>
                              <w:spacing w:after="0" w:line="240" w:lineRule="auto"/>
                              <w:rPr>
                                <w:rFonts w:ascii="Arial" w:hAnsi="Arial" w:cs="Arial"/>
                                <w:color w:val="FFFFFF" w:themeColor="background1"/>
                                <w:sz w:val="10"/>
                                <w:szCs w:val="10"/>
                              </w:rPr>
                            </w:pPr>
                          </w:p>
                          <w:p w14:paraId="2DF0CA81" w14:textId="77777777" w:rsidR="00FC01AA" w:rsidRPr="00B7563F" w:rsidRDefault="00FC01AA" w:rsidP="00FC01AA">
                            <w:pPr>
                              <w:spacing w:after="0" w:line="240" w:lineRule="auto"/>
                              <w:rPr>
                                <w:rFonts w:ascii="Arial" w:hAnsi="Arial" w:cs="Arial"/>
                                <w:color w:val="FFFFFF" w:themeColor="background1"/>
                                <w:sz w:val="10"/>
                                <w:szCs w:val="10"/>
                              </w:rPr>
                            </w:pPr>
                            <w:r w:rsidRPr="00B7563F">
                              <w:rPr>
                                <w:rFonts w:ascii="Arial" w:hAnsi="Arial" w:cs="Arial"/>
                                <w:color w:val="FFFFFF" w:themeColor="background1"/>
                                <w:sz w:val="10"/>
                                <w:szCs w:val="10"/>
                              </w:rPr>
                              <w:t xml:space="preserve">Source: </w:t>
                            </w:r>
                            <w:r>
                              <w:rPr>
                                <w:rFonts w:ascii="Arial" w:hAnsi="Arial" w:cs="Arial"/>
                                <w:color w:val="FFFFFF" w:themeColor="background1"/>
                                <w:sz w:val="10"/>
                                <w:szCs w:val="10"/>
                              </w:rPr>
                              <w:t>Circana, Integrated Fresh, Household Panel, 4 w.e. 11/5/23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63491" id="_x0000_t202" coordsize="21600,21600" o:spt="202" path="m,l,21600r21600,l21600,xe">
                <v:stroke joinstyle="miter"/>
                <v:path gradientshapeok="t" o:connecttype="rect"/>
              </v:shapetype>
              <v:shape id="Text Box 5" o:spid="_x0000_s1026" type="#_x0000_t202" style="position:absolute;margin-left:392.85pt;margin-top:11.35pt;width:167.15pt;height:1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AjGAIAAC0EAAAOAAAAZHJzL2Uyb0RvYy54bWysU11v2yAUfZ+0/4B4Xxy7SdtYcaqsVaZJ&#10;UVspnfpMMMSWMJcBiZ39+l2w86FuT9Ne4MK93I9zDvOHrlHkIKyrQRc0HY0pEZpDWetdQX+8rb7c&#10;U+I80yVToEVBj8LRh8XnT/PW5CKDClQpLMEk2uWtKWjlvcmTxPFKNMyNwAiNTgm2YR6PdpeUlrWY&#10;vVFJNh7fJi3Y0ljgwjm8feqddBHzSym4f5HSCU9UQbE3H1cb121Yk8Wc5TvLTFXzoQ32D100rNZY&#10;9JzqiXlG9rb+I1VTcwsOpB9xaBKQsuYizoDTpOMP02wqZkScBcFx5gyT+39p+fNhY14t8d1X6JDA&#10;AEhrXO7wMszTSduEHTsl6EcIj2fYROcJx8sszbLZXUoJR196M52lWcyTXJ4b6/w3AQ0JRkEt8hLh&#10;Yoe181gSQ08hoZqGVa1U5EZp0hb09mY6jg/OHnyhND68NBss3227YYItlEcczELPuTN8VWPxNXP+&#10;lVkkGWdB4foXXKQCLAKDRUkF9tff7kM8Yo9eSloUTUHdzz2zghL1XSMrs3QyCSqLh8n0LsODvfZs&#10;rz163zwC6hKRw+6iGeK9OpnSQvOO+l6GquhimmPtgvqT+eh7KeP/4GK5jEGoK8P8Wm8MD6kDnAHa&#10;t+6dWTPg75G6ZzjJi+UfaOhjeyKWew+yjhwFgHtUB9xRk5G64f8E0V+fY9Tlly9+AwAA//8DAFBL&#10;AwQUAAYACAAAACEAOqCRzuIAAAALAQAADwAAAGRycy9kb3ducmV2LnhtbEyPQUvDQBCF74L/YZmC&#10;N7tppE2I2ZQSKILoobUXb5PsNAnN7sbsto3+eqcnPQ0z7/HeN/l6Mr240Og7ZxUs5hEIsrXTnW0U&#10;HD62jykIH9Bq7J0lBd/kYV3c3+WYaXe1O7rsQyM4xPoMFbQhDJmUvm7JoJ+7gSxrRzcaDLyOjdQj&#10;Xjnc9DKOopU02FluaHGgsqX6tD8bBa/l9h13VWzSn758eTtuhq/D51Kph9m0eQYRaAp/ZrjhMzoU&#10;zFS5s9Ve9AqSdJmwVUEc87wZFlwIouLL0yoBWeTy/w/FLwAAAP//AwBQSwECLQAUAAYACAAAACEA&#10;toM4kv4AAADhAQAAEwAAAAAAAAAAAAAAAAAAAAAAW0NvbnRlbnRfVHlwZXNdLnhtbFBLAQItABQA&#10;BgAIAAAAIQA4/SH/1gAAAJQBAAALAAAAAAAAAAAAAAAAAC8BAABfcmVscy8ucmVsc1BLAQItABQA&#10;BgAIAAAAIQAVLkAjGAIAAC0EAAAOAAAAAAAAAAAAAAAAAC4CAABkcnMvZTJvRG9jLnhtbFBLAQIt&#10;ABQABgAIAAAAIQA6oJHO4gAAAAsBAAAPAAAAAAAAAAAAAAAAAHIEAABkcnMvZG93bnJldi54bWxQ&#10;SwUGAAAAAAQABADzAAAAgQUAAAAA&#10;" filled="f" stroked="f" strokeweight=".5pt">
                <v:textbox>
                  <w:txbxContent>
                    <w:p w14:paraId="7684DAF5" w14:textId="77777777" w:rsidR="00FC01AA" w:rsidRDefault="00FC01AA" w:rsidP="00FC01AA">
                      <w:pPr>
                        <w:spacing w:after="0" w:line="240" w:lineRule="auto"/>
                        <w:rPr>
                          <w:rFonts w:ascii="Arial" w:hAnsi="Arial" w:cs="Arial"/>
                          <w:b/>
                          <w:bCs/>
                          <w:color w:val="FFFFFF" w:themeColor="background1"/>
                          <w:sz w:val="18"/>
                          <w:szCs w:val="18"/>
                        </w:rPr>
                      </w:pPr>
                      <w:r>
                        <w:rPr>
                          <w:rFonts w:ascii="Arial" w:hAnsi="Arial" w:cs="Arial"/>
                          <w:b/>
                          <w:bCs/>
                          <w:color w:val="FFFFFF" w:themeColor="background1"/>
                          <w:sz w:val="18"/>
                          <w:szCs w:val="18"/>
                        </w:rPr>
                        <w:t>Produce</w:t>
                      </w:r>
                      <w:r w:rsidRPr="00B7563F">
                        <w:rPr>
                          <w:rFonts w:ascii="Arial" w:hAnsi="Arial" w:cs="Arial"/>
                          <w:b/>
                          <w:bCs/>
                          <w:color w:val="FFFFFF" w:themeColor="background1"/>
                          <w:sz w:val="18"/>
                          <w:szCs w:val="18"/>
                        </w:rPr>
                        <w:t xml:space="preserve"> department dollars</w:t>
                      </w:r>
                      <w:r>
                        <w:rPr>
                          <w:rFonts w:ascii="Arial" w:hAnsi="Arial" w:cs="Arial"/>
                          <w:b/>
                          <w:bCs/>
                          <w:color w:val="FFFFFF" w:themeColor="background1"/>
                          <w:sz w:val="18"/>
                          <w:szCs w:val="18"/>
                        </w:rPr>
                        <w:t>/</w:t>
                      </w:r>
                      <w:r w:rsidRPr="00B7563F">
                        <w:rPr>
                          <w:rFonts w:ascii="Arial" w:hAnsi="Arial" w:cs="Arial"/>
                          <w:b/>
                          <w:bCs/>
                          <w:color w:val="FFFFFF" w:themeColor="background1"/>
                          <w:sz w:val="18"/>
                          <w:szCs w:val="18"/>
                        </w:rPr>
                        <w:t xml:space="preserve"> buyer</w:t>
                      </w:r>
                    </w:p>
                    <w:p w14:paraId="61D0EFE0" w14:textId="77777777" w:rsidR="00FC01AA" w:rsidRDefault="00FC01AA" w:rsidP="00FC01AA">
                      <w:pPr>
                        <w:spacing w:after="0" w:line="240" w:lineRule="auto"/>
                        <w:rPr>
                          <w:rFonts w:ascii="Arial" w:hAnsi="Arial" w:cs="Arial"/>
                          <w:color w:val="FFFFFF" w:themeColor="background1"/>
                          <w:sz w:val="18"/>
                          <w:szCs w:val="18"/>
                        </w:rPr>
                      </w:pPr>
                      <w:r>
                        <w:rPr>
                          <w:rFonts w:ascii="Arial" w:hAnsi="Arial" w:cs="Arial"/>
                          <w:color w:val="FFFFFF" w:themeColor="background1"/>
                          <w:sz w:val="18"/>
                          <w:szCs w:val="18"/>
                        </w:rPr>
                        <w:t>$53.00, +0.1% versus year ago</w:t>
                      </w:r>
                    </w:p>
                    <w:p w14:paraId="278F3C6B" w14:textId="77777777" w:rsidR="00FC01AA" w:rsidRPr="00B7563F" w:rsidRDefault="00FC01AA" w:rsidP="00FC01AA">
                      <w:pPr>
                        <w:spacing w:after="0" w:line="240" w:lineRule="auto"/>
                        <w:rPr>
                          <w:rFonts w:ascii="Arial" w:hAnsi="Arial" w:cs="Arial"/>
                          <w:color w:val="FFFFFF" w:themeColor="background1"/>
                        </w:rPr>
                      </w:pPr>
                    </w:p>
                    <w:p w14:paraId="3D0D98C2" w14:textId="77777777" w:rsidR="00FC01AA" w:rsidRPr="00B7563F" w:rsidRDefault="00FC01AA" w:rsidP="00FC01AA">
                      <w:pPr>
                        <w:spacing w:after="0" w:line="240" w:lineRule="auto"/>
                        <w:rPr>
                          <w:rFonts w:ascii="Arial" w:hAnsi="Arial" w:cs="Arial"/>
                          <w:b/>
                          <w:bCs/>
                          <w:color w:val="FFFFFF" w:themeColor="background1"/>
                          <w:sz w:val="18"/>
                          <w:szCs w:val="18"/>
                        </w:rPr>
                      </w:pPr>
                      <w:r>
                        <w:rPr>
                          <w:rFonts w:ascii="Arial" w:hAnsi="Arial" w:cs="Arial"/>
                          <w:b/>
                          <w:bCs/>
                          <w:color w:val="FFFFFF" w:themeColor="background1"/>
                          <w:sz w:val="18"/>
                          <w:szCs w:val="18"/>
                        </w:rPr>
                        <w:t>Produce</w:t>
                      </w:r>
                      <w:r w:rsidRPr="00B7563F">
                        <w:rPr>
                          <w:rFonts w:ascii="Arial" w:hAnsi="Arial" w:cs="Arial"/>
                          <w:b/>
                          <w:bCs/>
                          <w:color w:val="FFFFFF" w:themeColor="background1"/>
                          <w:sz w:val="18"/>
                          <w:szCs w:val="18"/>
                        </w:rPr>
                        <w:t xml:space="preserve"> department trips</w:t>
                      </w:r>
                      <w:r>
                        <w:rPr>
                          <w:rFonts w:ascii="Arial" w:hAnsi="Arial" w:cs="Arial"/>
                          <w:b/>
                          <w:bCs/>
                          <w:color w:val="FFFFFF" w:themeColor="background1"/>
                          <w:sz w:val="18"/>
                          <w:szCs w:val="18"/>
                        </w:rPr>
                        <w:t>/</w:t>
                      </w:r>
                      <w:r w:rsidRPr="00B7563F">
                        <w:rPr>
                          <w:rFonts w:ascii="Arial" w:hAnsi="Arial" w:cs="Arial"/>
                          <w:b/>
                          <w:bCs/>
                          <w:color w:val="FFFFFF" w:themeColor="background1"/>
                          <w:sz w:val="18"/>
                          <w:szCs w:val="18"/>
                        </w:rPr>
                        <w:t>buyer</w:t>
                      </w:r>
                    </w:p>
                    <w:p w14:paraId="4DAA13AE" w14:textId="77777777" w:rsidR="00FC01AA" w:rsidRDefault="00FC01AA" w:rsidP="00FC01AA">
                      <w:pPr>
                        <w:spacing w:after="0" w:line="240" w:lineRule="auto"/>
                        <w:rPr>
                          <w:rFonts w:ascii="Arial" w:hAnsi="Arial" w:cs="Arial"/>
                          <w:color w:val="FFFFFF" w:themeColor="background1"/>
                          <w:sz w:val="18"/>
                          <w:szCs w:val="18"/>
                        </w:rPr>
                      </w:pPr>
                      <w:r>
                        <w:rPr>
                          <w:rFonts w:ascii="Arial" w:hAnsi="Arial" w:cs="Arial"/>
                          <w:color w:val="FFFFFF" w:themeColor="background1"/>
                          <w:sz w:val="18"/>
                          <w:szCs w:val="18"/>
                        </w:rPr>
                        <w:t>6.3 trips, +0.4% versus year ago</w:t>
                      </w:r>
                    </w:p>
                    <w:p w14:paraId="10C1E5D0" w14:textId="77777777" w:rsidR="00FC01AA" w:rsidRPr="00B7563F" w:rsidRDefault="00FC01AA" w:rsidP="00FC01AA">
                      <w:pPr>
                        <w:spacing w:after="0" w:line="240" w:lineRule="auto"/>
                        <w:rPr>
                          <w:rFonts w:ascii="Arial" w:hAnsi="Arial" w:cs="Arial"/>
                          <w:color w:val="FFFFFF" w:themeColor="background1"/>
                        </w:rPr>
                      </w:pPr>
                    </w:p>
                    <w:p w14:paraId="799A09BE" w14:textId="77777777" w:rsidR="00FC01AA" w:rsidRPr="00B7563F" w:rsidRDefault="00FC01AA" w:rsidP="00FC01AA">
                      <w:pPr>
                        <w:spacing w:after="0" w:line="240" w:lineRule="auto"/>
                        <w:rPr>
                          <w:rFonts w:ascii="Arial" w:hAnsi="Arial" w:cs="Arial"/>
                          <w:b/>
                          <w:bCs/>
                          <w:color w:val="FFFFFF" w:themeColor="background1"/>
                          <w:sz w:val="18"/>
                          <w:szCs w:val="18"/>
                        </w:rPr>
                      </w:pPr>
                      <w:r>
                        <w:rPr>
                          <w:rFonts w:ascii="Arial" w:hAnsi="Arial" w:cs="Arial"/>
                          <w:b/>
                          <w:bCs/>
                          <w:color w:val="FFFFFF" w:themeColor="background1"/>
                          <w:sz w:val="18"/>
                          <w:szCs w:val="18"/>
                        </w:rPr>
                        <w:t>Produce</w:t>
                      </w:r>
                      <w:r w:rsidRPr="00B7563F">
                        <w:rPr>
                          <w:rFonts w:ascii="Arial" w:hAnsi="Arial" w:cs="Arial"/>
                          <w:b/>
                          <w:bCs/>
                          <w:color w:val="FFFFFF" w:themeColor="background1"/>
                          <w:sz w:val="18"/>
                          <w:szCs w:val="18"/>
                        </w:rPr>
                        <w:t xml:space="preserve"> department dollars</w:t>
                      </w:r>
                      <w:r>
                        <w:rPr>
                          <w:rFonts w:ascii="Arial" w:hAnsi="Arial" w:cs="Arial"/>
                          <w:b/>
                          <w:bCs/>
                          <w:color w:val="FFFFFF" w:themeColor="background1"/>
                          <w:sz w:val="18"/>
                          <w:szCs w:val="18"/>
                        </w:rPr>
                        <w:t>/</w:t>
                      </w:r>
                      <w:r w:rsidRPr="00B7563F">
                        <w:rPr>
                          <w:rFonts w:ascii="Arial" w:hAnsi="Arial" w:cs="Arial"/>
                          <w:b/>
                          <w:bCs/>
                          <w:color w:val="FFFFFF" w:themeColor="background1"/>
                          <w:sz w:val="18"/>
                          <w:szCs w:val="18"/>
                        </w:rPr>
                        <w:t>trip</w:t>
                      </w:r>
                    </w:p>
                    <w:p w14:paraId="2574AC2C" w14:textId="77777777" w:rsidR="00FC01AA" w:rsidRDefault="00FC01AA" w:rsidP="00FC01AA">
                      <w:pPr>
                        <w:spacing w:after="0" w:line="240" w:lineRule="auto"/>
                        <w:rPr>
                          <w:rFonts w:ascii="Arial" w:hAnsi="Arial" w:cs="Arial"/>
                          <w:color w:val="FFFFFF" w:themeColor="background1"/>
                          <w:sz w:val="18"/>
                          <w:szCs w:val="18"/>
                        </w:rPr>
                      </w:pPr>
                      <w:r>
                        <w:rPr>
                          <w:rFonts w:ascii="Arial" w:hAnsi="Arial" w:cs="Arial"/>
                          <w:color w:val="FFFFFF" w:themeColor="background1"/>
                          <w:sz w:val="18"/>
                          <w:szCs w:val="18"/>
                        </w:rPr>
                        <w:t>$8.50, -0.3% versus year ago</w:t>
                      </w:r>
                    </w:p>
                    <w:p w14:paraId="07FDC810" w14:textId="77777777" w:rsidR="00FC01AA" w:rsidRPr="00B7563F" w:rsidRDefault="00FC01AA" w:rsidP="00FC01AA">
                      <w:pPr>
                        <w:spacing w:after="0" w:line="240" w:lineRule="auto"/>
                        <w:rPr>
                          <w:rFonts w:ascii="Arial" w:hAnsi="Arial" w:cs="Arial"/>
                          <w:color w:val="FFFFFF" w:themeColor="background1"/>
                          <w:sz w:val="10"/>
                          <w:szCs w:val="10"/>
                        </w:rPr>
                      </w:pPr>
                    </w:p>
                    <w:p w14:paraId="2DF0CA81" w14:textId="77777777" w:rsidR="00FC01AA" w:rsidRPr="00B7563F" w:rsidRDefault="00FC01AA" w:rsidP="00FC01AA">
                      <w:pPr>
                        <w:spacing w:after="0" w:line="240" w:lineRule="auto"/>
                        <w:rPr>
                          <w:rFonts w:ascii="Arial" w:hAnsi="Arial" w:cs="Arial"/>
                          <w:color w:val="FFFFFF" w:themeColor="background1"/>
                          <w:sz w:val="10"/>
                          <w:szCs w:val="10"/>
                        </w:rPr>
                      </w:pPr>
                      <w:r w:rsidRPr="00B7563F">
                        <w:rPr>
                          <w:rFonts w:ascii="Arial" w:hAnsi="Arial" w:cs="Arial"/>
                          <w:color w:val="FFFFFF" w:themeColor="background1"/>
                          <w:sz w:val="10"/>
                          <w:szCs w:val="10"/>
                        </w:rPr>
                        <w:t xml:space="preserve">Source: </w:t>
                      </w:r>
                      <w:r>
                        <w:rPr>
                          <w:rFonts w:ascii="Arial" w:hAnsi="Arial" w:cs="Arial"/>
                          <w:color w:val="FFFFFF" w:themeColor="background1"/>
                          <w:sz w:val="10"/>
                          <w:szCs w:val="10"/>
                        </w:rPr>
                        <w:t>Circana, Integrated Fresh, Household Panel, 4 w.e. 11/5/23</w:t>
                      </w:r>
                    </w:p>
                  </w:txbxContent>
                </v:textbox>
                <w10:wrap anchorx="page"/>
              </v:shape>
            </w:pict>
          </mc:Fallback>
        </mc:AlternateContent>
      </w:r>
      <w:r>
        <w:rPr>
          <w:b/>
          <w:bCs/>
          <w:noProof/>
          <w:color w:val="595959" w:themeColor="text1" w:themeTint="A6"/>
          <w:sz w:val="24"/>
          <w:szCs w:val="24"/>
          <w:lang w:val="nl-NL" w:eastAsia="nl-NL"/>
        </w:rPr>
        <mc:AlternateContent>
          <mc:Choice Requires="wps">
            <w:drawing>
              <wp:anchor distT="0" distB="0" distL="114300" distR="114300" simplePos="0" relativeHeight="251660288" behindDoc="1" locked="0" layoutInCell="1" allowOverlap="1" wp14:anchorId="2C201FDE" wp14:editId="3133DC5C">
                <wp:simplePos x="0" y="0"/>
                <wp:positionH relativeFrom="margin">
                  <wp:align>right</wp:align>
                </wp:positionH>
                <wp:positionV relativeFrom="paragraph">
                  <wp:posOffset>119546</wp:posOffset>
                </wp:positionV>
                <wp:extent cx="2576195" cy="1414780"/>
                <wp:effectExtent l="0" t="0" r="0" b="0"/>
                <wp:wrapTight wrapText="bothSides">
                  <wp:wrapPolygon edited="0">
                    <wp:start x="0" y="0"/>
                    <wp:lineTo x="0" y="21232"/>
                    <wp:lineTo x="21403" y="21232"/>
                    <wp:lineTo x="21403" y="0"/>
                    <wp:lineTo x="0" y="0"/>
                  </wp:wrapPolygon>
                </wp:wrapTight>
                <wp:docPr id="495520273" name="Rectangle 1"/>
                <wp:cNvGraphicFramePr/>
                <a:graphic xmlns:a="http://schemas.openxmlformats.org/drawingml/2006/main">
                  <a:graphicData uri="http://schemas.microsoft.com/office/word/2010/wordprocessingShape">
                    <wps:wsp>
                      <wps:cNvSpPr/>
                      <wps:spPr>
                        <a:xfrm>
                          <a:off x="0" y="0"/>
                          <a:ext cx="2576195" cy="141478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1F4D9" id="Rectangle 1" o:spid="_x0000_s1026" style="position:absolute;margin-left:151.65pt;margin-top:9.4pt;width:202.85pt;height:111.4pt;z-index:-25165619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BnkQIAAJoFAAAOAAAAZHJzL2Uyb0RvYy54bWysVEtv2zAMvg/YfxB0X21nSR9BnSJI0WFA&#10;1xZth55VWYoNyKImKXGyXz9Ksp2263YYdrElPj6Sn0ieX+xaRbbCugZ0SYujnBKhOVSNXpf0++PV&#10;p1NKnGe6Ygq0KOleOHqx+PjhvDNzMYEaVCUsQRDt5p0pae29mWeZ47VomTsCIzQqJdiWebzadVZZ&#10;1iF6q7JJnh9nHdjKWODCOZReJiVdRHwpBfe3UjrhiSop5ubj18bvc/hmi3M2X1tm6ob3abB/yKJl&#10;jcagI9Ql84xsbPMbVNtwCw6kP+LQZiBlw0WsAasp8jfVPNTMiFgLkuPMSJP7f7D8Zvtg7izS0Bk3&#10;d3gMVeykbcMf8yO7SNZ+JEvsPOEonMxOjouzGSUcdcW0mJ6cRjqzg7uxzn8R0JJwKKnF14gkse21&#10;8xgSTQeTEM2BaqqrRql4CR0gVsqSLcO387siuqpN+w2qJDue5Xn/gijGd07iz4MY4WMfBZQY7FUA&#10;pUMYDSFgyiVIsgMN8eT3SgQ7pe+FJE0VCo+JjMgpKONcaJ9ydDWrRBIXf8wlAgZkifFH7B7gde0D&#10;dsqytw+uIjb46Jz/LbHkPHrEyKD96Nw2Gux7AAqr6iMn+4GkRE1g6Rmq/Z0lFtJ4OcOvGnzxa+b8&#10;HbM4Tzh5uCP8LX6kgq6k0J8oqcH+fE8e7LHNUUtJh/NZUvdjw6ygRH3VOABnxXQaBjpeprOTCV7s&#10;S83zS43etCvANipwGxkej8Heq+EoLbRPuEqWISqqmOYYu6Tc2+Gy8mlv4DLiYrmMZjjEhvlr/WB4&#10;AA+sho5+3D0xa/q29zgxNzDMMpu/6f5kGzw1LDceZBNH48BrzzcugNjE/bIKG+blPVodVuriFwAA&#10;AP//AwBQSwMEFAAGAAgAAAAhAGVbSiHdAAAABwEAAA8AAABkcnMvZG93bnJldi54bWxMj8FOwzAQ&#10;RO9I/IO1SNyokyq0VYhTISQObS/QcunNiV07aryObKcJf89yguPOjGbeVtvZ9eymQ+w8CsgXGTCN&#10;rVcdGgFfp/enDbCYJCrZe9QCvnWEbX1/V8lS+Qk/9e2YDKMSjKUUYFMaSs5ja7WTceEHjeRdfHAy&#10;0RkMV0FOVO56vsyyFXeyQ1qwctBvVrfX4+gEdOZjl0+F2Y3ngwun/flgx30jxOPD/PoCLOk5/YXh&#10;F5/QoSamxo+oIusF0COJ1A3xk1tkz2tgjYBlka+A1xX/z1//AAAA//8DAFBLAQItABQABgAIAAAA&#10;IQC2gziS/gAAAOEBAAATAAAAAAAAAAAAAAAAAAAAAABbQ29udGVudF9UeXBlc10ueG1sUEsBAi0A&#10;FAAGAAgAAAAhADj9If/WAAAAlAEAAAsAAAAAAAAAAAAAAAAALwEAAF9yZWxzLy5yZWxzUEsBAi0A&#10;FAAGAAgAAAAhABSjIGeRAgAAmgUAAA4AAAAAAAAAAAAAAAAALgIAAGRycy9lMm9Eb2MueG1sUEsB&#10;Ai0AFAAGAAgAAAAhAGVbSiHdAAAABwEAAA8AAAAAAAAAAAAAAAAA6wQAAGRycy9kb3ducmV2Lnht&#10;bFBLBQYAAAAABAAEAPMAAAD1BQAAAAA=&#10;" fillcolor="#5a5a5a [2109]" stroked="f" strokeweight="1pt">
                <w10:wrap type="tight" anchorx="margin"/>
              </v:rect>
            </w:pict>
          </mc:Fallback>
        </mc:AlternateContent>
      </w:r>
      <w:r w:rsidR="00FC01AA">
        <w:br/>
      </w:r>
      <w:r w:rsidR="00FC01AA" w:rsidRPr="00630F34">
        <w:t xml:space="preserve">As the nation’s eye remains on </w:t>
      </w:r>
      <w:r w:rsidR="005B1FEE" w:rsidRPr="00630F34">
        <w:t xml:space="preserve">money-saving measures, </w:t>
      </w:r>
      <w:r w:rsidR="00FC01AA" w:rsidRPr="00630F34">
        <w:t>fresh produce experienced an increase in the number of times shoppers purchased fresh fruit or vegetables, but they spent the same amount as last year due to purchasing fewer or smaller items.</w:t>
      </w:r>
      <w:r w:rsidR="005B1FEE" w:rsidRPr="00630F34">
        <w:t xml:space="preserve"> </w:t>
      </w:r>
      <w:r w:rsidR="00FC01AA" w:rsidRPr="00630F34">
        <w:t>November 2023 fresh produce sales reached $5.6 billion</w:t>
      </w:r>
      <w:r w:rsidR="00284A86" w:rsidRPr="00630F34">
        <w:t xml:space="preserve"> and volume was only a fraction between November 2022 levels, at -0.5%</w:t>
      </w:r>
      <w:r w:rsidR="00FC01AA" w:rsidRPr="00630F34">
        <w:t xml:space="preserve">. </w:t>
      </w:r>
      <w:r w:rsidR="00284A86" w:rsidRPr="00630F34">
        <w:t>As such</w:t>
      </w:r>
      <w:r w:rsidR="00FC01AA" w:rsidRPr="00630F34">
        <w:t xml:space="preserve">, the fresh produce department had far better results than the total store and the total fresh perimeter. </w:t>
      </w:r>
    </w:p>
    <w:p w14:paraId="75CE99B0" w14:textId="3467BD01" w:rsidR="009B3A61" w:rsidRPr="009B3A61" w:rsidRDefault="009B3A61" w:rsidP="009B3A61">
      <w:pPr>
        <w:pStyle w:val="NoSpacing"/>
        <w:ind w:left="360"/>
      </w:pPr>
    </w:p>
    <w:p w14:paraId="737234D5" w14:textId="3B512D43" w:rsidR="00927EAC" w:rsidRPr="00927EAC" w:rsidRDefault="007D3393" w:rsidP="00927EAC">
      <w:pPr>
        <w:pStyle w:val="Heading2"/>
        <w:rPr>
          <w:b/>
          <w:bCs/>
          <w:color w:val="ED7D31" w:themeColor="accent2"/>
        </w:rPr>
      </w:pPr>
      <w:r>
        <w:rPr>
          <w:b/>
          <w:bCs/>
          <w:color w:val="ED7D31" w:themeColor="accent2"/>
        </w:rPr>
        <w:t xml:space="preserve">Fresh Mushroom </w:t>
      </w:r>
      <w:r w:rsidR="00927EAC" w:rsidRPr="00927EAC">
        <w:rPr>
          <w:b/>
          <w:bCs/>
          <w:color w:val="ED7D31" w:themeColor="accent2"/>
        </w:rPr>
        <w:t>Dollars, Units and Volume Performance</w:t>
      </w:r>
    </w:p>
    <w:p w14:paraId="47797D03" w14:textId="370AEC30" w:rsidR="00472B02" w:rsidRDefault="00C65479" w:rsidP="00472B02">
      <w:pPr>
        <w:pStyle w:val="NoSpacing"/>
      </w:pPr>
      <w:r>
        <w:t>F</w:t>
      </w:r>
      <w:r w:rsidR="007D3393">
        <w:t xml:space="preserve">resh mushroom </w:t>
      </w:r>
      <w:r>
        <w:t xml:space="preserve">sales </w:t>
      </w:r>
      <w:r w:rsidR="007D3393">
        <w:t xml:space="preserve">patterns </w:t>
      </w:r>
      <w:r w:rsidR="00F40BC0">
        <w:t>were similar in</w:t>
      </w:r>
      <w:r w:rsidR="007D3393">
        <w:t xml:space="preserve"> the quad-week period, with unit </w:t>
      </w:r>
      <w:r w:rsidR="009B71AE">
        <w:t xml:space="preserve">and volume declines during the shorter and longer time periods. </w:t>
      </w:r>
      <w:r w:rsidR="009D6711">
        <w:t>In the latest four weeks, volume</w:t>
      </w:r>
      <w:r w:rsidR="0059588E">
        <w:t xml:space="preserve"> declines stayed </w:t>
      </w:r>
      <w:r w:rsidR="009B3A61">
        <w:t xml:space="preserve">around </w:t>
      </w:r>
      <w:r w:rsidR="00090109">
        <w:t>5</w:t>
      </w:r>
      <w:r w:rsidR="00986D1F">
        <w:t xml:space="preserve"> </w:t>
      </w:r>
      <w:r w:rsidR="0059588E">
        <w:t>points</w:t>
      </w:r>
      <w:r w:rsidR="009D6711">
        <w:t xml:space="preserve"> of year ago levels. </w:t>
      </w:r>
      <w:r w:rsidR="000E0D6B">
        <w:t xml:space="preserve">The </w:t>
      </w:r>
      <w:r w:rsidR="009D6711">
        <w:t xml:space="preserve">volume declines </w:t>
      </w:r>
      <w:r w:rsidR="00F40BC0">
        <w:t xml:space="preserve">intensified </w:t>
      </w:r>
      <w:r>
        <w:t xml:space="preserve">somewhat </w:t>
      </w:r>
      <w:r w:rsidR="009D6711">
        <w:t>in comparison with the 52-week</w:t>
      </w:r>
      <w:r w:rsidR="00B42A49">
        <w:t xml:space="preserve"> look that shows pounds down </w:t>
      </w:r>
      <w:r w:rsidR="00090109">
        <w:t>4.7</w:t>
      </w:r>
      <w:r w:rsidR="004C088A">
        <w:t>%</w:t>
      </w:r>
      <w:r w:rsidR="009D6711">
        <w:t xml:space="preserve">. </w:t>
      </w:r>
    </w:p>
    <w:p w14:paraId="40FAA348" w14:textId="6A56CCC2" w:rsidR="00AD7044" w:rsidRDefault="00AD7044" w:rsidP="00472B02">
      <w:pPr>
        <w:pStyle w:val="NoSpacing"/>
      </w:pPr>
    </w:p>
    <w:tbl>
      <w:tblPr>
        <w:tblStyle w:val="ListTable3-Accent2"/>
        <w:tblW w:w="10054" w:type="dxa"/>
        <w:tblLook w:val="04A0" w:firstRow="1" w:lastRow="0" w:firstColumn="1" w:lastColumn="0" w:noHBand="0" w:noVBand="1"/>
      </w:tblPr>
      <w:tblGrid>
        <w:gridCol w:w="1792"/>
        <w:gridCol w:w="1881"/>
        <w:gridCol w:w="1021"/>
        <w:gridCol w:w="1099"/>
        <w:gridCol w:w="1946"/>
        <w:gridCol w:w="1121"/>
        <w:gridCol w:w="1194"/>
      </w:tblGrid>
      <w:tr w:rsidR="00B672D0" w:rsidRPr="00124CB7" w14:paraId="5D073D77" w14:textId="77777777" w:rsidTr="00AB01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2" w:type="dxa"/>
          </w:tcPr>
          <w:p w14:paraId="0624EE87" w14:textId="452C2900" w:rsidR="00B672D0" w:rsidRPr="00124CB7" w:rsidRDefault="00B672D0" w:rsidP="00B672D0">
            <w:pPr>
              <w:pStyle w:val="NoSpacing"/>
            </w:pPr>
            <w:r>
              <w:t>Fresh mushrooms</w:t>
            </w:r>
          </w:p>
        </w:tc>
        <w:tc>
          <w:tcPr>
            <w:tcW w:w="1881" w:type="dxa"/>
          </w:tcPr>
          <w:p w14:paraId="51DF6E55" w14:textId="011D6884"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AB019A">
              <w:t>12/3</w:t>
            </w:r>
            <w:r>
              <w:t>/2023</w:t>
            </w:r>
          </w:p>
        </w:tc>
        <w:tc>
          <w:tcPr>
            <w:tcW w:w="1021" w:type="dxa"/>
          </w:tcPr>
          <w:p w14:paraId="4B26425C" w14:textId="77777777" w:rsidR="00B672D0"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rPr>
                <w:b w:val="0"/>
                <w:bCs w:val="0"/>
              </w:rPr>
            </w:pPr>
          </w:p>
          <w:p w14:paraId="0398A30D" w14:textId="02B74031"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Vs. 2022</w:t>
            </w:r>
          </w:p>
        </w:tc>
        <w:tc>
          <w:tcPr>
            <w:tcW w:w="1099" w:type="dxa"/>
            <w:tcBorders>
              <w:right w:val="single" w:sz="4" w:space="0" w:color="ED7D31" w:themeColor="accent2"/>
            </w:tcBorders>
          </w:tcPr>
          <w:p w14:paraId="66B6F0A2" w14:textId="77777777" w:rsidR="00B672D0"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rPr>
                <w:b w:val="0"/>
                <w:bCs w:val="0"/>
              </w:rPr>
            </w:pPr>
          </w:p>
          <w:p w14:paraId="11B3D9FB" w14:textId="15CCA3DC"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Vs. 2020</w:t>
            </w:r>
          </w:p>
        </w:tc>
        <w:tc>
          <w:tcPr>
            <w:tcW w:w="1946" w:type="dxa"/>
            <w:tcBorders>
              <w:left w:val="single" w:sz="4" w:space="0" w:color="ED7D31" w:themeColor="accent2"/>
            </w:tcBorders>
          </w:tcPr>
          <w:p w14:paraId="3BBE24C3" w14:textId="77B6F15C"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AB019A">
              <w:t>12/3</w:t>
            </w:r>
            <w:r>
              <w:t>/2023</w:t>
            </w:r>
          </w:p>
        </w:tc>
        <w:tc>
          <w:tcPr>
            <w:tcW w:w="1121" w:type="dxa"/>
          </w:tcPr>
          <w:p w14:paraId="40EE3430" w14:textId="77777777" w:rsidR="00B672D0"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rPr>
                <w:b w:val="0"/>
                <w:bCs w:val="0"/>
              </w:rPr>
            </w:pPr>
          </w:p>
          <w:p w14:paraId="0895179F" w14:textId="133A5C28"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Vs. 2022</w:t>
            </w:r>
          </w:p>
        </w:tc>
        <w:tc>
          <w:tcPr>
            <w:tcW w:w="1194" w:type="dxa"/>
          </w:tcPr>
          <w:p w14:paraId="0BDA0615" w14:textId="77777777" w:rsidR="00B672D0"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rPr>
                <w:b w:val="0"/>
                <w:bCs w:val="0"/>
              </w:rPr>
            </w:pPr>
          </w:p>
          <w:p w14:paraId="5AB7ECE0" w14:textId="0D54DE1F"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Vs. 2020</w:t>
            </w:r>
          </w:p>
        </w:tc>
      </w:tr>
      <w:tr w:rsidR="00AB019A" w14:paraId="22401D5B" w14:textId="77777777" w:rsidTr="00AB019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2" w:type="dxa"/>
          </w:tcPr>
          <w:p w14:paraId="79CDF43D" w14:textId="166854D6" w:rsidR="00AB019A" w:rsidRPr="00124CB7" w:rsidRDefault="00AB019A" w:rsidP="00AB019A">
            <w:pPr>
              <w:pStyle w:val="NoSpacing"/>
              <w:rPr>
                <w:b w:val="0"/>
                <w:bCs w:val="0"/>
              </w:rPr>
            </w:pPr>
            <w:r>
              <w:rPr>
                <w:b w:val="0"/>
                <w:bCs w:val="0"/>
              </w:rPr>
              <w:t>Dollars</w:t>
            </w:r>
          </w:p>
        </w:tc>
        <w:tc>
          <w:tcPr>
            <w:tcW w:w="1881" w:type="dxa"/>
          </w:tcPr>
          <w:p w14:paraId="6D1FCB95" w14:textId="63B344ED"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t xml:space="preserve">          $</w:t>
            </w:r>
            <w:r w:rsidR="00F65EBE">
              <w:t>99.8</w:t>
            </w:r>
            <w:r>
              <w:t xml:space="preserve"> million</w:t>
            </w:r>
          </w:p>
        </w:tc>
        <w:tc>
          <w:tcPr>
            <w:tcW w:w="1021" w:type="dxa"/>
          </w:tcPr>
          <w:p w14:paraId="77D2040B" w14:textId="7C42B678"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sidR="00F65EBE">
              <w:rPr>
                <w:rFonts w:cstheme="minorHAnsi"/>
                <w:color w:val="000000" w:themeColor="text1"/>
              </w:rPr>
              <w:t>4.6</w:t>
            </w:r>
            <w:r w:rsidRPr="00B4625C">
              <w:rPr>
                <w:rFonts w:cstheme="minorHAnsi"/>
                <w:color w:val="000000" w:themeColor="text1"/>
              </w:rPr>
              <w:t>%</w:t>
            </w:r>
          </w:p>
        </w:tc>
        <w:tc>
          <w:tcPr>
            <w:tcW w:w="1099" w:type="dxa"/>
            <w:tcBorders>
              <w:right w:val="single" w:sz="4" w:space="0" w:color="ED7D31" w:themeColor="accent2"/>
            </w:tcBorders>
          </w:tcPr>
          <w:p w14:paraId="4EF21002" w14:textId="534C29D9"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sidR="00F65EBE">
              <w:rPr>
                <w:rFonts w:cstheme="minorHAnsi"/>
                <w:color w:val="000000" w:themeColor="text1"/>
              </w:rPr>
              <w:t>9.0</w:t>
            </w:r>
            <w:r w:rsidRPr="00B4625C">
              <w:rPr>
                <w:rFonts w:cstheme="minorHAnsi"/>
                <w:color w:val="000000" w:themeColor="text1"/>
              </w:rPr>
              <w:t>%</w:t>
            </w:r>
          </w:p>
        </w:tc>
        <w:tc>
          <w:tcPr>
            <w:tcW w:w="1946" w:type="dxa"/>
            <w:tcBorders>
              <w:left w:val="single" w:sz="4" w:space="0" w:color="ED7D31" w:themeColor="accent2"/>
            </w:tcBorders>
          </w:tcPr>
          <w:p w14:paraId="375CF9DD" w14:textId="7BE21862"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t xml:space="preserve">        $</w:t>
            </w:r>
            <w:r w:rsidR="00F65EBE">
              <w:t>1.3</w:t>
            </w:r>
            <w:r>
              <w:t xml:space="preserve"> billion</w:t>
            </w:r>
          </w:p>
        </w:tc>
        <w:tc>
          <w:tcPr>
            <w:tcW w:w="1121" w:type="dxa"/>
          </w:tcPr>
          <w:p w14:paraId="04EA64A9" w14:textId="7A646785"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7E5D4E">
              <w:rPr>
                <w:rFonts w:cstheme="minorHAnsi"/>
                <w:color w:val="000000" w:themeColor="text1"/>
              </w:rPr>
              <w:t>-</w:t>
            </w:r>
            <w:r w:rsidR="00F65EBE">
              <w:rPr>
                <w:rFonts w:cstheme="minorHAnsi"/>
                <w:color w:val="000000" w:themeColor="text1"/>
              </w:rPr>
              <w:t>2.8</w:t>
            </w:r>
            <w:r w:rsidRPr="007E5D4E">
              <w:rPr>
                <w:rFonts w:cstheme="minorHAnsi"/>
                <w:color w:val="000000" w:themeColor="text1"/>
              </w:rPr>
              <w:t>%</w:t>
            </w:r>
          </w:p>
        </w:tc>
        <w:tc>
          <w:tcPr>
            <w:tcW w:w="1194" w:type="dxa"/>
          </w:tcPr>
          <w:p w14:paraId="2F2464E9" w14:textId="2CA7365F"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7E5D4E">
              <w:rPr>
                <w:rFonts w:cstheme="minorHAnsi"/>
                <w:color w:val="000000" w:themeColor="text1"/>
              </w:rPr>
              <w:t>-</w:t>
            </w:r>
            <w:r w:rsidR="00F65EBE">
              <w:rPr>
                <w:rFonts w:cstheme="minorHAnsi"/>
                <w:color w:val="000000" w:themeColor="text1"/>
              </w:rPr>
              <w:t>9.0</w:t>
            </w:r>
            <w:r w:rsidRPr="007E5D4E">
              <w:rPr>
                <w:rFonts w:cstheme="minorHAnsi"/>
                <w:color w:val="000000" w:themeColor="text1"/>
              </w:rPr>
              <w:t>%</w:t>
            </w:r>
          </w:p>
        </w:tc>
      </w:tr>
      <w:tr w:rsidR="00AB019A" w14:paraId="31FB8D29" w14:textId="77777777" w:rsidTr="00AB019A">
        <w:tc>
          <w:tcPr>
            <w:cnfStyle w:val="001000000000" w:firstRow="0" w:lastRow="0" w:firstColumn="1" w:lastColumn="0" w:oddVBand="0" w:evenVBand="0" w:oddHBand="0" w:evenHBand="0" w:firstRowFirstColumn="0" w:firstRowLastColumn="0" w:lastRowFirstColumn="0" w:lastRowLastColumn="0"/>
            <w:tcW w:w="1792" w:type="dxa"/>
          </w:tcPr>
          <w:p w14:paraId="10B2F651" w14:textId="48542DFC" w:rsidR="00AB019A" w:rsidRPr="00124CB7" w:rsidRDefault="00AB019A" w:rsidP="00AB019A">
            <w:pPr>
              <w:pStyle w:val="NoSpacing"/>
              <w:rPr>
                <w:b w:val="0"/>
                <w:bCs w:val="0"/>
              </w:rPr>
            </w:pPr>
            <w:r>
              <w:rPr>
                <w:b w:val="0"/>
                <w:bCs w:val="0"/>
              </w:rPr>
              <w:t>Units</w:t>
            </w:r>
          </w:p>
        </w:tc>
        <w:tc>
          <w:tcPr>
            <w:tcW w:w="1881" w:type="dxa"/>
          </w:tcPr>
          <w:p w14:paraId="3CA03520" w14:textId="619BB972" w:rsidR="00AB019A" w:rsidRDefault="00AB019A" w:rsidP="00AB019A">
            <w:pPr>
              <w:pStyle w:val="NoSpacing"/>
              <w:jc w:val="right"/>
              <w:cnfStyle w:val="000000000000" w:firstRow="0" w:lastRow="0" w:firstColumn="0" w:lastColumn="0" w:oddVBand="0" w:evenVBand="0" w:oddHBand="0" w:evenHBand="0" w:firstRowFirstColumn="0" w:firstRowLastColumn="0" w:lastRowFirstColumn="0" w:lastRowLastColumn="0"/>
            </w:pPr>
            <w:r>
              <w:t xml:space="preserve">        </w:t>
            </w:r>
            <w:r w:rsidR="00F65EBE">
              <w:t>32.8</w:t>
            </w:r>
            <w:r>
              <w:t xml:space="preserve"> million</w:t>
            </w:r>
          </w:p>
        </w:tc>
        <w:tc>
          <w:tcPr>
            <w:tcW w:w="1021" w:type="dxa"/>
          </w:tcPr>
          <w:p w14:paraId="6922F333" w14:textId="3D2AC0E5" w:rsidR="00AB019A" w:rsidRDefault="00AB019A" w:rsidP="00AB019A">
            <w:pPr>
              <w:pStyle w:val="NoSpacing"/>
              <w:jc w:val="right"/>
              <w:cnfStyle w:val="000000000000" w:firstRow="0" w:lastRow="0" w:firstColumn="0" w:lastColumn="0" w:oddVBand="0" w:evenVBand="0" w:oddHBand="0" w:evenHBand="0" w:firstRowFirstColumn="0" w:firstRowLastColumn="0" w:lastRowFirstColumn="0" w:lastRowLastColumn="0"/>
            </w:pPr>
            <w:r w:rsidRPr="00B4625C">
              <w:rPr>
                <w:rFonts w:cstheme="minorHAnsi"/>
                <w:color w:val="000000" w:themeColor="text1"/>
              </w:rPr>
              <w:t>-</w:t>
            </w:r>
            <w:r w:rsidR="00F65EBE">
              <w:rPr>
                <w:rFonts w:cstheme="minorHAnsi"/>
                <w:color w:val="000000" w:themeColor="text1"/>
              </w:rPr>
              <w:t>5.3</w:t>
            </w:r>
            <w:r w:rsidRPr="00B4625C">
              <w:rPr>
                <w:rFonts w:cstheme="minorHAnsi"/>
                <w:color w:val="000000" w:themeColor="text1"/>
              </w:rPr>
              <w:t>%</w:t>
            </w:r>
          </w:p>
        </w:tc>
        <w:tc>
          <w:tcPr>
            <w:tcW w:w="1099" w:type="dxa"/>
            <w:tcBorders>
              <w:right w:val="single" w:sz="4" w:space="0" w:color="ED7D31" w:themeColor="accent2"/>
            </w:tcBorders>
          </w:tcPr>
          <w:p w14:paraId="7CD8DEEA" w14:textId="5D1405A7" w:rsidR="00AB019A" w:rsidRDefault="00AB019A" w:rsidP="00AB019A">
            <w:pPr>
              <w:pStyle w:val="NoSpacing"/>
              <w:jc w:val="right"/>
              <w:cnfStyle w:val="000000000000" w:firstRow="0" w:lastRow="0" w:firstColumn="0" w:lastColumn="0" w:oddVBand="0" w:evenVBand="0" w:oddHBand="0" w:evenHBand="0" w:firstRowFirstColumn="0" w:firstRowLastColumn="0" w:lastRowFirstColumn="0" w:lastRowLastColumn="0"/>
            </w:pPr>
            <w:r w:rsidRPr="00B4625C">
              <w:rPr>
                <w:rFonts w:cstheme="minorHAnsi"/>
                <w:color w:val="000000" w:themeColor="text1"/>
              </w:rPr>
              <w:t>-</w:t>
            </w:r>
            <w:r w:rsidR="00F65EBE">
              <w:rPr>
                <w:rFonts w:cstheme="minorHAnsi"/>
                <w:color w:val="000000" w:themeColor="text1"/>
              </w:rPr>
              <w:t>18.7</w:t>
            </w:r>
            <w:r w:rsidRPr="00B4625C">
              <w:rPr>
                <w:rFonts w:cstheme="minorHAnsi"/>
                <w:color w:val="000000" w:themeColor="text1"/>
              </w:rPr>
              <w:t>%</w:t>
            </w:r>
          </w:p>
        </w:tc>
        <w:tc>
          <w:tcPr>
            <w:tcW w:w="1946" w:type="dxa"/>
            <w:tcBorders>
              <w:left w:val="single" w:sz="4" w:space="0" w:color="ED7D31" w:themeColor="accent2"/>
            </w:tcBorders>
          </w:tcPr>
          <w:p w14:paraId="26ECACB9" w14:textId="6851FBD5" w:rsidR="00AB019A" w:rsidRDefault="00AB019A" w:rsidP="00AB019A">
            <w:pPr>
              <w:pStyle w:val="NoSpacing"/>
              <w:jc w:val="right"/>
              <w:cnfStyle w:val="000000000000" w:firstRow="0" w:lastRow="0" w:firstColumn="0" w:lastColumn="0" w:oddVBand="0" w:evenVBand="0" w:oddHBand="0" w:evenHBand="0" w:firstRowFirstColumn="0" w:firstRowLastColumn="0" w:lastRowFirstColumn="0" w:lastRowLastColumn="0"/>
            </w:pPr>
            <w:r>
              <w:t xml:space="preserve">         </w:t>
            </w:r>
            <w:r w:rsidR="00F65EBE">
              <w:t>424.0</w:t>
            </w:r>
            <w:r>
              <w:t xml:space="preserve"> million</w:t>
            </w:r>
          </w:p>
        </w:tc>
        <w:tc>
          <w:tcPr>
            <w:tcW w:w="1121" w:type="dxa"/>
          </w:tcPr>
          <w:p w14:paraId="60AAF678" w14:textId="4C71A109" w:rsidR="00AB019A" w:rsidRDefault="00AB019A" w:rsidP="00AB019A">
            <w:pPr>
              <w:pStyle w:val="NoSpacing"/>
              <w:jc w:val="right"/>
              <w:cnfStyle w:val="000000000000" w:firstRow="0" w:lastRow="0" w:firstColumn="0" w:lastColumn="0" w:oddVBand="0" w:evenVBand="0" w:oddHBand="0" w:evenHBand="0" w:firstRowFirstColumn="0" w:firstRowLastColumn="0" w:lastRowFirstColumn="0" w:lastRowLastColumn="0"/>
            </w:pPr>
            <w:r w:rsidRPr="007E5D4E">
              <w:rPr>
                <w:rFonts w:cstheme="minorHAnsi"/>
                <w:color w:val="000000" w:themeColor="text1"/>
              </w:rPr>
              <w:t>-</w:t>
            </w:r>
            <w:r w:rsidR="00F65EBE">
              <w:rPr>
                <w:rFonts w:cstheme="minorHAnsi"/>
                <w:color w:val="000000" w:themeColor="text1"/>
              </w:rPr>
              <w:t>5.1</w:t>
            </w:r>
            <w:r w:rsidRPr="007E5D4E">
              <w:rPr>
                <w:rFonts w:cstheme="minorHAnsi"/>
                <w:color w:val="000000" w:themeColor="text1"/>
              </w:rPr>
              <w:t>%</w:t>
            </w:r>
          </w:p>
        </w:tc>
        <w:tc>
          <w:tcPr>
            <w:tcW w:w="1194" w:type="dxa"/>
          </w:tcPr>
          <w:p w14:paraId="19BE3B74" w14:textId="4134954B" w:rsidR="00AB019A" w:rsidRDefault="00AB019A" w:rsidP="00AB019A">
            <w:pPr>
              <w:pStyle w:val="NoSpacing"/>
              <w:jc w:val="right"/>
              <w:cnfStyle w:val="000000000000" w:firstRow="0" w:lastRow="0" w:firstColumn="0" w:lastColumn="0" w:oddVBand="0" w:evenVBand="0" w:oddHBand="0" w:evenHBand="0" w:firstRowFirstColumn="0" w:firstRowLastColumn="0" w:lastRowFirstColumn="0" w:lastRowLastColumn="0"/>
            </w:pPr>
            <w:r w:rsidRPr="007E5D4E">
              <w:rPr>
                <w:rFonts w:cstheme="minorHAnsi"/>
                <w:color w:val="000000" w:themeColor="text1"/>
              </w:rPr>
              <w:t>-</w:t>
            </w:r>
            <w:r w:rsidR="00F65EBE">
              <w:rPr>
                <w:rFonts w:cstheme="minorHAnsi"/>
                <w:color w:val="000000" w:themeColor="text1"/>
              </w:rPr>
              <w:t>18.6</w:t>
            </w:r>
            <w:r w:rsidRPr="007E5D4E">
              <w:rPr>
                <w:rFonts w:cstheme="minorHAnsi"/>
                <w:color w:val="000000" w:themeColor="text1"/>
              </w:rPr>
              <w:t>%</w:t>
            </w:r>
          </w:p>
        </w:tc>
      </w:tr>
      <w:tr w:rsidR="00AB019A" w14:paraId="2EB720F3" w14:textId="77777777" w:rsidTr="00AB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Pr>
          <w:p w14:paraId="1A632454" w14:textId="04CEBBF8" w:rsidR="00AB019A" w:rsidRPr="00124CB7" w:rsidRDefault="00AB019A" w:rsidP="00AB019A">
            <w:pPr>
              <w:pStyle w:val="NoSpacing"/>
              <w:rPr>
                <w:b w:val="0"/>
                <w:bCs w:val="0"/>
              </w:rPr>
            </w:pPr>
            <w:r>
              <w:rPr>
                <w:b w:val="0"/>
                <w:bCs w:val="0"/>
              </w:rPr>
              <w:t>Volume (pounds)</w:t>
            </w:r>
          </w:p>
        </w:tc>
        <w:tc>
          <w:tcPr>
            <w:tcW w:w="1881" w:type="dxa"/>
          </w:tcPr>
          <w:p w14:paraId="68757A76" w14:textId="42F97ACF" w:rsidR="00AB019A" w:rsidRDefault="00AB019A" w:rsidP="00AB019A">
            <w:pPr>
              <w:pStyle w:val="NoSpacing"/>
              <w:tabs>
                <w:tab w:val="center" w:pos="747"/>
                <w:tab w:val="right" w:pos="1494"/>
              </w:tabs>
              <w:jc w:val="right"/>
              <w:cnfStyle w:val="000000100000" w:firstRow="0" w:lastRow="0" w:firstColumn="0" w:lastColumn="0" w:oddVBand="0" w:evenVBand="0" w:oddHBand="1" w:evenHBand="0" w:firstRowFirstColumn="0" w:firstRowLastColumn="0" w:lastRowFirstColumn="0" w:lastRowLastColumn="0"/>
            </w:pPr>
            <w:r>
              <w:t xml:space="preserve">            </w:t>
            </w:r>
            <w:r w:rsidR="00F65EBE">
              <w:t>21.1</w:t>
            </w:r>
            <w:r>
              <w:t xml:space="preserve"> million</w:t>
            </w:r>
          </w:p>
        </w:tc>
        <w:tc>
          <w:tcPr>
            <w:tcW w:w="1021" w:type="dxa"/>
          </w:tcPr>
          <w:p w14:paraId="7DE7F9CC" w14:textId="6F3F1993"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sidR="00F65EBE">
              <w:rPr>
                <w:rFonts w:cstheme="minorHAnsi"/>
                <w:color w:val="000000" w:themeColor="text1"/>
              </w:rPr>
              <w:t>4.9</w:t>
            </w:r>
            <w:r w:rsidRPr="00B4625C">
              <w:rPr>
                <w:rFonts w:cstheme="minorHAnsi"/>
                <w:color w:val="000000" w:themeColor="text1"/>
              </w:rPr>
              <w:t>%</w:t>
            </w:r>
          </w:p>
        </w:tc>
        <w:tc>
          <w:tcPr>
            <w:tcW w:w="1099" w:type="dxa"/>
            <w:tcBorders>
              <w:right w:val="single" w:sz="4" w:space="0" w:color="ED7D31" w:themeColor="accent2"/>
            </w:tcBorders>
          </w:tcPr>
          <w:p w14:paraId="47670DC1" w14:textId="34C4ABC4"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sidR="00F65EBE">
              <w:rPr>
                <w:rFonts w:cstheme="minorHAnsi"/>
                <w:color w:val="000000" w:themeColor="text1"/>
              </w:rPr>
              <w:t>18.1</w:t>
            </w:r>
            <w:r w:rsidRPr="00B4625C">
              <w:rPr>
                <w:rFonts w:cstheme="minorHAnsi"/>
                <w:color w:val="000000" w:themeColor="text1"/>
              </w:rPr>
              <w:t>%</w:t>
            </w:r>
          </w:p>
        </w:tc>
        <w:tc>
          <w:tcPr>
            <w:tcW w:w="1946" w:type="dxa"/>
            <w:tcBorders>
              <w:left w:val="single" w:sz="4" w:space="0" w:color="ED7D31" w:themeColor="accent2"/>
            </w:tcBorders>
          </w:tcPr>
          <w:p w14:paraId="57878EB0" w14:textId="77F60AF0" w:rsidR="00AB019A" w:rsidRDefault="00F65EBE" w:rsidP="00AB019A">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pPr>
            <w:r>
              <w:t>267.6</w:t>
            </w:r>
            <w:r w:rsidR="00AB019A">
              <w:t xml:space="preserve"> million</w:t>
            </w:r>
          </w:p>
        </w:tc>
        <w:tc>
          <w:tcPr>
            <w:tcW w:w="1121" w:type="dxa"/>
          </w:tcPr>
          <w:p w14:paraId="0679CD28" w14:textId="7BCFB73A"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7E5D4E">
              <w:rPr>
                <w:rFonts w:cstheme="minorHAnsi"/>
                <w:color w:val="000000" w:themeColor="text1"/>
              </w:rPr>
              <w:t>-</w:t>
            </w:r>
            <w:r w:rsidR="00F65EBE">
              <w:rPr>
                <w:rFonts w:cstheme="minorHAnsi"/>
                <w:color w:val="000000" w:themeColor="text1"/>
              </w:rPr>
              <w:t>4.7</w:t>
            </w:r>
            <w:r w:rsidRPr="007E5D4E">
              <w:rPr>
                <w:rFonts w:cstheme="minorHAnsi"/>
                <w:color w:val="000000" w:themeColor="text1"/>
              </w:rPr>
              <w:t>%</w:t>
            </w:r>
          </w:p>
        </w:tc>
        <w:tc>
          <w:tcPr>
            <w:tcW w:w="1194" w:type="dxa"/>
          </w:tcPr>
          <w:p w14:paraId="09C03B7F" w14:textId="6C3C76E9"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7E5D4E">
              <w:rPr>
                <w:rFonts w:cstheme="minorHAnsi"/>
                <w:color w:val="000000" w:themeColor="text1"/>
              </w:rPr>
              <w:t>-</w:t>
            </w:r>
            <w:r w:rsidR="00F65EBE">
              <w:rPr>
                <w:rFonts w:cstheme="minorHAnsi"/>
                <w:color w:val="000000" w:themeColor="text1"/>
              </w:rPr>
              <w:t>17.8</w:t>
            </w:r>
            <w:r w:rsidRPr="007E5D4E">
              <w:rPr>
                <w:rFonts w:cstheme="minorHAnsi"/>
                <w:color w:val="000000" w:themeColor="text1"/>
              </w:rPr>
              <w:t>%</w:t>
            </w:r>
          </w:p>
        </w:tc>
      </w:tr>
    </w:tbl>
    <w:p w14:paraId="5B1F1AF6" w14:textId="4CE3F740"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Circana</w:t>
      </w:r>
      <w:r w:rsidRPr="00555250">
        <w:rPr>
          <w:color w:val="7F7F7F" w:themeColor="text1" w:themeTint="80"/>
          <w:sz w:val="16"/>
          <w:szCs w:val="16"/>
        </w:rPr>
        <w:t xml:space="preserve">, Integrated Fresh, MULO,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AB019A">
        <w:rPr>
          <w:color w:val="7F7F7F" w:themeColor="text1" w:themeTint="80"/>
          <w:sz w:val="16"/>
          <w:szCs w:val="16"/>
        </w:rPr>
        <w:t>12/3</w:t>
      </w:r>
      <w:r w:rsidR="00EB090C">
        <w:rPr>
          <w:color w:val="7F7F7F" w:themeColor="text1" w:themeTint="80"/>
          <w:sz w:val="16"/>
          <w:szCs w:val="16"/>
        </w:rPr>
        <w:t>/2023</w:t>
      </w:r>
    </w:p>
    <w:p w14:paraId="693975F5" w14:textId="5C6F2673" w:rsidR="000809C3" w:rsidRDefault="000809C3" w:rsidP="00472B02">
      <w:pPr>
        <w:pStyle w:val="NoSpacing"/>
      </w:pPr>
    </w:p>
    <w:p w14:paraId="3FBF647C" w14:textId="13A049CC" w:rsidR="000E0D6B" w:rsidRDefault="000E0D6B">
      <w:r>
        <w:t xml:space="preserve">Importantly, long-term patterns showed </w:t>
      </w:r>
      <w:r w:rsidR="00F20BAF">
        <w:t>the typical seasonal turnaround in</w:t>
      </w:r>
      <w:r>
        <w:t xml:space="preserve"> </w:t>
      </w:r>
      <w:r w:rsidR="00F20BAF">
        <w:t xml:space="preserve">period-over-prior-period </w:t>
      </w:r>
      <w:r>
        <w:t>volume sale</w:t>
      </w:r>
      <w:r w:rsidR="00986D1F">
        <w:t>s</w:t>
      </w:r>
      <w:r w:rsidR="00AB019A">
        <w:t>.</w:t>
      </w:r>
      <w:r w:rsidR="00F20BAF">
        <w:t xml:space="preserve"> Quad week 12, which includes Thanksgiving week, traditionally shows the strongest upswing over the prior quad</w:t>
      </w:r>
      <w:r>
        <w:t xml:space="preserve">-week </w:t>
      </w:r>
      <w:r w:rsidR="00AB019A">
        <w:t>sales</w:t>
      </w:r>
      <w:r w:rsidR="00F20BAF">
        <w:t xml:space="preserve"> levels. This year, volume increased by </w:t>
      </w:r>
      <w:r w:rsidR="00273580">
        <w:t>8.4</w:t>
      </w:r>
      <w:r w:rsidR="00F40BC0">
        <w:t>%</w:t>
      </w:r>
      <w:r w:rsidR="002F442E">
        <w:t xml:space="preserve"> over quad week 11</w:t>
      </w:r>
      <w:r w:rsidR="00F20BAF">
        <w:t xml:space="preserve"> — in line with prior years and a mere 200K off from the forecast.</w:t>
      </w:r>
      <w:r>
        <w:t xml:space="preserve"> (see forecast tab in the data spreadsheet).</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57"/>
        <w:gridCol w:w="657"/>
        <w:gridCol w:w="714"/>
        <w:gridCol w:w="657"/>
        <w:gridCol w:w="657"/>
        <w:gridCol w:w="657"/>
        <w:gridCol w:w="657"/>
        <w:gridCol w:w="657"/>
        <w:gridCol w:w="657"/>
        <w:gridCol w:w="720"/>
        <w:gridCol w:w="720"/>
        <w:gridCol w:w="720"/>
        <w:gridCol w:w="720"/>
      </w:tblGrid>
      <w:tr w:rsidR="000E0D6B" w:rsidRPr="000E0D6B" w14:paraId="2CE5BD2B" w14:textId="77777777" w:rsidTr="000E0D6B">
        <w:trPr>
          <w:trHeight w:val="552"/>
        </w:trPr>
        <w:tc>
          <w:tcPr>
            <w:tcW w:w="1440" w:type="dxa"/>
            <w:shd w:val="clear" w:color="auto" w:fill="auto"/>
            <w:hideMark/>
          </w:tcPr>
          <w:p w14:paraId="0137593C" w14:textId="77777777" w:rsidR="000E0D6B" w:rsidRPr="000E0D6B" w:rsidRDefault="000E0D6B" w:rsidP="000E0D6B">
            <w:pPr>
              <w:spacing w:after="0" w:line="240" w:lineRule="auto"/>
              <w:rPr>
                <w:rFonts w:eastAsia="Times New Roman" w:cstheme="minorHAnsi"/>
                <w:color w:val="000000"/>
                <w:sz w:val="18"/>
                <w:szCs w:val="18"/>
              </w:rPr>
            </w:pPr>
            <w:r w:rsidRPr="000E0D6B">
              <w:rPr>
                <w:rFonts w:eastAsia="Times New Roman" w:cstheme="minorHAnsi"/>
                <w:color w:val="000000"/>
                <w:sz w:val="18"/>
                <w:szCs w:val="18"/>
              </w:rPr>
              <w:t xml:space="preserve">Pound growth rates </w:t>
            </w:r>
            <w:r w:rsidRPr="000E0D6B">
              <w:rPr>
                <w:rFonts w:eastAsia="Times New Roman" w:cstheme="minorHAnsi"/>
                <w:b/>
                <w:bCs/>
                <w:color w:val="000000"/>
                <w:sz w:val="18"/>
                <w:szCs w:val="18"/>
              </w:rPr>
              <w:t>versus PRIOR PERIOD</w:t>
            </w:r>
          </w:p>
        </w:tc>
        <w:tc>
          <w:tcPr>
            <w:tcW w:w="657" w:type="dxa"/>
            <w:shd w:val="clear" w:color="auto" w:fill="auto"/>
            <w:vAlign w:val="center"/>
            <w:hideMark/>
          </w:tcPr>
          <w:p w14:paraId="4366F69D"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1</w:t>
            </w:r>
          </w:p>
        </w:tc>
        <w:tc>
          <w:tcPr>
            <w:tcW w:w="657" w:type="dxa"/>
            <w:shd w:val="clear" w:color="auto" w:fill="auto"/>
            <w:vAlign w:val="center"/>
            <w:hideMark/>
          </w:tcPr>
          <w:p w14:paraId="600FB821"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2</w:t>
            </w:r>
          </w:p>
        </w:tc>
        <w:tc>
          <w:tcPr>
            <w:tcW w:w="714" w:type="dxa"/>
            <w:shd w:val="clear" w:color="auto" w:fill="auto"/>
            <w:vAlign w:val="center"/>
            <w:hideMark/>
          </w:tcPr>
          <w:p w14:paraId="5617C026"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3</w:t>
            </w:r>
          </w:p>
        </w:tc>
        <w:tc>
          <w:tcPr>
            <w:tcW w:w="657" w:type="dxa"/>
            <w:shd w:val="clear" w:color="auto" w:fill="auto"/>
            <w:vAlign w:val="center"/>
            <w:hideMark/>
          </w:tcPr>
          <w:p w14:paraId="68335CCD"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4</w:t>
            </w:r>
          </w:p>
        </w:tc>
        <w:tc>
          <w:tcPr>
            <w:tcW w:w="657" w:type="dxa"/>
            <w:shd w:val="clear" w:color="auto" w:fill="auto"/>
            <w:vAlign w:val="center"/>
            <w:hideMark/>
          </w:tcPr>
          <w:p w14:paraId="157C0D00"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5</w:t>
            </w:r>
          </w:p>
        </w:tc>
        <w:tc>
          <w:tcPr>
            <w:tcW w:w="657" w:type="dxa"/>
            <w:shd w:val="clear" w:color="auto" w:fill="auto"/>
            <w:vAlign w:val="center"/>
            <w:hideMark/>
          </w:tcPr>
          <w:p w14:paraId="530B7B63"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6</w:t>
            </w:r>
          </w:p>
        </w:tc>
        <w:tc>
          <w:tcPr>
            <w:tcW w:w="657" w:type="dxa"/>
            <w:shd w:val="clear" w:color="auto" w:fill="auto"/>
            <w:vAlign w:val="center"/>
            <w:hideMark/>
          </w:tcPr>
          <w:p w14:paraId="7A895C41"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7</w:t>
            </w:r>
          </w:p>
        </w:tc>
        <w:tc>
          <w:tcPr>
            <w:tcW w:w="657" w:type="dxa"/>
            <w:shd w:val="clear" w:color="auto" w:fill="auto"/>
            <w:vAlign w:val="center"/>
            <w:hideMark/>
          </w:tcPr>
          <w:p w14:paraId="02A51AE9"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8</w:t>
            </w:r>
          </w:p>
        </w:tc>
        <w:tc>
          <w:tcPr>
            <w:tcW w:w="657" w:type="dxa"/>
            <w:shd w:val="clear" w:color="auto" w:fill="auto"/>
            <w:vAlign w:val="center"/>
            <w:hideMark/>
          </w:tcPr>
          <w:p w14:paraId="13060256"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9</w:t>
            </w:r>
          </w:p>
        </w:tc>
        <w:tc>
          <w:tcPr>
            <w:tcW w:w="720" w:type="dxa"/>
            <w:shd w:val="clear" w:color="auto" w:fill="auto"/>
            <w:vAlign w:val="center"/>
            <w:hideMark/>
          </w:tcPr>
          <w:p w14:paraId="68945EBB"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10</w:t>
            </w:r>
          </w:p>
        </w:tc>
        <w:tc>
          <w:tcPr>
            <w:tcW w:w="720" w:type="dxa"/>
            <w:shd w:val="clear" w:color="auto" w:fill="auto"/>
            <w:vAlign w:val="center"/>
            <w:hideMark/>
          </w:tcPr>
          <w:p w14:paraId="1F031356"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11</w:t>
            </w:r>
          </w:p>
        </w:tc>
        <w:tc>
          <w:tcPr>
            <w:tcW w:w="720" w:type="dxa"/>
            <w:shd w:val="clear" w:color="auto" w:fill="auto"/>
            <w:vAlign w:val="center"/>
            <w:hideMark/>
          </w:tcPr>
          <w:p w14:paraId="54099731"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12</w:t>
            </w:r>
          </w:p>
        </w:tc>
        <w:tc>
          <w:tcPr>
            <w:tcW w:w="720" w:type="dxa"/>
            <w:shd w:val="clear" w:color="auto" w:fill="auto"/>
            <w:vAlign w:val="center"/>
            <w:hideMark/>
          </w:tcPr>
          <w:p w14:paraId="0EFA218C"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13</w:t>
            </w:r>
          </w:p>
        </w:tc>
      </w:tr>
      <w:tr w:rsidR="000E0D6B" w:rsidRPr="000E0D6B" w14:paraId="7083EDA9" w14:textId="77777777" w:rsidTr="000E0D6B">
        <w:trPr>
          <w:trHeight w:val="144"/>
        </w:trPr>
        <w:tc>
          <w:tcPr>
            <w:tcW w:w="1440" w:type="dxa"/>
            <w:shd w:val="clear" w:color="auto" w:fill="auto"/>
            <w:noWrap/>
            <w:vAlign w:val="bottom"/>
            <w:hideMark/>
          </w:tcPr>
          <w:p w14:paraId="0496F523"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2017</w:t>
            </w:r>
          </w:p>
        </w:tc>
        <w:tc>
          <w:tcPr>
            <w:tcW w:w="657" w:type="dxa"/>
            <w:shd w:val="clear" w:color="auto" w:fill="auto"/>
            <w:noWrap/>
            <w:vAlign w:val="bottom"/>
            <w:hideMark/>
          </w:tcPr>
          <w:p w14:paraId="2E470360"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 </w:t>
            </w:r>
          </w:p>
        </w:tc>
        <w:tc>
          <w:tcPr>
            <w:tcW w:w="657" w:type="dxa"/>
            <w:shd w:val="clear" w:color="000000" w:fill="E6B8B7"/>
            <w:noWrap/>
            <w:vAlign w:val="bottom"/>
            <w:hideMark/>
          </w:tcPr>
          <w:p w14:paraId="7559548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-1.5%</w:t>
            </w:r>
          </w:p>
        </w:tc>
        <w:tc>
          <w:tcPr>
            <w:tcW w:w="714" w:type="dxa"/>
            <w:shd w:val="clear" w:color="000000" w:fill="E6B8B7"/>
            <w:noWrap/>
            <w:vAlign w:val="bottom"/>
            <w:hideMark/>
          </w:tcPr>
          <w:p w14:paraId="7F0D03B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-2.6%</w:t>
            </w:r>
          </w:p>
        </w:tc>
        <w:tc>
          <w:tcPr>
            <w:tcW w:w="657" w:type="dxa"/>
            <w:shd w:val="clear" w:color="000000" w:fill="E6B8B7"/>
            <w:noWrap/>
            <w:vAlign w:val="bottom"/>
            <w:hideMark/>
          </w:tcPr>
          <w:p w14:paraId="3154EF6E"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-1.8%</w:t>
            </w:r>
          </w:p>
        </w:tc>
        <w:tc>
          <w:tcPr>
            <w:tcW w:w="657" w:type="dxa"/>
            <w:shd w:val="clear" w:color="000000" w:fill="DA9694"/>
            <w:noWrap/>
            <w:vAlign w:val="bottom"/>
            <w:hideMark/>
          </w:tcPr>
          <w:p w14:paraId="2272285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-3.2%</w:t>
            </w:r>
          </w:p>
        </w:tc>
        <w:tc>
          <w:tcPr>
            <w:tcW w:w="657" w:type="dxa"/>
            <w:shd w:val="clear" w:color="000000" w:fill="DA9694"/>
            <w:noWrap/>
            <w:vAlign w:val="bottom"/>
            <w:hideMark/>
          </w:tcPr>
          <w:p w14:paraId="1082D2E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-3.5%</w:t>
            </w:r>
          </w:p>
        </w:tc>
        <w:tc>
          <w:tcPr>
            <w:tcW w:w="657" w:type="dxa"/>
            <w:shd w:val="clear" w:color="000000" w:fill="E6B8B7"/>
            <w:noWrap/>
            <w:vAlign w:val="bottom"/>
            <w:hideMark/>
          </w:tcPr>
          <w:p w14:paraId="05E2737E"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-1.6%</w:t>
            </w:r>
          </w:p>
        </w:tc>
        <w:tc>
          <w:tcPr>
            <w:tcW w:w="657" w:type="dxa"/>
            <w:shd w:val="clear" w:color="000000" w:fill="E6B8B7"/>
            <w:noWrap/>
            <w:vAlign w:val="bottom"/>
            <w:hideMark/>
          </w:tcPr>
          <w:p w14:paraId="5B754E6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-0.5%</w:t>
            </w:r>
          </w:p>
        </w:tc>
        <w:tc>
          <w:tcPr>
            <w:tcW w:w="657" w:type="dxa"/>
            <w:shd w:val="clear" w:color="000000" w:fill="D8E4BC"/>
            <w:noWrap/>
            <w:vAlign w:val="bottom"/>
            <w:hideMark/>
          </w:tcPr>
          <w:p w14:paraId="3E4D0CD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1.0%</w:t>
            </w:r>
          </w:p>
        </w:tc>
        <w:tc>
          <w:tcPr>
            <w:tcW w:w="720" w:type="dxa"/>
            <w:shd w:val="clear" w:color="000000" w:fill="D8E4BC"/>
            <w:noWrap/>
            <w:vAlign w:val="bottom"/>
            <w:hideMark/>
          </w:tcPr>
          <w:p w14:paraId="2CF2B55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1.5%</w:t>
            </w:r>
          </w:p>
        </w:tc>
        <w:tc>
          <w:tcPr>
            <w:tcW w:w="720" w:type="dxa"/>
            <w:shd w:val="clear" w:color="000000" w:fill="D8E4BC"/>
            <w:noWrap/>
            <w:vAlign w:val="bottom"/>
            <w:hideMark/>
          </w:tcPr>
          <w:p w14:paraId="7624135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1.4%</w:t>
            </w:r>
          </w:p>
        </w:tc>
        <w:tc>
          <w:tcPr>
            <w:tcW w:w="720" w:type="dxa"/>
            <w:shd w:val="clear" w:color="000000" w:fill="C4D79B"/>
            <w:noWrap/>
            <w:vAlign w:val="bottom"/>
            <w:hideMark/>
          </w:tcPr>
          <w:p w14:paraId="6106BBAF"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7.9%</w:t>
            </w:r>
          </w:p>
        </w:tc>
        <w:tc>
          <w:tcPr>
            <w:tcW w:w="720" w:type="dxa"/>
            <w:shd w:val="clear" w:color="000000" w:fill="D8E4BC"/>
            <w:noWrap/>
            <w:vAlign w:val="bottom"/>
            <w:hideMark/>
          </w:tcPr>
          <w:p w14:paraId="5A5B02B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7.3%</w:t>
            </w:r>
          </w:p>
        </w:tc>
      </w:tr>
      <w:tr w:rsidR="000E0D6B" w:rsidRPr="000E0D6B" w14:paraId="3B8C9CB3" w14:textId="77777777" w:rsidTr="000E0D6B">
        <w:trPr>
          <w:trHeight w:val="144"/>
        </w:trPr>
        <w:tc>
          <w:tcPr>
            <w:tcW w:w="1440" w:type="dxa"/>
            <w:shd w:val="clear" w:color="auto" w:fill="auto"/>
            <w:noWrap/>
            <w:vAlign w:val="bottom"/>
            <w:hideMark/>
          </w:tcPr>
          <w:p w14:paraId="10415BAB"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2018</w:t>
            </w:r>
          </w:p>
        </w:tc>
        <w:tc>
          <w:tcPr>
            <w:tcW w:w="657" w:type="dxa"/>
            <w:shd w:val="clear" w:color="000000" w:fill="C4D79B"/>
            <w:noWrap/>
            <w:vAlign w:val="bottom"/>
            <w:hideMark/>
          </w:tcPr>
          <w:p w14:paraId="3666588F"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-1.0%</w:t>
            </w:r>
          </w:p>
        </w:tc>
        <w:tc>
          <w:tcPr>
            <w:tcW w:w="657" w:type="dxa"/>
            <w:shd w:val="clear" w:color="000000" w:fill="DA9694"/>
            <w:noWrap/>
            <w:vAlign w:val="bottom"/>
            <w:hideMark/>
          </w:tcPr>
          <w:p w14:paraId="0F602A9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-3.3%</w:t>
            </w:r>
          </w:p>
        </w:tc>
        <w:tc>
          <w:tcPr>
            <w:tcW w:w="714" w:type="dxa"/>
            <w:shd w:val="clear" w:color="000000" w:fill="F2DCDB"/>
            <w:noWrap/>
            <w:vAlign w:val="bottom"/>
            <w:hideMark/>
          </w:tcPr>
          <w:p w14:paraId="774E7EA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-0.9%</w:t>
            </w:r>
          </w:p>
        </w:tc>
        <w:tc>
          <w:tcPr>
            <w:tcW w:w="657" w:type="dxa"/>
            <w:shd w:val="clear" w:color="000000" w:fill="DA9694"/>
            <w:noWrap/>
            <w:vAlign w:val="bottom"/>
            <w:hideMark/>
          </w:tcPr>
          <w:p w14:paraId="195DB56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-3.2%</w:t>
            </w:r>
          </w:p>
        </w:tc>
        <w:tc>
          <w:tcPr>
            <w:tcW w:w="657" w:type="dxa"/>
            <w:shd w:val="clear" w:color="000000" w:fill="E6B8B7"/>
            <w:noWrap/>
            <w:vAlign w:val="bottom"/>
            <w:hideMark/>
          </w:tcPr>
          <w:p w14:paraId="3B05A15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-1.9%</w:t>
            </w:r>
          </w:p>
        </w:tc>
        <w:tc>
          <w:tcPr>
            <w:tcW w:w="657" w:type="dxa"/>
            <w:shd w:val="clear" w:color="000000" w:fill="DA9694"/>
            <w:noWrap/>
            <w:vAlign w:val="bottom"/>
            <w:hideMark/>
          </w:tcPr>
          <w:p w14:paraId="620A52E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-3.8%</w:t>
            </w:r>
          </w:p>
        </w:tc>
        <w:tc>
          <w:tcPr>
            <w:tcW w:w="657" w:type="dxa"/>
            <w:shd w:val="clear" w:color="000000" w:fill="DA9694"/>
            <w:noWrap/>
            <w:vAlign w:val="bottom"/>
            <w:hideMark/>
          </w:tcPr>
          <w:p w14:paraId="411C3845"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-3.4%</w:t>
            </w:r>
          </w:p>
        </w:tc>
        <w:tc>
          <w:tcPr>
            <w:tcW w:w="657" w:type="dxa"/>
            <w:shd w:val="clear" w:color="000000" w:fill="E6B8B7"/>
            <w:noWrap/>
            <w:vAlign w:val="bottom"/>
            <w:hideMark/>
          </w:tcPr>
          <w:p w14:paraId="72A797A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-2.0%</w:t>
            </w:r>
          </w:p>
        </w:tc>
        <w:tc>
          <w:tcPr>
            <w:tcW w:w="657" w:type="dxa"/>
            <w:shd w:val="clear" w:color="000000" w:fill="D8E4BC"/>
            <w:noWrap/>
            <w:vAlign w:val="bottom"/>
            <w:hideMark/>
          </w:tcPr>
          <w:p w14:paraId="2272447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2.9%</w:t>
            </w:r>
          </w:p>
        </w:tc>
        <w:tc>
          <w:tcPr>
            <w:tcW w:w="720" w:type="dxa"/>
            <w:shd w:val="clear" w:color="000000" w:fill="D8E4BC"/>
            <w:noWrap/>
            <w:vAlign w:val="bottom"/>
            <w:hideMark/>
          </w:tcPr>
          <w:p w14:paraId="14B9CF92"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1.7%</w:t>
            </w:r>
          </w:p>
        </w:tc>
        <w:tc>
          <w:tcPr>
            <w:tcW w:w="720" w:type="dxa"/>
            <w:shd w:val="clear" w:color="000000" w:fill="D8E4BC"/>
            <w:noWrap/>
            <w:vAlign w:val="bottom"/>
            <w:hideMark/>
          </w:tcPr>
          <w:p w14:paraId="375CBFF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0.4%</w:t>
            </w:r>
          </w:p>
        </w:tc>
        <w:tc>
          <w:tcPr>
            <w:tcW w:w="720" w:type="dxa"/>
            <w:shd w:val="clear" w:color="000000" w:fill="C4D79B"/>
            <w:noWrap/>
            <w:vAlign w:val="bottom"/>
            <w:hideMark/>
          </w:tcPr>
          <w:p w14:paraId="7C3C91AF"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9.4%</w:t>
            </w:r>
          </w:p>
        </w:tc>
        <w:tc>
          <w:tcPr>
            <w:tcW w:w="720" w:type="dxa"/>
            <w:shd w:val="clear" w:color="000000" w:fill="C4D79B"/>
            <w:noWrap/>
            <w:vAlign w:val="bottom"/>
            <w:hideMark/>
          </w:tcPr>
          <w:p w14:paraId="3AADE08F"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4.1%</w:t>
            </w:r>
          </w:p>
        </w:tc>
      </w:tr>
      <w:tr w:rsidR="000E0D6B" w:rsidRPr="000E0D6B" w14:paraId="5F93CA96" w14:textId="77777777" w:rsidTr="000E0D6B">
        <w:trPr>
          <w:trHeight w:val="144"/>
        </w:trPr>
        <w:tc>
          <w:tcPr>
            <w:tcW w:w="1440" w:type="dxa"/>
            <w:shd w:val="clear" w:color="auto" w:fill="auto"/>
            <w:noWrap/>
            <w:vAlign w:val="bottom"/>
            <w:hideMark/>
          </w:tcPr>
          <w:p w14:paraId="1C645533" w14:textId="77777777" w:rsidR="000E0D6B" w:rsidRPr="000E0D6B" w:rsidRDefault="000E0D6B" w:rsidP="000E0D6B">
            <w:pPr>
              <w:spacing w:after="0" w:line="240" w:lineRule="auto"/>
              <w:rPr>
                <w:rFonts w:eastAsia="Times New Roman" w:cstheme="minorHAnsi"/>
                <w:color w:val="000000"/>
                <w:sz w:val="18"/>
                <w:szCs w:val="18"/>
              </w:rPr>
            </w:pPr>
            <w:r w:rsidRPr="000E0D6B">
              <w:rPr>
                <w:rFonts w:eastAsia="Times New Roman" w:cstheme="minorHAnsi"/>
                <w:color w:val="000000"/>
                <w:sz w:val="18"/>
                <w:szCs w:val="18"/>
              </w:rPr>
              <w:t>2019</w:t>
            </w:r>
          </w:p>
        </w:tc>
        <w:tc>
          <w:tcPr>
            <w:tcW w:w="657" w:type="dxa"/>
            <w:shd w:val="clear" w:color="000000" w:fill="C4D79B"/>
            <w:noWrap/>
            <w:vAlign w:val="bottom"/>
            <w:hideMark/>
          </w:tcPr>
          <w:p w14:paraId="502534A8"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1.9%</w:t>
            </w:r>
          </w:p>
        </w:tc>
        <w:tc>
          <w:tcPr>
            <w:tcW w:w="657" w:type="dxa"/>
            <w:shd w:val="clear" w:color="000000" w:fill="DA9694"/>
            <w:noWrap/>
            <w:vAlign w:val="bottom"/>
            <w:hideMark/>
          </w:tcPr>
          <w:p w14:paraId="3E61F48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-5.9%</w:t>
            </w:r>
          </w:p>
        </w:tc>
        <w:tc>
          <w:tcPr>
            <w:tcW w:w="714" w:type="dxa"/>
            <w:shd w:val="clear" w:color="000000" w:fill="E6B8B7"/>
            <w:noWrap/>
            <w:vAlign w:val="bottom"/>
            <w:hideMark/>
          </w:tcPr>
          <w:p w14:paraId="4EEF0E0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-2.7%</w:t>
            </w:r>
          </w:p>
        </w:tc>
        <w:tc>
          <w:tcPr>
            <w:tcW w:w="657" w:type="dxa"/>
            <w:shd w:val="clear" w:color="000000" w:fill="E6B8B7"/>
            <w:noWrap/>
            <w:vAlign w:val="bottom"/>
            <w:hideMark/>
          </w:tcPr>
          <w:p w14:paraId="43F8F4D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-1.5%</w:t>
            </w:r>
          </w:p>
        </w:tc>
        <w:tc>
          <w:tcPr>
            <w:tcW w:w="657" w:type="dxa"/>
            <w:shd w:val="clear" w:color="000000" w:fill="DA9694"/>
            <w:noWrap/>
            <w:vAlign w:val="bottom"/>
            <w:hideMark/>
          </w:tcPr>
          <w:p w14:paraId="40D6741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-2.9%</w:t>
            </w:r>
          </w:p>
        </w:tc>
        <w:tc>
          <w:tcPr>
            <w:tcW w:w="657" w:type="dxa"/>
            <w:shd w:val="clear" w:color="000000" w:fill="DA9694"/>
            <w:noWrap/>
            <w:vAlign w:val="bottom"/>
            <w:hideMark/>
          </w:tcPr>
          <w:p w14:paraId="7E314E5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-4.0%</w:t>
            </w:r>
          </w:p>
        </w:tc>
        <w:tc>
          <w:tcPr>
            <w:tcW w:w="657" w:type="dxa"/>
            <w:shd w:val="clear" w:color="000000" w:fill="E6B8B7"/>
            <w:noWrap/>
            <w:vAlign w:val="bottom"/>
            <w:hideMark/>
          </w:tcPr>
          <w:p w14:paraId="4497E062"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-2.6%</w:t>
            </w:r>
          </w:p>
        </w:tc>
        <w:tc>
          <w:tcPr>
            <w:tcW w:w="657" w:type="dxa"/>
            <w:shd w:val="clear" w:color="000000" w:fill="F2DCDB"/>
            <w:noWrap/>
            <w:vAlign w:val="bottom"/>
            <w:hideMark/>
          </w:tcPr>
          <w:p w14:paraId="1187FC0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-0.6%</w:t>
            </w:r>
          </w:p>
        </w:tc>
        <w:tc>
          <w:tcPr>
            <w:tcW w:w="657" w:type="dxa"/>
            <w:shd w:val="clear" w:color="000000" w:fill="D8E4BC"/>
            <w:noWrap/>
            <w:vAlign w:val="bottom"/>
            <w:hideMark/>
          </w:tcPr>
          <w:p w14:paraId="28DC45A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1.7%</w:t>
            </w:r>
          </w:p>
        </w:tc>
        <w:tc>
          <w:tcPr>
            <w:tcW w:w="720" w:type="dxa"/>
            <w:shd w:val="clear" w:color="000000" w:fill="D8E4BC"/>
            <w:noWrap/>
            <w:vAlign w:val="bottom"/>
            <w:hideMark/>
          </w:tcPr>
          <w:p w14:paraId="2568D87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1.1%</w:t>
            </w:r>
          </w:p>
        </w:tc>
        <w:tc>
          <w:tcPr>
            <w:tcW w:w="720" w:type="dxa"/>
            <w:shd w:val="clear" w:color="000000" w:fill="D8E4BC"/>
            <w:noWrap/>
            <w:vAlign w:val="bottom"/>
            <w:hideMark/>
          </w:tcPr>
          <w:p w14:paraId="4245C518"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1.5%</w:t>
            </w:r>
          </w:p>
        </w:tc>
        <w:tc>
          <w:tcPr>
            <w:tcW w:w="720" w:type="dxa"/>
            <w:shd w:val="clear" w:color="000000" w:fill="C4D79B"/>
            <w:noWrap/>
            <w:vAlign w:val="bottom"/>
            <w:hideMark/>
          </w:tcPr>
          <w:p w14:paraId="09A6FE7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9.0%</w:t>
            </w:r>
          </w:p>
        </w:tc>
        <w:tc>
          <w:tcPr>
            <w:tcW w:w="720" w:type="dxa"/>
            <w:shd w:val="clear" w:color="000000" w:fill="C4D79B"/>
            <w:noWrap/>
            <w:vAlign w:val="bottom"/>
            <w:hideMark/>
          </w:tcPr>
          <w:p w14:paraId="667CDF6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4.9%</w:t>
            </w:r>
          </w:p>
        </w:tc>
      </w:tr>
      <w:tr w:rsidR="000E0D6B" w:rsidRPr="000E0D6B" w14:paraId="56075657" w14:textId="77777777" w:rsidTr="005E212C">
        <w:trPr>
          <w:trHeight w:val="144"/>
        </w:trPr>
        <w:tc>
          <w:tcPr>
            <w:tcW w:w="1440" w:type="dxa"/>
            <w:shd w:val="clear" w:color="auto" w:fill="auto"/>
            <w:noWrap/>
            <w:vAlign w:val="bottom"/>
            <w:hideMark/>
          </w:tcPr>
          <w:p w14:paraId="43CFB79B"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2020</w:t>
            </w:r>
          </w:p>
        </w:tc>
        <w:tc>
          <w:tcPr>
            <w:tcW w:w="657" w:type="dxa"/>
            <w:shd w:val="clear" w:color="auto" w:fill="C4D79B"/>
            <w:noWrap/>
            <w:vAlign w:val="bottom"/>
            <w:hideMark/>
          </w:tcPr>
          <w:p w14:paraId="12C38A5B"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1.4%</w:t>
            </w:r>
          </w:p>
        </w:tc>
        <w:tc>
          <w:tcPr>
            <w:tcW w:w="657" w:type="dxa"/>
            <w:shd w:val="clear" w:color="000000" w:fill="E6B8B7"/>
            <w:noWrap/>
            <w:vAlign w:val="bottom"/>
            <w:hideMark/>
          </w:tcPr>
          <w:p w14:paraId="729F7EC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-2.8%</w:t>
            </w:r>
          </w:p>
        </w:tc>
        <w:tc>
          <w:tcPr>
            <w:tcW w:w="714" w:type="dxa"/>
            <w:shd w:val="clear" w:color="000000" w:fill="76933C"/>
            <w:noWrap/>
            <w:vAlign w:val="bottom"/>
            <w:hideMark/>
          </w:tcPr>
          <w:p w14:paraId="6BCE86B4"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13.6%</w:t>
            </w:r>
          </w:p>
        </w:tc>
        <w:tc>
          <w:tcPr>
            <w:tcW w:w="657" w:type="dxa"/>
            <w:shd w:val="clear" w:color="000000" w:fill="D8E4BC"/>
            <w:noWrap/>
            <w:vAlign w:val="bottom"/>
            <w:hideMark/>
          </w:tcPr>
          <w:p w14:paraId="6D12AA7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4.4%</w:t>
            </w:r>
          </w:p>
        </w:tc>
        <w:tc>
          <w:tcPr>
            <w:tcW w:w="657" w:type="dxa"/>
            <w:shd w:val="clear" w:color="000000" w:fill="C4D79B"/>
            <w:noWrap/>
            <w:vAlign w:val="bottom"/>
            <w:hideMark/>
          </w:tcPr>
          <w:p w14:paraId="00217F0E"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0.9%</w:t>
            </w:r>
          </w:p>
        </w:tc>
        <w:tc>
          <w:tcPr>
            <w:tcW w:w="657" w:type="dxa"/>
            <w:shd w:val="clear" w:color="000000" w:fill="DA9694"/>
            <w:noWrap/>
            <w:vAlign w:val="bottom"/>
            <w:hideMark/>
          </w:tcPr>
          <w:p w14:paraId="2013F30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-7.7%</w:t>
            </w:r>
          </w:p>
        </w:tc>
        <w:tc>
          <w:tcPr>
            <w:tcW w:w="657" w:type="dxa"/>
            <w:shd w:val="clear" w:color="000000" w:fill="DA9694"/>
            <w:noWrap/>
            <w:vAlign w:val="bottom"/>
            <w:hideMark/>
          </w:tcPr>
          <w:p w14:paraId="385E730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-4.7%</w:t>
            </w:r>
          </w:p>
        </w:tc>
        <w:tc>
          <w:tcPr>
            <w:tcW w:w="657" w:type="dxa"/>
            <w:shd w:val="clear" w:color="000000" w:fill="E6B8B7"/>
            <w:noWrap/>
            <w:vAlign w:val="bottom"/>
            <w:hideMark/>
          </w:tcPr>
          <w:p w14:paraId="1A700A4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-2.3%</w:t>
            </w:r>
          </w:p>
        </w:tc>
        <w:tc>
          <w:tcPr>
            <w:tcW w:w="657" w:type="dxa"/>
            <w:shd w:val="clear" w:color="000000" w:fill="F2DCDB"/>
            <w:noWrap/>
            <w:vAlign w:val="bottom"/>
            <w:hideMark/>
          </w:tcPr>
          <w:p w14:paraId="5747B9E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-0.2%</w:t>
            </w:r>
          </w:p>
        </w:tc>
        <w:tc>
          <w:tcPr>
            <w:tcW w:w="720" w:type="dxa"/>
            <w:shd w:val="clear" w:color="000000" w:fill="EBF1DE"/>
            <w:noWrap/>
            <w:vAlign w:val="bottom"/>
            <w:hideMark/>
          </w:tcPr>
          <w:p w14:paraId="75B3F13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0.5%</w:t>
            </w:r>
          </w:p>
        </w:tc>
        <w:tc>
          <w:tcPr>
            <w:tcW w:w="720" w:type="dxa"/>
            <w:shd w:val="clear" w:color="000000" w:fill="EBF1DE"/>
            <w:noWrap/>
            <w:vAlign w:val="bottom"/>
            <w:hideMark/>
          </w:tcPr>
          <w:p w14:paraId="133AA9F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0.2%</w:t>
            </w:r>
          </w:p>
        </w:tc>
        <w:tc>
          <w:tcPr>
            <w:tcW w:w="720" w:type="dxa"/>
            <w:shd w:val="clear" w:color="000000" w:fill="C4D79B"/>
            <w:noWrap/>
            <w:vAlign w:val="bottom"/>
            <w:hideMark/>
          </w:tcPr>
          <w:p w14:paraId="4C967B4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6.1%</w:t>
            </w:r>
          </w:p>
        </w:tc>
        <w:tc>
          <w:tcPr>
            <w:tcW w:w="720" w:type="dxa"/>
            <w:shd w:val="clear" w:color="000000" w:fill="C4D79B"/>
            <w:noWrap/>
            <w:vAlign w:val="bottom"/>
            <w:hideMark/>
          </w:tcPr>
          <w:p w14:paraId="440384B8"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4.6%</w:t>
            </w:r>
          </w:p>
        </w:tc>
      </w:tr>
      <w:tr w:rsidR="000E0D6B" w:rsidRPr="000E0D6B" w14:paraId="273BB044" w14:textId="77777777" w:rsidTr="000E0D6B">
        <w:trPr>
          <w:trHeight w:val="144"/>
        </w:trPr>
        <w:tc>
          <w:tcPr>
            <w:tcW w:w="1440" w:type="dxa"/>
            <w:shd w:val="clear" w:color="auto" w:fill="auto"/>
            <w:noWrap/>
            <w:vAlign w:val="bottom"/>
            <w:hideMark/>
          </w:tcPr>
          <w:p w14:paraId="72883D17"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2021</w:t>
            </w:r>
          </w:p>
        </w:tc>
        <w:tc>
          <w:tcPr>
            <w:tcW w:w="657" w:type="dxa"/>
            <w:shd w:val="clear" w:color="000000" w:fill="C4D79B"/>
            <w:noWrap/>
            <w:vAlign w:val="bottom"/>
            <w:hideMark/>
          </w:tcPr>
          <w:p w14:paraId="6F9C945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2.5%</w:t>
            </w:r>
          </w:p>
        </w:tc>
        <w:tc>
          <w:tcPr>
            <w:tcW w:w="657" w:type="dxa"/>
            <w:shd w:val="clear" w:color="000000" w:fill="DA9694"/>
            <w:noWrap/>
            <w:vAlign w:val="bottom"/>
            <w:hideMark/>
          </w:tcPr>
          <w:p w14:paraId="64F49B1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-4.6%</w:t>
            </w:r>
          </w:p>
        </w:tc>
        <w:tc>
          <w:tcPr>
            <w:tcW w:w="714" w:type="dxa"/>
            <w:shd w:val="clear" w:color="000000" w:fill="DA9694"/>
            <w:noWrap/>
            <w:vAlign w:val="bottom"/>
            <w:hideMark/>
          </w:tcPr>
          <w:p w14:paraId="16EF6D9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-5.1%</w:t>
            </w:r>
          </w:p>
        </w:tc>
        <w:tc>
          <w:tcPr>
            <w:tcW w:w="657" w:type="dxa"/>
            <w:shd w:val="clear" w:color="000000" w:fill="E6B8B7"/>
            <w:noWrap/>
            <w:vAlign w:val="bottom"/>
            <w:hideMark/>
          </w:tcPr>
          <w:p w14:paraId="7A4C33B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-1.3%</w:t>
            </w:r>
          </w:p>
        </w:tc>
        <w:tc>
          <w:tcPr>
            <w:tcW w:w="657" w:type="dxa"/>
            <w:shd w:val="clear" w:color="000000" w:fill="DA9694"/>
            <w:noWrap/>
            <w:vAlign w:val="bottom"/>
            <w:hideMark/>
          </w:tcPr>
          <w:p w14:paraId="5867CE1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-4.6%</w:t>
            </w:r>
          </w:p>
        </w:tc>
        <w:tc>
          <w:tcPr>
            <w:tcW w:w="657" w:type="dxa"/>
            <w:shd w:val="clear" w:color="000000" w:fill="E6B8B7"/>
            <w:noWrap/>
            <w:vAlign w:val="bottom"/>
            <w:hideMark/>
          </w:tcPr>
          <w:p w14:paraId="215B0D0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-2.7%</w:t>
            </w:r>
          </w:p>
        </w:tc>
        <w:tc>
          <w:tcPr>
            <w:tcW w:w="657" w:type="dxa"/>
            <w:shd w:val="clear" w:color="000000" w:fill="DA9694"/>
            <w:noWrap/>
            <w:vAlign w:val="bottom"/>
            <w:hideMark/>
          </w:tcPr>
          <w:p w14:paraId="3D0F548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-4.8%</w:t>
            </w:r>
          </w:p>
        </w:tc>
        <w:tc>
          <w:tcPr>
            <w:tcW w:w="657" w:type="dxa"/>
            <w:shd w:val="clear" w:color="000000" w:fill="E6B8B7"/>
            <w:noWrap/>
            <w:vAlign w:val="bottom"/>
            <w:hideMark/>
          </w:tcPr>
          <w:p w14:paraId="102AA57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-2.4%</w:t>
            </w:r>
          </w:p>
        </w:tc>
        <w:tc>
          <w:tcPr>
            <w:tcW w:w="657" w:type="dxa"/>
            <w:shd w:val="clear" w:color="000000" w:fill="C4D79B"/>
            <w:noWrap/>
            <w:vAlign w:val="bottom"/>
            <w:hideMark/>
          </w:tcPr>
          <w:p w14:paraId="4F1AD20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2.6%</w:t>
            </w:r>
          </w:p>
        </w:tc>
        <w:tc>
          <w:tcPr>
            <w:tcW w:w="720" w:type="dxa"/>
            <w:shd w:val="clear" w:color="000000" w:fill="F2DCDB"/>
            <w:noWrap/>
            <w:vAlign w:val="bottom"/>
            <w:hideMark/>
          </w:tcPr>
          <w:p w14:paraId="52F8EDF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-0.1%</w:t>
            </w:r>
          </w:p>
        </w:tc>
        <w:tc>
          <w:tcPr>
            <w:tcW w:w="720" w:type="dxa"/>
            <w:shd w:val="clear" w:color="000000" w:fill="EBF1DE"/>
            <w:noWrap/>
            <w:vAlign w:val="bottom"/>
            <w:hideMark/>
          </w:tcPr>
          <w:p w14:paraId="32CD6A15"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0.2%</w:t>
            </w:r>
          </w:p>
        </w:tc>
        <w:tc>
          <w:tcPr>
            <w:tcW w:w="720" w:type="dxa"/>
            <w:shd w:val="clear" w:color="000000" w:fill="C4D79B"/>
            <w:noWrap/>
            <w:vAlign w:val="bottom"/>
            <w:hideMark/>
          </w:tcPr>
          <w:p w14:paraId="0D6B633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7.3%</w:t>
            </w:r>
          </w:p>
        </w:tc>
        <w:tc>
          <w:tcPr>
            <w:tcW w:w="720" w:type="dxa"/>
            <w:shd w:val="clear" w:color="000000" w:fill="C4D79B"/>
            <w:noWrap/>
            <w:vAlign w:val="bottom"/>
            <w:hideMark/>
          </w:tcPr>
          <w:p w14:paraId="6BC95E8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3.3%</w:t>
            </w:r>
          </w:p>
        </w:tc>
      </w:tr>
      <w:tr w:rsidR="000E0D6B" w:rsidRPr="000E0D6B" w14:paraId="40AFE043" w14:textId="77777777" w:rsidTr="000E0D6B">
        <w:trPr>
          <w:trHeight w:val="144"/>
        </w:trPr>
        <w:tc>
          <w:tcPr>
            <w:tcW w:w="1440" w:type="dxa"/>
            <w:shd w:val="clear" w:color="auto" w:fill="auto"/>
            <w:noWrap/>
            <w:vAlign w:val="bottom"/>
            <w:hideMark/>
          </w:tcPr>
          <w:p w14:paraId="37E5F11A"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2022</w:t>
            </w:r>
          </w:p>
        </w:tc>
        <w:tc>
          <w:tcPr>
            <w:tcW w:w="657" w:type="dxa"/>
            <w:shd w:val="clear" w:color="000000" w:fill="C4D79B"/>
            <w:noWrap/>
            <w:vAlign w:val="bottom"/>
            <w:hideMark/>
          </w:tcPr>
          <w:p w14:paraId="0B5F487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2.5%</w:t>
            </w:r>
          </w:p>
        </w:tc>
        <w:tc>
          <w:tcPr>
            <w:tcW w:w="657" w:type="dxa"/>
            <w:shd w:val="clear" w:color="000000" w:fill="DA9694"/>
            <w:noWrap/>
            <w:vAlign w:val="bottom"/>
            <w:hideMark/>
          </w:tcPr>
          <w:p w14:paraId="616BC4C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-5.2%</w:t>
            </w:r>
          </w:p>
        </w:tc>
        <w:tc>
          <w:tcPr>
            <w:tcW w:w="714" w:type="dxa"/>
            <w:shd w:val="clear" w:color="000000" w:fill="E6B8B7"/>
            <w:noWrap/>
            <w:vAlign w:val="bottom"/>
            <w:hideMark/>
          </w:tcPr>
          <w:p w14:paraId="7E693EC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-2.3%</w:t>
            </w:r>
          </w:p>
        </w:tc>
        <w:tc>
          <w:tcPr>
            <w:tcW w:w="657" w:type="dxa"/>
            <w:shd w:val="clear" w:color="000000" w:fill="DA9694"/>
            <w:noWrap/>
            <w:vAlign w:val="bottom"/>
            <w:hideMark/>
          </w:tcPr>
          <w:p w14:paraId="2699C6B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-3.9%</w:t>
            </w:r>
          </w:p>
        </w:tc>
        <w:tc>
          <w:tcPr>
            <w:tcW w:w="657" w:type="dxa"/>
            <w:shd w:val="clear" w:color="000000" w:fill="DA9694"/>
            <w:noWrap/>
            <w:vAlign w:val="bottom"/>
            <w:hideMark/>
          </w:tcPr>
          <w:p w14:paraId="74680D8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-3.2%</w:t>
            </w:r>
          </w:p>
        </w:tc>
        <w:tc>
          <w:tcPr>
            <w:tcW w:w="657" w:type="dxa"/>
            <w:shd w:val="clear" w:color="000000" w:fill="DA9694"/>
            <w:noWrap/>
            <w:vAlign w:val="bottom"/>
            <w:hideMark/>
          </w:tcPr>
          <w:p w14:paraId="56DCBC3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-4.2%</w:t>
            </w:r>
          </w:p>
        </w:tc>
        <w:tc>
          <w:tcPr>
            <w:tcW w:w="657" w:type="dxa"/>
            <w:shd w:val="clear" w:color="000000" w:fill="E6B8B7"/>
            <w:noWrap/>
            <w:vAlign w:val="bottom"/>
            <w:hideMark/>
          </w:tcPr>
          <w:p w14:paraId="6D2DED6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-2.7%</w:t>
            </w:r>
          </w:p>
        </w:tc>
        <w:tc>
          <w:tcPr>
            <w:tcW w:w="657" w:type="dxa"/>
            <w:shd w:val="clear" w:color="000000" w:fill="E6B8B7"/>
            <w:noWrap/>
            <w:vAlign w:val="bottom"/>
            <w:hideMark/>
          </w:tcPr>
          <w:p w14:paraId="15F8D38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-2.0%</w:t>
            </w:r>
          </w:p>
        </w:tc>
        <w:tc>
          <w:tcPr>
            <w:tcW w:w="657" w:type="dxa"/>
            <w:shd w:val="clear" w:color="000000" w:fill="D8E4BC"/>
            <w:noWrap/>
            <w:vAlign w:val="bottom"/>
            <w:hideMark/>
          </w:tcPr>
          <w:p w14:paraId="05D7662B"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1.2%</w:t>
            </w:r>
          </w:p>
        </w:tc>
        <w:tc>
          <w:tcPr>
            <w:tcW w:w="720" w:type="dxa"/>
            <w:shd w:val="clear" w:color="000000" w:fill="D8E4BC"/>
            <w:noWrap/>
            <w:vAlign w:val="bottom"/>
            <w:hideMark/>
          </w:tcPr>
          <w:p w14:paraId="337732B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1.2%</w:t>
            </w:r>
          </w:p>
        </w:tc>
        <w:tc>
          <w:tcPr>
            <w:tcW w:w="720" w:type="dxa"/>
            <w:shd w:val="clear" w:color="000000" w:fill="C4D79B"/>
            <w:noWrap/>
            <w:vAlign w:val="bottom"/>
            <w:hideMark/>
          </w:tcPr>
          <w:p w14:paraId="7EE1B86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3.2%</w:t>
            </w:r>
          </w:p>
        </w:tc>
        <w:tc>
          <w:tcPr>
            <w:tcW w:w="720" w:type="dxa"/>
            <w:shd w:val="clear" w:color="000000" w:fill="C4D79B"/>
            <w:noWrap/>
            <w:vAlign w:val="bottom"/>
            <w:hideMark/>
          </w:tcPr>
          <w:p w14:paraId="346C0F0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7.9%</w:t>
            </w:r>
          </w:p>
        </w:tc>
        <w:tc>
          <w:tcPr>
            <w:tcW w:w="720" w:type="dxa"/>
            <w:shd w:val="clear" w:color="000000" w:fill="D8E4BC"/>
            <w:noWrap/>
            <w:vAlign w:val="bottom"/>
            <w:hideMark/>
          </w:tcPr>
          <w:p w14:paraId="308A321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2.5%</w:t>
            </w:r>
          </w:p>
        </w:tc>
      </w:tr>
      <w:tr w:rsidR="000E0D6B" w:rsidRPr="000E0D6B" w14:paraId="7F8D09D9" w14:textId="77777777" w:rsidTr="00264BA7">
        <w:trPr>
          <w:trHeight w:val="144"/>
        </w:trPr>
        <w:tc>
          <w:tcPr>
            <w:tcW w:w="1440" w:type="dxa"/>
            <w:shd w:val="clear" w:color="auto" w:fill="auto"/>
            <w:noWrap/>
            <w:vAlign w:val="bottom"/>
            <w:hideMark/>
          </w:tcPr>
          <w:p w14:paraId="363B509E"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2023</w:t>
            </w:r>
          </w:p>
        </w:tc>
        <w:tc>
          <w:tcPr>
            <w:tcW w:w="657" w:type="dxa"/>
            <w:shd w:val="clear" w:color="000000" w:fill="EBF1DE"/>
            <w:noWrap/>
            <w:vAlign w:val="bottom"/>
            <w:hideMark/>
          </w:tcPr>
          <w:p w14:paraId="1C9094EB"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0.5%</w:t>
            </w:r>
          </w:p>
        </w:tc>
        <w:tc>
          <w:tcPr>
            <w:tcW w:w="657" w:type="dxa"/>
            <w:shd w:val="clear" w:color="000000" w:fill="DA9694"/>
            <w:noWrap/>
            <w:vAlign w:val="bottom"/>
            <w:hideMark/>
          </w:tcPr>
          <w:p w14:paraId="71ADB4D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-4.2%</w:t>
            </w:r>
          </w:p>
        </w:tc>
        <w:tc>
          <w:tcPr>
            <w:tcW w:w="714" w:type="dxa"/>
            <w:shd w:val="clear" w:color="000000" w:fill="E6B8B7"/>
            <w:noWrap/>
            <w:vAlign w:val="bottom"/>
            <w:hideMark/>
          </w:tcPr>
          <w:p w14:paraId="2FFF822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-1.2%</w:t>
            </w:r>
          </w:p>
        </w:tc>
        <w:tc>
          <w:tcPr>
            <w:tcW w:w="657" w:type="dxa"/>
            <w:shd w:val="clear" w:color="000000" w:fill="E6B8B7"/>
            <w:noWrap/>
            <w:vAlign w:val="bottom"/>
            <w:hideMark/>
          </w:tcPr>
          <w:p w14:paraId="783121A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-2.2%</w:t>
            </w:r>
          </w:p>
        </w:tc>
        <w:tc>
          <w:tcPr>
            <w:tcW w:w="657" w:type="dxa"/>
            <w:shd w:val="clear" w:color="000000" w:fill="E6B8B7"/>
            <w:noWrap/>
            <w:vAlign w:val="bottom"/>
            <w:hideMark/>
          </w:tcPr>
          <w:p w14:paraId="0FE4FDCE"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-2.2%</w:t>
            </w:r>
          </w:p>
        </w:tc>
        <w:tc>
          <w:tcPr>
            <w:tcW w:w="657" w:type="dxa"/>
            <w:shd w:val="clear" w:color="000000" w:fill="DA9694"/>
            <w:noWrap/>
            <w:vAlign w:val="bottom"/>
            <w:hideMark/>
          </w:tcPr>
          <w:p w14:paraId="5EE97E4F"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-4.3%</w:t>
            </w:r>
          </w:p>
        </w:tc>
        <w:tc>
          <w:tcPr>
            <w:tcW w:w="657" w:type="dxa"/>
            <w:shd w:val="clear" w:color="000000" w:fill="E6B8B7"/>
            <w:noWrap/>
            <w:vAlign w:val="bottom"/>
            <w:hideMark/>
          </w:tcPr>
          <w:p w14:paraId="3E9F789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-2.8%</w:t>
            </w:r>
          </w:p>
        </w:tc>
        <w:tc>
          <w:tcPr>
            <w:tcW w:w="657" w:type="dxa"/>
            <w:shd w:val="clear" w:color="000000" w:fill="E6B8B7"/>
            <w:noWrap/>
            <w:vAlign w:val="bottom"/>
            <w:hideMark/>
          </w:tcPr>
          <w:p w14:paraId="06E0FA51"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-2.7%</w:t>
            </w:r>
          </w:p>
        </w:tc>
        <w:tc>
          <w:tcPr>
            <w:tcW w:w="657" w:type="dxa"/>
            <w:shd w:val="clear" w:color="000000" w:fill="EBF1DE"/>
            <w:noWrap/>
            <w:vAlign w:val="bottom"/>
            <w:hideMark/>
          </w:tcPr>
          <w:p w14:paraId="7FEFAC45"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0.3%</w:t>
            </w:r>
          </w:p>
        </w:tc>
        <w:tc>
          <w:tcPr>
            <w:tcW w:w="720" w:type="dxa"/>
            <w:shd w:val="clear" w:color="000000" w:fill="D8E4BC"/>
            <w:noWrap/>
            <w:vAlign w:val="bottom"/>
            <w:hideMark/>
          </w:tcPr>
          <w:p w14:paraId="28B0D1C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2.3%</w:t>
            </w:r>
          </w:p>
        </w:tc>
        <w:tc>
          <w:tcPr>
            <w:tcW w:w="720" w:type="dxa"/>
            <w:shd w:val="clear" w:color="auto" w:fill="D8E4BC"/>
            <w:noWrap/>
            <w:vAlign w:val="bottom"/>
            <w:hideMark/>
          </w:tcPr>
          <w:p w14:paraId="226C5267" w14:textId="2F3BE56C" w:rsidR="000E0D6B" w:rsidRPr="000E0D6B" w:rsidRDefault="000E0D6B" w:rsidP="00EF20EE">
            <w:pPr>
              <w:spacing w:after="0" w:line="240" w:lineRule="auto"/>
              <w:jc w:val="right"/>
              <w:rPr>
                <w:rFonts w:eastAsia="Times New Roman" w:cstheme="minorHAnsi"/>
                <w:sz w:val="18"/>
                <w:szCs w:val="18"/>
              </w:rPr>
            </w:pPr>
            <w:r w:rsidRPr="000E0D6B">
              <w:rPr>
                <w:rFonts w:eastAsia="Times New Roman" w:cstheme="minorHAnsi"/>
                <w:sz w:val="18"/>
                <w:szCs w:val="18"/>
              </w:rPr>
              <w:t> </w:t>
            </w:r>
            <w:r w:rsidR="00EF20EE">
              <w:rPr>
                <w:rFonts w:eastAsia="Times New Roman" w:cstheme="minorHAnsi"/>
                <w:sz w:val="18"/>
                <w:szCs w:val="18"/>
              </w:rPr>
              <w:t>1.</w:t>
            </w:r>
            <w:r w:rsidR="005E212C" w:rsidRPr="00A337DE">
              <w:rPr>
                <w:rFonts w:eastAsia="Times New Roman" w:cstheme="minorHAnsi"/>
                <w:sz w:val="18"/>
                <w:szCs w:val="18"/>
                <w:shd w:val="clear" w:color="auto" w:fill="D8E4BC"/>
              </w:rPr>
              <w:t>4</w:t>
            </w:r>
            <w:r w:rsidR="005E212C" w:rsidRPr="005E212C">
              <w:rPr>
                <w:rFonts w:eastAsia="Times New Roman" w:cstheme="minorHAnsi"/>
                <w:sz w:val="18"/>
                <w:szCs w:val="18"/>
              </w:rPr>
              <w:t>%</w:t>
            </w:r>
          </w:p>
        </w:tc>
        <w:tc>
          <w:tcPr>
            <w:tcW w:w="720" w:type="dxa"/>
            <w:shd w:val="clear" w:color="auto" w:fill="CFE0AE"/>
            <w:noWrap/>
            <w:vAlign w:val="bottom"/>
            <w:hideMark/>
          </w:tcPr>
          <w:p w14:paraId="30A1F91C" w14:textId="11647EE7" w:rsidR="000E0D6B" w:rsidRPr="000E0D6B" w:rsidRDefault="000E0D6B" w:rsidP="00264BA7">
            <w:pPr>
              <w:spacing w:after="0" w:line="240" w:lineRule="auto"/>
              <w:jc w:val="right"/>
              <w:rPr>
                <w:rFonts w:eastAsia="Times New Roman" w:cstheme="minorHAnsi"/>
                <w:sz w:val="18"/>
                <w:szCs w:val="18"/>
              </w:rPr>
            </w:pPr>
            <w:r w:rsidRPr="000E0D6B">
              <w:rPr>
                <w:rFonts w:eastAsia="Times New Roman" w:cstheme="minorHAnsi"/>
                <w:sz w:val="18"/>
                <w:szCs w:val="18"/>
              </w:rPr>
              <w:t> </w:t>
            </w:r>
            <w:r w:rsidR="00264BA7">
              <w:rPr>
                <w:rFonts w:eastAsia="Times New Roman" w:cstheme="minorHAnsi"/>
                <w:sz w:val="18"/>
                <w:szCs w:val="18"/>
              </w:rPr>
              <w:t>8.4%</w:t>
            </w:r>
          </w:p>
        </w:tc>
        <w:tc>
          <w:tcPr>
            <w:tcW w:w="720" w:type="dxa"/>
            <w:shd w:val="clear" w:color="auto" w:fill="auto"/>
            <w:noWrap/>
            <w:vAlign w:val="bottom"/>
            <w:hideMark/>
          </w:tcPr>
          <w:p w14:paraId="50DE69C8"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 </w:t>
            </w:r>
          </w:p>
        </w:tc>
      </w:tr>
    </w:tbl>
    <w:p w14:paraId="14458122" w14:textId="4789C89C" w:rsidR="000E0D6B" w:rsidRDefault="000E0D6B" w:rsidP="000E0D6B">
      <w:pPr>
        <w:pStyle w:val="NoSpacing"/>
        <w:spacing w:before="120"/>
        <w:rPr>
          <w:color w:val="7F7F7F" w:themeColor="text1" w:themeTint="80"/>
          <w:sz w:val="16"/>
          <w:szCs w:val="16"/>
        </w:rPr>
      </w:pPr>
      <w:r w:rsidRPr="000E0D6B">
        <w:t xml:space="preserve"> </w:t>
      </w: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MULO, </w:t>
      </w:r>
      <w:r>
        <w:rPr>
          <w:color w:val="7F7F7F" w:themeColor="text1" w:themeTint="80"/>
          <w:sz w:val="16"/>
          <w:szCs w:val="16"/>
        </w:rPr>
        <w:t>quad weeks 2017-2023</w:t>
      </w:r>
    </w:p>
    <w:p w14:paraId="5A877E4C" w14:textId="3E3545E9" w:rsidR="000E0D6B" w:rsidRDefault="00F20BAF" w:rsidP="000E0D6B">
      <w:pPr>
        <w:pStyle w:val="NoSpacing"/>
      </w:pPr>
      <w:r>
        <w:lastRenderedPageBreak/>
        <w:t xml:space="preserve">Thanksgiving week and Christmas week are the biggest sales weeks of the year. Dividing the volume sales of each of the holiday weeks by the average week, results in an index of 118 and 138. </w:t>
      </w:r>
      <w:r w:rsidR="002F442E">
        <w:t xml:space="preserve">This is an important merchandising clue to keep mushrooms front and center during those holiday weeks. </w:t>
      </w:r>
      <w:r>
        <w:t xml:space="preserve"> </w:t>
      </w:r>
    </w:p>
    <w:p w14:paraId="517A6985" w14:textId="77777777" w:rsidR="00F20BAF" w:rsidRPr="000E0D6B" w:rsidRDefault="00F20BAF" w:rsidP="000E0D6B">
      <w:pPr>
        <w:pStyle w:val="NoSpacing"/>
      </w:pPr>
    </w:p>
    <w:p w14:paraId="2A45DBD8" w14:textId="04A1650F" w:rsidR="00666D40" w:rsidRPr="00927EAC" w:rsidRDefault="00666D40" w:rsidP="00927EAC">
      <w:pPr>
        <w:pStyle w:val="Heading2"/>
        <w:rPr>
          <w:b/>
          <w:bCs/>
          <w:color w:val="ED7D31" w:themeColor="accent2"/>
        </w:rPr>
      </w:pPr>
      <w:r w:rsidRPr="00927EAC">
        <w:rPr>
          <w:b/>
          <w:bCs/>
          <w:color w:val="ED7D31" w:themeColor="accent2"/>
        </w:rPr>
        <w:t>Inflation</w:t>
      </w:r>
    </w:p>
    <w:p w14:paraId="4A3C02BB" w14:textId="2F2EE799" w:rsidR="00666D40" w:rsidRDefault="006A1766" w:rsidP="00472B02">
      <w:pPr>
        <w:pStyle w:val="NoSpacing"/>
      </w:pPr>
      <w:r>
        <w:t xml:space="preserve">Inflation </w:t>
      </w:r>
      <w:r w:rsidR="0031233D">
        <w:t xml:space="preserve">across total food and beverages is slowing down and </w:t>
      </w:r>
      <w:r>
        <w:t xml:space="preserve">mushrooms are following suit. </w:t>
      </w:r>
      <w:r w:rsidR="00030ABF">
        <w:t>M</w:t>
      </w:r>
      <w:r w:rsidR="000E2A1D">
        <w:t xml:space="preserve">ushroom prices </w:t>
      </w:r>
      <w:r w:rsidR="00C9550B">
        <w:t xml:space="preserve">per unit </w:t>
      </w:r>
      <w:r w:rsidR="004F7487">
        <w:t>inc</w:t>
      </w:r>
      <w:r w:rsidR="00795483">
        <w:t>reased</w:t>
      </w:r>
      <w:r w:rsidR="000E2A1D">
        <w:t xml:space="preserve"> </w:t>
      </w:r>
      <w:r w:rsidR="00A14586">
        <w:t xml:space="preserve">by </w:t>
      </w:r>
      <w:r w:rsidR="004F7487">
        <w:t>0.7</w:t>
      </w:r>
      <w:r w:rsidR="00322039">
        <w:t xml:space="preserve">% versus year ago </w:t>
      </w:r>
      <w:r w:rsidR="000E2A1D">
        <w:t>in the latest quad-week period</w:t>
      </w:r>
      <w:r w:rsidR="00030ABF">
        <w:t xml:space="preserve">. </w:t>
      </w:r>
      <w:r w:rsidR="00B42A49">
        <w:t xml:space="preserve">This is down from </w:t>
      </w:r>
      <w:r w:rsidR="007946B0">
        <w:t>+</w:t>
      </w:r>
      <w:r w:rsidR="004F7487">
        <w:t>2.4</w:t>
      </w:r>
      <w:r>
        <w:t xml:space="preserve">% in the 52-week view. </w:t>
      </w:r>
      <w:r w:rsidR="000E2A1D">
        <w:t xml:space="preserve"> </w:t>
      </w:r>
    </w:p>
    <w:p w14:paraId="484C35C9" w14:textId="2EB83AFC" w:rsidR="0094219B" w:rsidRDefault="0094219B" w:rsidP="00472B02">
      <w:pPr>
        <w:pStyle w:val="NoSpacing"/>
      </w:pPr>
    </w:p>
    <w:tbl>
      <w:tblPr>
        <w:tblStyle w:val="ListTable3-Accent2"/>
        <w:tblW w:w="10075" w:type="dxa"/>
        <w:tblLook w:val="04A0" w:firstRow="1" w:lastRow="0" w:firstColumn="1" w:lastColumn="0" w:noHBand="0" w:noVBand="1"/>
      </w:tblPr>
      <w:tblGrid>
        <w:gridCol w:w="2875"/>
        <w:gridCol w:w="304"/>
        <w:gridCol w:w="1146"/>
        <w:gridCol w:w="973"/>
        <w:gridCol w:w="909"/>
        <w:gridCol w:w="1776"/>
        <w:gridCol w:w="817"/>
        <w:gridCol w:w="1275"/>
      </w:tblGrid>
      <w:tr w:rsidR="000C3CC4" w:rsidRPr="00124CB7" w14:paraId="6E9D1AEF" w14:textId="162D7E86" w:rsidTr="002F44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tcPr>
          <w:p w14:paraId="74759AF7" w14:textId="77777777" w:rsidR="000C3CC4" w:rsidRPr="00124CB7" w:rsidRDefault="000C3CC4" w:rsidP="000C3CC4">
            <w:pPr>
              <w:pStyle w:val="NoSpacing"/>
            </w:pPr>
            <w:r w:rsidRPr="00124CB7">
              <w:t>Fresh mushrooms</w:t>
            </w:r>
          </w:p>
        </w:tc>
        <w:tc>
          <w:tcPr>
            <w:tcW w:w="1450" w:type="dxa"/>
            <w:gridSpan w:val="2"/>
          </w:tcPr>
          <w:p w14:paraId="5EC6EFF0" w14:textId="3A9D73D1" w:rsidR="000C3CC4" w:rsidRPr="00124CB7" w:rsidRDefault="000C3CC4"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AB019A">
              <w:t>12/3</w:t>
            </w:r>
            <w:r w:rsidR="00EB090C">
              <w:t>/2023</w:t>
            </w:r>
          </w:p>
        </w:tc>
        <w:tc>
          <w:tcPr>
            <w:tcW w:w="973" w:type="dxa"/>
          </w:tcPr>
          <w:p w14:paraId="10EFADEC" w14:textId="03181B90"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c>
          <w:tcPr>
            <w:tcW w:w="909" w:type="dxa"/>
            <w:tcBorders>
              <w:right w:val="single" w:sz="4" w:space="0" w:color="ED7D31"/>
            </w:tcBorders>
          </w:tcPr>
          <w:p w14:paraId="55EFE125" w14:textId="0D145010"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2020</w:t>
            </w:r>
          </w:p>
        </w:tc>
        <w:tc>
          <w:tcPr>
            <w:tcW w:w="1776" w:type="dxa"/>
            <w:tcBorders>
              <w:left w:val="single" w:sz="4" w:space="0" w:color="ED7D31"/>
            </w:tcBorders>
          </w:tcPr>
          <w:p w14:paraId="6A5B944C" w14:textId="15CE2107" w:rsidR="000C3CC4"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Latest 52 w.e.</w:t>
            </w:r>
            <w:r w:rsidR="000C3CC4">
              <w:t xml:space="preserve"> </w:t>
            </w:r>
            <w:r w:rsidR="00AB019A">
              <w:t>12/3</w:t>
            </w:r>
            <w:r w:rsidR="00EB090C">
              <w:t>/2023</w:t>
            </w:r>
          </w:p>
        </w:tc>
        <w:tc>
          <w:tcPr>
            <w:tcW w:w="817" w:type="dxa"/>
          </w:tcPr>
          <w:p w14:paraId="56551B99" w14:textId="71D2CC9A"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c>
          <w:tcPr>
            <w:tcW w:w="1275" w:type="dxa"/>
          </w:tcPr>
          <w:p w14:paraId="1A109D51" w14:textId="22B9DD22"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2020</w:t>
            </w:r>
          </w:p>
        </w:tc>
      </w:tr>
      <w:tr w:rsidR="000C3CC4" w14:paraId="2B35BE12" w14:textId="0A6FF303" w:rsidTr="002F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gridSpan w:val="2"/>
          </w:tcPr>
          <w:p w14:paraId="5B4CB702" w14:textId="77777777" w:rsidR="000C3CC4" w:rsidRPr="00124CB7" w:rsidRDefault="000C3CC4" w:rsidP="000C3CC4">
            <w:pPr>
              <w:pStyle w:val="NoSpacing"/>
              <w:rPr>
                <w:b w:val="0"/>
                <w:bCs w:val="0"/>
              </w:rPr>
            </w:pPr>
            <w:r>
              <w:rPr>
                <w:b w:val="0"/>
                <w:bCs w:val="0"/>
              </w:rPr>
              <w:t>Price/unit</w:t>
            </w:r>
          </w:p>
        </w:tc>
        <w:tc>
          <w:tcPr>
            <w:tcW w:w="1146" w:type="dxa"/>
          </w:tcPr>
          <w:p w14:paraId="2915A28B" w14:textId="30C65268"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1026FB">
              <w:t>3.04</w:t>
            </w:r>
          </w:p>
        </w:tc>
        <w:tc>
          <w:tcPr>
            <w:tcW w:w="973" w:type="dxa"/>
          </w:tcPr>
          <w:p w14:paraId="3E0967AB" w14:textId="08AAD1C0" w:rsidR="000C3CC4" w:rsidRDefault="001026FB" w:rsidP="00EA0CB5">
            <w:pPr>
              <w:pStyle w:val="NoSpacing"/>
              <w:jc w:val="right"/>
              <w:cnfStyle w:val="000000100000" w:firstRow="0" w:lastRow="0" w:firstColumn="0" w:lastColumn="0" w:oddVBand="0" w:evenVBand="0" w:oddHBand="1" w:evenHBand="0" w:firstRowFirstColumn="0" w:firstRowLastColumn="0" w:lastRowFirstColumn="0" w:lastRowLastColumn="0"/>
            </w:pPr>
            <w:r>
              <w:t>+0.7</w:t>
            </w:r>
            <w:r w:rsidR="000C3CC4">
              <w:t>%</w:t>
            </w:r>
          </w:p>
        </w:tc>
        <w:tc>
          <w:tcPr>
            <w:tcW w:w="909" w:type="dxa"/>
            <w:tcBorders>
              <w:right w:val="single" w:sz="4" w:space="0" w:color="ED7D31"/>
            </w:tcBorders>
          </w:tcPr>
          <w:p w14:paraId="09DAD54E" w14:textId="1F73ECD7"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1026FB">
              <w:t>12.0</w:t>
            </w:r>
            <w:r>
              <w:t>%</w:t>
            </w:r>
          </w:p>
        </w:tc>
        <w:tc>
          <w:tcPr>
            <w:tcW w:w="1776" w:type="dxa"/>
            <w:tcBorders>
              <w:left w:val="single" w:sz="4" w:space="0" w:color="ED7D31"/>
            </w:tcBorders>
          </w:tcPr>
          <w:p w14:paraId="03CA719E" w14:textId="00B70E05" w:rsidR="000C3CC4" w:rsidRDefault="000C3CC4" w:rsidP="00AB019A">
            <w:pPr>
              <w:pStyle w:val="NoSpacing"/>
              <w:jc w:val="right"/>
              <w:cnfStyle w:val="000000100000" w:firstRow="0" w:lastRow="0" w:firstColumn="0" w:lastColumn="0" w:oddVBand="0" w:evenVBand="0" w:oddHBand="1" w:evenHBand="0" w:firstRowFirstColumn="0" w:firstRowLastColumn="0" w:lastRowFirstColumn="0" w:lastRowLastColumn="0"/>
            </w:pPr>
            <w:r>
              <w:t>$</w:t>
            </w:r>
            <w:r w:rsidR="001026FB">
              <w:t>2.96</w:t>
            </w:r>
          </w:p>
        </w:tc>
        <w:tc>
          <w:tcPr>
            <w:tcW w:w="817" w:type="dxa"/>
          </w:tcPr>
          <w:p w14:paraId="08755E5E" w14:textId="62CCE9AE"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1026FB">
              <w:t>2.4</w:t>
            </w:r>
            <w:r>
              <w:t>%</w:t>
            </w:r>
          </w:p>
        </w:tc>
        <w:tc>
          <w:tcPr>
            <w:tcW w:w="1275" w:type="dxa"/>
          </w:tcPr>
          <w:p w14:paraId="19B1F6D2" w14:textId="5C2C078A" w:rsidR="000C3CC4" w:rsidRDefault="000C3CC4" w:rsidP="00AB019A">
            <w:pPr>
              <w:pStyle w:val="NoSpacing"/>
              <w:jc w:val="right"/>
              <w:cnfStyle w:val="000000100000" w:firstRow="0" w:lastRow="0" w:firstColumn="0" w:lastColumn="0" w:oddVBand="0" w:evenVBand="0" w:oddHBand="1" w:evenHBand="0" w:firstRowFirstColumn="0" w:firstRowLastColumn="0" w:lastRowFirstColumn="0" w:lastRowLastColumn="0"/>
            </w:pPr>
            <w:r>
              <w:t>+</w:t>
            </w:r>
            <w:r w:rsidR="001026FB">
              <w:t>11.8</w:t>
            </w:r>
            <w:r>
              <w:t>%</w:t>
            </w:r>
          </w:p>
        </w:tc>
      </w:tr>
      <w:tr w:rsidR="0004266D" w14:paraId="7C18640F" w14:textId="5B569261" w:rsidTr="002F442E">
        <w:tc>
          <w:tcPr>
            <w:cnfStyle w:val="001000000000" w:firstRow="0" w:lastRow="0" w:firstColumn="1" w:lastColumn="0" w:oddVBand="0" w:evenVBand="0" w:oddHBand="0" w:evenHBand="0" w:firstRowFirstColumn="0" w:firstRowLastColumn="0" w:lastRowFirstColumn="0" w:lastRowLastColumn="0"/>
            <w:tcW w:w="3179" w:type="dxa"/>
            <w:gridSpan w:val="2"/>
          </w:tcPr>
          <w:p w14:paraId="47C97CE0" w14:textId="77777777" w:rsidR="0004266D" w:rsidRPr="00124CB7" w:rsidRDefault="0004266D" w:rsidP="0004266D">
            <w:pPr>
              <w:pStyle w:val="NoSpacing"/>
              <w:rPr>
                <w:b w:val="0"/>
                <w:bCs w:val="0"/>
              </w:rPr>
            </w:pPr>
            <w:r>
              <w:rPr>
                <w:b w:val="0"/>
                <w:bCs w:val="0"/>
              </w:rPr>
              <w:t>Price/volume</w:t>
            </w:r>
          </w:p>
        </w:tc>
        <w:tc>
          <w:tcPr>
            <w:tcW w:w="1146" w:type="dxa"/>
          </w:tcPr>
          <w:p w14:paraId="17C86A08" w14:textId="22DCB480"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DE66CE">
              <w:t>4.73</w:t>
            </w:r>
          </w:p>
        </w:tc>
        <w:tc>
          <w:tcPr>
            <w:tcW w:w="973" w:type="dxa"/>
          </w:tcPr>
          <w:p w14:paraId="7E986169" w14:textId="237CB23A" w:rsidR="0004266D" w:rsidRDefault="00DE66CE" w:rsidP="0004266D">
            <w:pPr>
              <w:pStyle w:val="NoSpacing"/>
              <w:jc w:val="right"/>
              <w:cnfStyle w:val="000000000000" w:firstRow="0" w:lastRow="0" w:firstColumn="0" w:lastColumn="0" w:oddVBand="0" w:evenVBand="0" w:oddHBand="0" w:evenHBand="0" w:firstRowFirstColumn="0" w:firstRowLastColumn="0" w:lastRowFirstColumn="0" w:lastRowLastColumn="0"/>
            </w:pPr>
            <w:r>
              <w:t>+0.3</w:t>
            </w:r>
            <w:r w:rsidR="0004266D">
              <w:t>%</w:t>
            </w:r>
          </w:p>
        </w:tc>
        <w:tc>
          <w:tcPr>
            <w:tcW w:w="909" w:type="dxa"/>
            <w:tcBorders>
              <w:right w:val="single" w:sz="4" w:space="0" w:color="ED7D31"/>
            </w:tcBorders>
          </w:tcPr>
          <w:p w14:paraId="36DDF54D" w14:textId="3083DFCD" w:rsidR="0004266D" w:rsidRDefault="0004266D" w:rsidP="00483711">
            <w:pPr>
              <w:pStyle w:val="NoSpacing"/>
              <w:jc w:val="right"/>
              <w:cnfStyle w:val="000000000000" w:firstRow="0" w:lastRow="0" w:firstColumn="0" w:lastColumn="0" w:oddVBand="0" w:evenVBand="0" w:oddHBand="0" w:evenHBand="0" w:firstRowFirstColumn="0" w:firstRowLastColumn="0" w:lastRowFirstColumn="0" w:lastRowLastColumn="0"/>
            </w:pPr>
            <w:r>
              <w:t>+</w:t>
            </w:r>
            <w:r w:rsidR="00DE66CE">
              <w:t>11.2</w:t>
            </w:r>
            <w:r>
              <w:t>%</w:t>
            </w:r>
          </w:p>
        </w:tc>
        <w:tc>
          <w:tcPr>
            <w:tcW w:w="1776" w:type="dxa"/>
            <w:tcBorders>
              <w:left w:val="single" w:sz="4" w:space="0" w:color="ED7D31"/>
            </w:tcBorders>
          </w:tcPr>
          <w:p w14:paraId="233A8701" w14:textId="31DC05AF"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DE66CE">
              <w:t>4.68</w:t>
            </w:r>
          </w:p>
        </w:tc>
        <w:tc>
          <w:tcPr>
            <w:tcW w:w="817" w:type="dxa"/>
          </w:tcPr>
          <w:p w14:paraId="1759FD32" w14:textId="4660EBF1" w:rsidR="0004266D" w:rsidRDefault="0004266D" w:rsidP="00AB019A">
            <w:pPr>
              <w:pStyle w:val="NoSpacing"/>
              <w:jc w:val="right"/>
              <w:cnfStyle w:val="000000000000" w:firstRow="0" w:lastRow="0" w:firstColumn="0" w:lastColumn="0" w:oddVBand="0" w:evenVBand="0" w:oddHBand="0" w:evenHBand="0" w:firstRowFirstColumn="0" w:firstRowLastColumn="0" w:lastRowFirstColumn="0" w:lastRowLastColumn="0"/>
            </w:pPr>
            <w:r>
              <w:t>+</w:t>
            </w:r>
            <w:r w:rsidR="00DE66CE">
              <w:t>2.0</w:t>
            </w:r>
            <w:r>
              <w:t>%</w:t>
            </w:r>
          </w:p>
        </w:tc>
        <w:tc>
          <w:tcPr>
            <w:tcW w:w="1275" w:type="dxa"/>
          </w:tcPr>
          <w:p w14:paraId="725313BE" w14:textId="57C7E8B2"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DE66CE">
              <w:t>10.7</w:t>
            </w:r>
            <w:r w:rsidR="00483711">
              <w:t>%</w:t>
            </w:r>
          </w:p>
        </w:tc>
      </w:tr>
    </w:tbl>
    <w:p w14:paraId="5CF68DB9" w14:textId="77777777" w:rsidR="00170260" w:rsidRDefault="00170260" w:rsidP="00170260">
      <w:pPr>
        <w:pStyle w:val="NoSpacing"/>
      </w:pPr>
    </w:p>
    <w:p w14:paraId="611C2D9A" w14:textId="627B2070" w:rsidR="00170260" w:rsidRDefault="00B672D0" w:rsidP="00170260">
      <w:pPr>
        <w:pStyle w:val="NoSpacing"/>
      </w:pPr>
      <w:r>
        <w:t xml:space="preserve">Moderation in price increases </w:t>
      </w:r>
      <w:r w:rsidR="0009067E">
        <w:t xml:space="preserve">went </w:t>
      </w:r>
      <w:r>
        <w:t>hand-in-hand with an increase in p</w:t>
      </w:r>
      <w:r w:rsidR="006636C7">
        <w:t>romotional activity</w:t>
      </w:r>
      <w:r>
        <w:t xml:space="preserve">. </w:t>
      </w:r>
      <w:r w:rsidR="0009067E">
        <w:t xml:space="preserve">During </w:t>
      </w:r>
      <w:r w:rsidR="006636C7">
        <w:t>the latest quad-week period</w:t>
      </w:r>
      <w:r w:rsidR="00916DE2">
        <w:t xml:space="preserve"> </w:t>
      </w:r>
      <w:r w:rsidR="0045784D">
        <w:t>18.2</w:t>
      </w:r>
      <w:r w:rsidR="00FF2D4A">
        <w:t xml:space="preserve">% of total </w:t>
      </w:r>
      <w:r w:rsidR="00085508">
        <w:t xml:space="preserve">fresh mushroom </w:t>
      </w:r>
      <w:r w:rsidR="00FF2D4A">
        <w:t>dollars</w:t>
      </w:r>
      <w:r w:rsidR="004C1DB1">
        <w:t xml:space="preserve"> sold</w:t>
      </w:r>
      <w:r>
        <w:t xml:space="preserve"> while on promotion</w:t>
      </w:r>
      <w:r w:rsidR="00511CD0">
        <w:t xml:space="preserve">, which was up </w:t>
      </w:r>
      <w:r w:rsidR="0045784D">
        <w:t>16.1</w:t>
      </w:r>
      <w:r w:rsidR="0009067E">
        <w:t>%</w:t>
      </w:r>
      <w:r w:rsidR="00E508BB">
        <w:t xml:space="preserve">. </w:t>
      </w:r>
    </w:p>
    <w:p w14:paraId="363D2F2B" w14:textId="77777777" w:rsidR="00170260" w:rsidRDefault="00170260" w:rsidP="00170260">
      <w:pPr>
        <w:pStyle w:val="NoSpacing"/>
      </w:pPr>
    </w:p>
    <w:tbl>
      <w:tblPr>
        <w:tblStyle w:val="ListTable3-Accent2"/>
        <w:tblW w:w="10070" w:type="dxa"/>
        <w:tblLook w:val="04A0" w:firstRow="1" w:lastRow="0" w:firstColumn="1" w:lastColumn="0" w:noHBand="0" w:noVBand="1"/>
      </w:tblPr>
      <w:tblGrid>
        <w:gridCol w:w="3539"/>
        <w:gridCol w:w="397"/>
        <w:gridCol w:w="1342"/>
        <w:gridCol w:w="1369"/>
        <w:gridCol w:w="2054"/>
        <w:gridCol w:w="1369"/>
      </w:tblGrid>
      <w:tr w:rsidR="00972570" w:rsidRPr="00124CB7" w14:paraId="5DFB9CAB" w14:textId="77777777" w:rsidTr="00694050">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39" w:type="dxa"/>
          </w:tcPr>
          <w:p w14:paraId="4168BC1A" w14:textId="77777777" w:rsidR="00972570" w:rsidRPr="00124CB7" w:rsidRDefault="00972570" w:rsidP="00FF6A85">
            <w:pPr>
              <w:pStyle w:val="NoSpacing"/>
            </w:pPr>
            <w:r w:rsidRPr="00124CB7">
              <w:t>Fresh mushrooms</w:t>
            </w:r>
          </w:p>
        </w:tc>
        <w:tc>
          <w:tcPr>
            <w:tcW w:w="1739" w:type="dxa"/>
            <w:gridSpan w:val="2"/>
          </w:tcPr>
          <w:p w14:paraId="6A0500B8" w14:textId="69A6AD9C"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AB019A">
              <w:t>12/3</w:t>
            </w:r>
            <w:r w:rsidR="00EB090C">
              <w:t>/2023</w:t>
            </w:r>
          </w:p>
        </w:tc>
        <w:tc>
          <w:tcPr>
            <w:tcW w:w="1369" w:type="dxa"/>
            <w:tcBorders>
              <w:right w:val="single" w:sz="4" w:space="0" w:color="ED7D31"/>
            </w:tcBorders>
          </w:tcPr>
          <w:p w14:paraId="5CF9736D" w14:textId="00DD2640"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c>
          <w:tcPr>
            <w:tcW w:w="2054" w:type="dxa"/>
            <w:tcBorders>
              <w:left w:val="single" w:sz="4" w:space="0" w:color="ED7D31"/>
            </w:tcBorders>
          </w:tcPr>
          <w:p w14:paraId="413A4F70" w14:textId="70958B0E"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Latest 52 w.e.</w:t>
            </w:r>
            <w:r w:rsidR="00972570">
              <w:t xml:space="preserve"> </w:t>
            </w:r>
            <w:r w:rsidR="00AB019A">
              <w:t>12/3</w:t>
            </w:r>
            <w:r w:rsidR="00EB090C">
              <w:t>/2023</w:t>
            </w:r>
          </w:p>
        </w:tc>
        <w:tc>
          <w:tcPr>
            <w:tcW w:w="1369" w:type="dxa"/>
          </w:tcPr>
          <w:p w14:paraId="75064544" w14:textId="0F8976C1"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r>
      <w:tr w:rsidR="004A50D2" w14:paraId="3B76FFA3" w14:textId="78296325" w:rsidTr="00314DA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936" w:type="dxa"/>
            <w:gridSpan w:val="2"/>
          </w:tcPr>
          <w:p w14:paraId="2B5B6C81" w14:textId="6313A9FC" w:rsidR="004A50D2" w:rsidRDefault="004A50D2" w:rsidP="004A50D2">
            <w:pPr>
              <w:pStyle w:val="NoSpacing"/>
              <w:rPr>
                <w:b w:val="0"/>
                <w:bCs w:val="0"/>
              </w:rPr>
            </w:pPr>
            <w:r>
              <w:rPr>
                <w:b w:val="0"/>
                <w:bCs w:val="0"/>
              </w:rPr>
              <w:t>Share of dollars sold on promotion</w:t>
            </w:r>
          </w:p>
        </w:tc>
        <w:tc>
          <w:tcPr>
            <w:tcW w:w="1342" w:type="dxa"/>
            <w:shd w:val="clear" w:color="auto" w:fill="auto"/>
          </w:tcPr>
          <w:p w14:paraId="6D5E5F03" w14:textId="7D54BED3" w:rsidR="004A50D2" w:rsidRPr="006617FB" w:rsidRDefault="0045784D" w:rsidP="004A50D2">
            <w:pPr>
              <w:pStyle w:val="NoSpacing"/>
              <w:jc w:val="right"/>
              <w:cnfStyle w:val="000000100000" w:firstRow="0" w:lastRow="0" w:firstColumn="0" w:lastColumn="0" w:oddVBand="0" w:evenVBand="0" w:oddHBand="1" w:evenHBand="0" w:firstRowFirstColumn="0" w:firstRowLastColumn="0" w:lastRowFirstColumn="0" w:lastRowLastColumn="0"/>
            </w:pPr>
            <w:r>
              <w:t>18.2</w:t>
            </w:r>
            <w:r w:rsidR="004A50D2" w:rsidRPr="006617FB">
              <w:t>%</w:t>
            </w:r>
          </w:p>
        </w:tc>
        <w:tc>
          <w:tcPr>
            <w:tcW w:w="1369" w:type="dxa"/>
            <w:tcBorders>
              <w:right w:val="single" w:sz="4" w:space="0" w:color="ED7D31"/>
            </w:tcBorders>
          </w:tcPr>
          <w:p w14:paraId="586FECBD" w14:textId="3250B021" w:rsidR="004A50D2" w:rsidRPr="009B0330" w:rsidRDefault="00511CD0" w:rsidP="004A50D2">
            <w:pPr>
              <w:pStyle w:val="NoSpacing"/>
              <w:jc w:val="right"/>
              <w:cnfStyle w:val="000000100000" w:firstRow="0" w:lastRow="0" w:firstColumn="0" w:lastColumn="0" w:oddVBand="0" w:evenVBand="0" w:oddHBand="1" w:evenHBand="0" w:firstRowFirstColumn="0" w:firstRowLastColumn="0" w:lastRowFirstColumn="0" w:lastRowLastColumn="0"/>
            </w:pPr>
            <w:r>
              <w:t>+</w:t>
            </w:r>
            <w:r w:rsidR="0045784D">
              <w:t>16.1</w:t>
            </w:r>
            <w:r w:rsidR="004A50D2" w:rsidRPr="009B0330">
              <w:t>%</w:t>
            </w:r>
          </w:p>
        </w:tc>
        <w:tc>
          <w:tcPr>
            <w:tcW w:w="2054" w:type="dxa"/>
            <w:tcBorders>
              <w:left w:val="single" w:sz="4" w:space="0" w:color="ED7D31"/>
            </w:tcBorders>
          </w:tcPr>
          <w:p w14:paraId="66CD7DD9" w14:textId="53C4D887" w:rsidR="004A50D2" w:rsidRPr="009B0330" w:rsidRDefault="0045784D" w:rsidP="00916DE2">
            <w:pPr>
              <w:pStyle w:val="NoSpacing"/>
              <w:jc w:val="right"/>
              <w:cnfStyle w:val="000000100000" w:firstRow="0" w:lastRow="0" w:firstColumn="0" w:lastColumn="0" w:oddVBand="0" w:evenVBand="0" w:oddHBand="1" w:evenHBand="0" w:firstRowFirstColumn="0" w:firstRowLastColumn="0" w:lastRowFirstColumn="0" w:lastRowLastColumn="0"/>
            </w:pPr>
            <w:r>
              <w:t>17.8</w:t>
            </w:r>
            <w:r w:rsidR="004A50D2" w:rsidRPr="009B0330">
              <w:t>%</w:t>
            </w:r>
          </w:p>
        </w:tc>
        <w:tc>
          <w:tcPr>
            <w:tcW w:w="1369" w:type="dxa"/>
            <w:shd w:val="clear" w:color="auto" w:fill="auto"/>
          </w:tcPr>
          <w:p w14:paraId="7461CDF6" w14:textId="276B5C42" w:rsidR="004A50D2" w:rsidRPr="00314DA1" w:rsidRDefault="00B42A49" w:rsidP="00145E27">
            <w:pPr>
              <w:pStyle w:val="NoSpacing"/>
              <w:jc w:val="right"/>
              <w:cnfStyle w:val="000000100000" w:firstRow="0" w:lastRow="0" w:firstColumn="0" w:lastColumn="0" w:oddVBand="0" w:evenVBand="0" w:oddHBand="1" w:evenHBand="0" w:firstRowFirstColumn="0" w:firstRowLastColumn="0" w:lastRowFirstColumn="0" w:lastRowLastColumn="0"/>
            </w:pPr>
            <w:r>
              <w:t>+</w:t>
            </w:r>
            <w:r w:rsidR="0045784D">
              <w:t>19.8</w:t>
            </w:r>
            <w:r w:rsidR="004A50D2" w:rsidRPr="00314DA1">
              <w:t>%</w:t>
            </w:r>
          </w:p>
        </w:tc>
      </w:tr>
    </w:tbl>
    <w:p w14:paraId="23606064" w14:textId="2E0E4F52"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 xml:space="preserve">Circana, </w:t>
      </w:r>
      <w:r w:rsidRPr="00555250">
        <w:rPr>
          <w:color w:val="7F7F7F" w:themeColor="text1" w:themeTint="80"/>
          <w:sz w:val="16"/>
          <w:szCs w:val="16"/>
        </w:rPr>
        <w:t xml:space="preserve">Integrated Fresh, MULO,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AB019A">
        <w:rPr>
          <w:color w:val="7F7F7F" w:themeColor="text1" w:themeTint="80"/>
          <w:sz w:val="16"/>
          <w:szCs w:val="16"/>
        </w:rPr>
        <w:t>12/3</w:t>
      </w:r>
      <w:r w:rsidR="00EB090C">
        <w:rPr>
          <w:color w:val="7F7F7F" w:themeColor="text1" w:themeTint="80"/>
          <w:sz w:val="16"/>
          <w:szCs w:val="16"/>
        </w:rPr>
        <w:t>/2023</w:t>
      </w:r>
    </w:p>
    <w:p w14:paraId="6CBB9CA7" w14:textId="00F915EB" w:rsidR="0094219B" w:rsidRDefault="0094219B" w:rsidP="00472B02">
      <w:pPr>
        <w:pStyle w:val="NoSpacing"/>
      </w:pPr>
    </w:p>
    <w:p w14:paraId="6ECA980F" w14:textId="1C95F143" w:rsidR="005C6AEE" w:rsidRPr="00927EAC" w:rsidRDefault="005C6AEE" w:rsidP="00927EAC">
      <w:pPr>
        <w:pStyle w:val="Heading2"/>
        <w:rPr>
          <w:b/>
          <w:bCs/>
          <w:color w:val="ED7D31" w:themeColor="accent2"/>
        </w:rPr>
      </w:pPr>
      <w:r w:rsidRPr="00927EAC">
        <w:rPr>
          <w:b/>
          <w:bCs/>
          <w:color w:val="ED7D31" w:themeColor="accent2"/>
        </w:rPr>
        <w:t>Performance by segment</w:t>
      </w:r>
    </w:p>
    <w:p w14:paraId="3F555681" w14:textId="429F1968" w:rsidR="00927EAC" w:rsidRDefault="004B7951" w:rsidP="00927EAC">
      <w:pPr>
        <w:pStyle w:val="NoSpacing"/>
      </w:pPr>
      <w:r>
        <w:t>W</w:t>
      </w:r>
      <w:r w:rsidR="00927EAC">
        <w:t>hite mushrooms represent</w:t>
      </w:r>
      <w:r w:rsidR="00461D8C">
        <w:t>ed</w:t>
      </w:r>
      <w:r w:rsidR="00927EAC">
        <w:t xml:space="preserve"> </w:t>
      </w:r>
      <w:r w:rsidR="00222054">
        <w:t>52.5</w:t>
      </w:r>
      <w:r w:rsidR="00927EAC">
        <w:t xml:space="preserve">% of </w:t>
      </w:r>
      <w:r w:rsidR="004C1DB1">
        <w:t>mushroom dollars</w:t>
      </w:r>
      <w:r w:rsidR="00927EAC">
        <w:t xml:space="preserve"> and </w:t>
      </w:r>
      <w:r w:rsidR="00222054">
        <w:t>58.7</w:t>
      </w:r>
      <w:r w:rsidR="00AB019A">
        <w:t>%</w:t>
      </w:r>
      <w:r w:rsidR="00927EAC">
        <w:t xml:space="preserve"> of pounds</w:t>
      </w:r>
      <w:r w:rsidR="00AC2C09">
        <w:t xml:space="preserve"> in</w:t>
      </w:r>
      <w:r>
        <w:t xml:space="preserve"> the four</w:t>
      </w:r>
      <w:r w:rsidR="00461D8C">
        <w:t>-week period</w:t>
      </w:r>
      <w:r w:rsidR="00927EAC">
        <w:t xml:space="preserve">. </w:t>
      </w:r>
      <w:r w:rsidR="00904C5C">
        <w:t>Brown mushrooms</w:t>
      </w:r>
      <w:r>
        <w:t>, the combination of cr</w:t>
      </w:r>
      <w:r w:rsidR="002437CE">
        <w:t>i</w:t>
      </w:r>
      <w:r>
        <w:t>minis and portabellas</w:t>
      </w:r>
      <w:r w:rsidR="00F40BC0">
        <w:t xml:space="preserve"> had </w:t>
      </w:r>
      <w:r w:rsidR="002F442E">
        <w:t xml:space="preserve">a </w:t>
      </w:r>
      <w:r w:rsidR="00F40BC0">
        <w:t xml:space="preserve">better performance than white. </w:t>
      </w:r>
    </w:p>
    <w:p w14:paraId="29B3DB23" w14:textId="73EA9AE3" w:rsidR="00B25DFD" w:rsidRDefault="00B25DFD" w:rsidP="00927EAC">
      <w:pPr>
        <w:pStyle w:val="NoSpacing"/>
      </w:pPr>
    </w:p>
    <w:tbl>
      <w:tblPr>
        <w:tblStyle w:val="ListTable3-Accent2"/>
        <w:tblW w:w="10615" w:type="dxa"/>
        <w:tblLayout w:type="fixed"/>
        <w:tblLook w:val="0400" w:firstRow="0" w:lastRow="0" w:firstColumn="0" w:lastColumn="0" w:noHBand="0" w:noVBand="1"/>
      </w:tblPr>
      <w:tblGrid>
        <w:gridCol w:w="2699"/>
        <w:gridCol w:w="1016"/>
        <w:gridCol w:w="882"/>
        <w:gridCol w:w="991"/>
        <w:gridCol w:w="972"/>
        <w:gridCol w:w="927"/>
        <w:gridCol w:w="1117"/>
        <w:gridCol w:w="1047"/>
        <w:gridCol w:w="964"/>
      </w:tblGrid>
      <w:tr w:rsidR="00A43A45" w:rsidRPr="00B25DFD" w14:paraId="66036A96" w14:textId="09558220" w:rsidTr="00A43A45">
        <w:trPr>
          <w:cnfStyle w:val="000000100000" w:firstRow="0" w:lastRow="0" w:firstColumn="0" w:lastColumn="0" w:oddVBand="0" w:evenVBand="0" w:oddHBand="1" w:evenHBand="0" w:firstRowFirstColumn="0" w:firstRowLastColumn="0" w:lastRowFirstColumn="0" w:lastRowLastColumn="0"/>
          <w:trHeight w:val="20"/>
        </w:trPr>
        <w:tc>
          <w:tcPr>
            <w:tcW w:w="2699" w:type="dxa"/>
            <w:shd w:val="clear" w:color="auto" w:fill="ED7D31" w:themeFill="accent2"/>
            <w:vAlign w:val="center"/>
            <w:hideMark/>
          </w:tcPr>
          <w:p w14:paraId="4B138C18" w14:textId="561971EA" w:rsidR="00461D8C" w:rsidRPr="006A7A6E" w:rsidRDefault="00461D8C" w:rsidP="00CE27CF">
            <w:pPr>
              <w:pStyle w:val="NoSpacing"/>
              <w:rPr>
                <w:rFonts w:cstheme="minorHAnsi"/>
                <w:b/>
                <w:bCs/>
                <w:color w:val="FFFFFF" w:themeColor="background1"/>
              </w:rPr>
            </w:pPr>
            <w:bookmarkStart w:id="0" w:name="_Hlk97115006"/>
            <w:r w:rsidRPr="006A7A6E">
              <w:rPr>
                <w:rFonts w:cstheme="minorHAnsi"/>
                <w:b/>
                <w:bCs/>
                <w:color w:val="FFFFFF" w:themeColor="background1"/>
              </w:rPr>
              <w:t xml:space="preserve">4 weeks ending </w:t>
            </w:r>
            <w:r w:rsidR="00AB019A">
              <w:rPr>
                <w:rFonts w:cstheme="minorHAnsi"/>
                <w:b/>
                <w:bCs/>
                <w:color w:val="FFFFFF" w:themeColor="background1"/>
              </w:rPr>
              <w:t>12/3</w:t>
            </w:r>
            <w:r w:rsidR="00EB090C">
              <w:rPr>
                <w:rFonts w:cstheme="minorHAnsi"/>
                <w:b/>
                <w:bCs/>
                <w:color w:val="FFFFFF" w:themeColor="background1"/>
              </w:rPr>
              <w:t>/2023</w:t>
            </w:r>
          </w:p>
        </w:tc>
        <w:tc>
          <w:tcPr>
            <w:tcW w:w="1016" w:type="dxa"/>
            <w:shd w:val="clear" w:color="auto" w:fill="ED7D31" w:themeFill="accent2"/>
            <w:hideMark/>
          </w:tcPr>
          <w:p w14:paraId="47F253CD" w14:textId="6F53405A"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Dollars</w:t>
            </w:r>
          </w:p>
        </w:tc>
        <w:tc>
          <w:tcPr>
            <w:tcW w:w="882" w:type="dxa"/>
            <w:shd w:val="clear" w:color="auto" w:fill="ED7D31" w:themeFill="accent2"/>
          </w:tcPr>
          <w:p w14:paraId="385A94D8" w14:textId="1A4D75AA"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Dollar s</w:t>
            </w:r>
            <w:r w:rsidR="00461D8C">
              <w:rPr>
                <w:rFonts w:cstheme="minorHAnsi"/>
                <w:b/>
                <w:bCs/>
                <w:color w:val="FFFFFF" w:themeColor="background1"/>
              </w:rPr>
              <w:t>hare</w:t>
            </w:r>
          </w:p>
        </w:tc>
        <w:tc>
          <w:tcPr>
            <w:tcW w:w="991" w:type="dxa"/>
            <w:shd w:val="clear" w:color="auto" w:fill="ED7D31" w:themeFill="accent2"/>
            <w:hideMark/>
          </w:tcPr>
          <w:p w14:paraId="3685CC92" w14:textId="5F7AA071"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251BBC">
              <w:rPr>
                <w:rFonts w:cstheme="minorHAnsi"/>
                <w:b/>
                <w:bCs/>
                <w:color w:val="FFFFFF" w:themeColor="background1"/>
              </w:rPr>
              <w:t>2022</w:t>
            </w:r>
          </w:p>
        </w:tc>
        <w:tc>
          <w:tcPr>
            <w:tcW w:w="972" w:type="dxa"/>
            <w:tcBorders>
              <w:right w:val="single" w:sz="4" w:space="0" w:color="ED7D31"/>
            </w:tcBorders>
            <w:shd w:val="clear" w:color="auto" w:fill="ED7D31" w:themeFill="accent2"/>
            <w:hideMark/>
          </w:tcPr>
          <w:p w14:paraId="4605C27F" w14:textId="0095037F"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251BBC">
              <w:rPr>
                <w:rFonts w:cstheme="minorHAnsi"/>
                <w:b/>
                <w:bCs/>
                <w:color w:val="FFFFFF" w:themeColor="background1"/>
              </w:rPr>
              <w:t>2020</w:t>
            </w:r>
          </w:p>
        </w:tc>
        <w:tc>
          <w:tcPr>
            <w:tcW w:w="927" w:type="dxa"/>
            <w:tcBorders>
              <w:left w:val="single" w:sz="4" w:space="0" w:color="ED7D31"/>
            </w:tcBorders>
            <w:shd w:val="clear" w:color="auto" w:fill="ED7D31" w:themeFill="accent2"/>
          </w:tcPr>
          <w:p w14:paraId="306DC338" w14:textId="78470F88"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Volume</w:t>
            </w:r>
            <w:r w:rsidR="00D8225F">
              <w:rPr>
                <w:rFonts w:cstheme="minorHAnsi"/>
                <w:b/>
                <w:bCs/>
                <w:color w:val="FFFFFF" w:themeColor="background1"/>
              </w:rPr>
              <w:t xml:space="preserve"> (lbs)</w:t>
            </w:r>
          </w:p>
        </w:tc>
        <w:tc>
          <w:tcPr>
            <w:tcW w:w="1117" w:type="dxa"/>
            <w:shd w:val="clear" w:color="auto" w:fill="ED7D31" w:themeFill="accent2"/>
          </w:tcPr>
          <w:p w14:paraId="782C6C5A" w14:textId="3EB1CA01" w:rsidR="00D8225F" w:rsidRDefault="00D8225F" w:rsidP="00CE27CF">
            <w:pPr>
              <w:pStyle w:val="NoSpacing"/>
              <w:jc w:val="right"/>
              <w:rPr>
                <w:rFonts w:cstheme="minorHAnsi"/>
                <w:b/>
                <w:bCs/>
                <w:color w:val="FFFFFF" w:themeColor="background1"/>
              </w:rPr>
            </w:pPr>
            <w:r>
              <w:rPr>
                <w:rFonts w:cstheme="minorHAnsi"/>
                <w:b/>
                <w:bCs/>
                <w:color w:val="FFFFFF" w:themeColor="background1"/>
              </w:rPr>
              <w:t>Lbs</w:t>
            </w:r>
          </w:p>
          <w:p w14:paraId="60FA614A" w14:textId="53D1140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s</w:t>
            </w:r>
            <w:r w:rsidR="00461D8C">
              <w:rPr>
                <w:rFonts w:cstheme="minorHAnsi"/>
                <w:b/>
                <w:bCs/>
                <w:color w:val="FFFFFF" w:themeColor="background1"/>
              </w:rPr>
              <w:t>hare</w:t>
            </w:r>
          </w:p>
        </w:tc>
        <w:tc>
          <w:tcPr>
            <w:tcW w:w="1047" w:type="dxa"/>
            <w:shd w:val="clear" w:color="auto" w:fill="ED7D31" w:themeFill="accent2"/>
          </w:tcPr>
          <w:p w14:paraId="7DE6FAA8" w14:textId="407FBFD8"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xml:space="preserve">Lbs </w:t>
            </w:r>
            <w:r>
              <w:rPr>
                <w:rFonts w:cstheme="minorHAnsi"/>
                <w:b/>
                <w:bCs/>
                <w:color w:val="FFFFFF" w:themeColor="background1"/>
              </w:rPr>
              <w:br/>
              <w:t>v</w:t>
            </w:r>
            <w:r w:rsidR="00461D8C" w:rsidRPr="006A7A6E">
              <w:rPr>
                <w:rFonts w:cstheme="minorHAnsi"/>
                <w:b/>
                <w:bCs/>
                <w:color w:val="FFFFFF" w:themeColor="background1"/>
              </w:rPr>
              <w:t xml:space="preserve">s. </w:t>
            </w:r>
            <w:r w:rsidR="00251BBC">
              <w:rPr>
                <w:rFonts w:cstheme="minorHAnsi"/>
                <w:b/>
                <w:bCs/>
                <w:color w:val="FFFFFF" w:themeColor="background1"/>
              </w:rPr>
              <w:t>2022</w:t>
            </w:r>
          </w:p>
        </w:tc>
        <w:tc>
          <w:tcPr>
            <w:tcW w:w="964" w:type="dxa"/>
            <w:shd w:val="clear" w:color="auto" w:fill="ED7D31" w:themeFill="accent2"/>
          </w:tcPr>
          <w:p w14:paraId="212AEB88" w14:textId="5FC08CEC"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Lbs v</w:t>
            </w:r>
            <w:r w:rsidR="00461D8C" w:rsidRPr="006A7A6E">
              <w:rPr>
                <w:rFonts w:cstheme="minorHAnsi"/>
                <w:b/>
                <w:bCs/>
                <w:color w:val="FFFFFF" w:themeColor="background1"/>
              </w:rPr>
              <w:t xml:space="preserve">s. </w:t>
            </w:r>
            <w:r w:rsidR="00251BBC">
              <w:rPr>
                <w:rFonts w:cstheme="minorHAnsi"/>
                <w:b/>
                <w:bCs/>
                <w:color w:val="FFFFFF" w:themeColor="background1"/>
              </w:rPr>
              <w:t>2020</w:t>
            </w:r>
          </w:p>
        </w:tc>
      </w:tr>
      <w:tr w:rsidR="008F2AA0" w:rsidRPr="00B25DFD" w14:paraId="69D4AA5B" w14:textId="069A747C" w:rsidTr="00A43A45">
        <w:trPr>
          <w:trHeight w:val="20"/>
        </w:trPr>
        <w:tc>
          <w:tcPr>
            <w:tcW w:w="2699" w:type="dxa"/>
            <w:vAlign w:val="center"/>
            <w:hideMark/>
          </w:tcPr>
          <w:p w14:paraId="2C1CDE46" w14:textId="178D4679" w:rsidR="008F2AA0" w:rsidRPr="006A7A6E" w:rsidRDefault="008F2AA0" w:rsidP="008F2AA0">
            <w:pPr>
              <w:rPr>
                <w:rFonts w:cstheme="minorHAnsi"/>
                <w:b/>
                <w:bCs/>
              </w:rPr>
            </w:pPr>
            <w:r>
              <w:rPr>
                <w:rFonts w:cstheme="minorHAnsi"/>
                <w:b/>
                <w:bCs/>
              </w:rPr>
              <w:t>Total f</w:t>
            </w:r>
            <w:r w:rsidRPr="006A7A6E">
              <w:rPr>
                <w:rFonts w:cstheme="minorHAnsi"/>
                <w:b/>
                <w:bCs/>
              </w:rPr>
              <w:t>resh mushrooms</w:t>
            </w:r>
          </w:p>
        </w:tc>
        <w:tc>
          <w:tcPr>
            <w:tcW w:w="1016" w:type="dxa"/>
            <w:hideMark/>
          </w:tcPr>
          <w:p w14:paraId="6A87FED7" w14:textId="23CC5E9D" w:rsidR="008F2AA0" w:rsidRPr="006A7A6E" w:rsidRDefault="008F2AA0" w:rsidP="008F2AA0">
            <w:pPr>
              <w:pStyle w:val="NoSpacing"/>
              <w:jc w:val="right"/>
              <w:rPr>
                <w:rFonts w:cstheme="minorHAnsi"/>
                <w:b/>
                <w:bCs/>
              </w:rPr>
            </w:pPr>
            <w:r w:rsidRPr="006A7A6E">
              <w:rPr>
                <w:rFonts w:cstheme="minorHAnsi"/>
                <w:b/>
                <w:bCs/>
                <w:color w:val="000000" w:themeColor="text1"/>
              </w:rPr>
              <w:t>$</w:t>
            </w:r>
            <w:r w:rsidR="00222054">
              <w:rPr>
                <w:rFonts w:cstheme="minorHAnsi"/>
                <w:b/>
                <w:bCs/>
                <w:color w:val="000000" w:themeColor="text1"/>
              </w:rPr>
              <w:t>99.8</w:t>
            </w:r>
            <w:r w:rsidRPr="006A7A6E">
              <w:rPr>
                <w:rFonts w:cstheme="minorHAnsi"/>
                <w:b/>
                <w:bCs/>
                <w:color w:val="000000" w:themeColor="text1"/>
              </w:rPr>
              <w:t>M</w:t>
            </w:r>
          </w:p>
        </w:tc>
        <w:tc>
          <w:tcPr>
            <w:tcW w:w="882" w:type="dxa"/>
          </w:tcPr>
          <w:p w14:paraId="3A01C257" w14:textId="5BC053CF" w:rsidR="008F2AA0" w:rsidRPr="006A7A6E" w:rsidRDefault="008F2AA0" w:rsidP="008F2AA0">
            <w:pPr>
              <w:pStyle w:val="NoSpacing"/>
              <w:jc w:val="right"/>
              <w:rPr>
                <w:rFonts w:cstheme="minorHAnsi"/>
                <w:b/>
                <w:bCs/>
                <w:color w:val="000000" w:themeColor="text1"/>
              </w:rPr>
            </w:pPr>
            <w:r>
              <w:rPr>
                <w:rFonts w:cstheme="minorHAnsi"/>
                <w:b/>
                <w:bCs/>
                <w:color w:val="000000" w:themeColor="text1"/>
              </w:rPr>
              <w:t>100.0%</w:t>
            </w:r>
          </w:p>
        </w:tc>
        <w:tc>
          <w:tcPr>
            <w:tcW w:w="991" w:type="dxa"/>
            <w:hideMark/>
          </w:tcPr>
          <w:p w14:paraId="7E486F05" w14:textId="28A543D3" w:rsidR="008F2AA0" w:rsidRPr="006A7A6E" w:rsidRDefault="008F2AA0" w:rsidP="008F2AA0">
            <w:pPr>
              <w:pStyle w:val="NoSpacing"/>
              <w:jc w:val="right"/>
              <w:rPr>
                <w:rFonts w:cstheme="minorHAnsi"/>
                <w:b/>
                <w:bCs/>
              </w:rPr>
            </w:pPr>
            <w:r>
              <w:rPr>
                <w:rFonts w:cstheme="minorHAnsi"/>
                <w:b/>
                <w:bCs/>
                <w:color w:val="000000" w:themeColor="text1"/>
              </w:rPr>
              <w:t>-</w:t>
            </w:r>
            <w:r w:rsidR="00222054">
              <w:rPr>
                <w:rFonts w:cstheme="minorHAnsi"/>
                <w:b/>
                <w:bCs/>
                <w:color w:val="000000" w:themeColor="text1"/>
              </w:rPr>
              <w:t>4.6</w:t>
            </w:r>
            <w:r w:rsidRPr="006A7A6E">
              <w:rPr>
                <w:rFonts w:cstheme="minorHAnsi"/>
                <w:b/>
                <w:bCs/>
                <w:color w:val="000000" w:themeColor="text1"/>
              </w:rPr>
              <w:t>%</w:t>
            </w:r>
          </w:p>
        </w:tc>
        <w:tc>
          <w:tcPr>
            <w:tcW w:w="972" w:type="dxa"/>
            <w:tcBorders>
              <w:right w:val="single" w:sz="4" w:space="0" w:color="ED7D31"/>
            </w:tcBorders>
            <w:hideMark/>
          </w:tcPr>
          <w:p w14:paraId="3BD808C1" w14:textId="15FF5830" w:rsidR="008F2AA0" w:rsidRPr="006A7A6E" w:rsidRDefault="008F2AA0" w:rsidP="008F2AA0">
            <w:pPr>
              <w:pStyle w:val="NoSpacing"/>
              <w:jc w:val="right"/>
              <w:rPr>
                <w:rFonts w:cstheme="minorHAnsi"/>
                <w:b/>
                <w:bCs/>
              </w:rPr>
            </w:pPr>
            <w:r>
              <w:rPr>
                <w:rFonts w:cstheme="minorHAnsi"/>
                <w:b/>
                <w:bCs/>
                <w:color w:val="000000" w:themeColor="text1"/>
              </w:rPr>
              <w:t>-</w:t>
            </w:r>
            <w:r w:rsidR="00222054">
              <w:rPr>
                <w:rFonts w:cstheme="minorHAnsi"/>
                <w:b/>
                <w:bCs/>
                <w:color w:val="000000" w:themeColor="text1"/>
              </w:rPr>
              <w:t>9.0</w:t>
            </w:r>
            <w:r w:rsidRPr="006A7A6E">
              <w:rPr>
                <w:rFonts w:cstheme="minorHAnsi"/>
                <w:b/>
                <w:bCs/>
                <w:color w:val="000000" w:themeColor="text1"/>
              </w:rPr>
              <w:t>%</w:t>
            </w:r>
          </w:p>
        </w:tc>
        <w:tc>
          <w:tcPr>
            <w:tcW w:w="927" w:type="dxa"/>
            <w:tcBorders>
              <w:left w:val="single" w:sz="4" w:space="0" w:color="ED7D31"/>
            </w:tcBorders>
          </w:tcPr>
          <w:p w14:paraId="6E7375BC" w14:textId="3F6AF512" w:rsidR="008F2AA0" w:rsidRPr="006A7A6E" w:rsidRDefault="00222054" w:rsidP="008F2AA0">
            <w:pPr>
              <w:pStyle w:val="NoSpacing"/>
              <w:jc w:val="right"/>
              <w:rPr>
                <w:rFonts w:cstheme="minorHAnsi"/>
                <w:b/>
                <w:bCs/>
              </w:rPr>
            </w:pPr>
            <w:r>
              <w:rPr>
                <w:rFonts w:cstheme="minorHAnsi"/>
                <w:b/>
                <w:bCs/>
                <w:color w:val="000000" w:themeColor="text1"/>
              </w:rPr>
              <w:t>21.1</w:t>
            </w:r>
            <w:r w:rsidR="008F2AA0" w:rsidRPr="006A7A6E">
              <w:rPr>
                <w:rFonts w:cstheme="minorHAnsi"/>
                <w:b/>
                <w:bCs/>
                <w:color w:val="000000" w:themeColor="text1"/>
              </w:rPr>
              <w:t>M</w:t>
            </w:r>
          </w:p>
        </w:tc>
        <w:tc>
          <w:tcPr>
            <w:tcW w:w="1117" w:type="dxa"/>
          </w:tcPr>
          <w:p w14:paraId="62317D86" w14:textId="4533EB76" w:rsidR="008F2AA0" w:rsidRPr="006A7A6E" w:rsidRDefault="00511CD0" w:rsidP="008F2AA0">
            <w:pPr>
              <w:pStyle w:val="NoSpacing"/>
              <w:jc w:val="right"/>
              <w:rPr>
                <w:rFonts w:cstheme="minorHAnsi"/>
                <w:b/>
                <w:bCs/>
                <w:color w:val="000000" w:themeColor="text1"/>
              </w:rPr>
            </w:pPr>
            <w:r>
              <w:rPr>
                <w:rFonts w:cstheme="minorHAnsi"/>
                <w:b/>
                <w:bCs/>
                <w:color w:val="000000" w:themeColor="text1"/>
              </w:rPr>
              <w:t>100.0</w:t>
            </w:r>
            <w:r w:rsidR="008F2AA0">
              <w:rPr>
                <w:rFonts w:cstheme="minorHAnsi"/>
                <w:b/>
                <w:bCs/>
                <w:color w:val="000000" w:themeColor="text1"/>
              </w:rPr>
              <w:t>%</w:t>
            </w:r>
          </w:p>
        </w:tc>
        <w:tc>
          <w:tcPr>
            <w:tcW w:w="1047" w:type="dxa"/>
          </w:tcPr>
          <w:p w14:paraId="5E78B271" w14:textId="6C544FC5" w:rsidR="008F2AA0" w:rsidRPr="006A7A6E" w:rsidRDefault="008F2AA0" w:rsidP="008F2AA0">
            <w:pPr>
              <w:pStyle w:val="NoSpacing"/>
              <w:jc w:val="right"/>
              <w:rPr>
                <w:rFonts w:cstheme="minorHAnsi"/>
                <w:b/>
                <w:bCs/>
              </w:rPr>
            </w:pPr>
            <w:r>
              <w:rPr>
                <w:rFonts w:cstheme="minorHAnsi"/>
                <w:b/>
                <w:bCs/>
                <w:color w:val="000000" w:themeColor="text1"/>
              </w:rPr>
              <w:t>-</w:t>
            </w:r>
            <w:r w:rsidR="00222054">
              <w:rPr>
                <w:rFonts w:cstheme="minorHAnsi"/>
                <w:b/>
                <w:bCs/>
                <w:color w:val="000000" w:themeColor="text1"/>
              </w:rPr>
              <w:t>4.9</w:t>
            </w:r>
            <w:r w:rsidRPr="006A7A6E">
              <w:rPr>
                <w:rFonts w:cstheme="minorHAnsi"/>
                <w:b/>
                <w:bCs/>
                <w:color w:val="000000" w:themeColor="text1"/>
              </w:rPr>
              <w:t>%</w:t>
            </w:r>
          </w:p>
        </w:tc>
        <w:tc>
          <w:tcPr>
            <w:tcW w:w="964" w:type="dxa"/>
          </w:tcPr>
          <w:p w14:paraId="576290B6" w14:textId="36653BE0" w:rsidR="008F2AA0" w:rsidRPr="006A7A6E" w:rsidRDefault="008F2AA0" w:rsidP="008F2AA0">
            <w:pPr>
              <w:pStyle w:val="NoSpacing"/>
              <w:jc w:val="right"/>
              <w:rPr>
                <w:rFonts w:cstheme="minorHAnsi"/>
                <w:b/>
                <w:bCs/>
              </w:rPr>
            </w:pPr>
            <w:r>
              <w:rPr>
                <w:rFonts w:cstheme="minorHAnsi"/>
                <w:b/>
                <w:bCs/>
                <w:color w:val="000000" w:themeColor="text1"/>
              </w:rPr>
              <w:t>-</w:t>
            </w:r>
            <w:r w:rsidR="00222054">
              <w:rPr>
                <w:rFonts w:cstheme="minorHAnsi"/>
                <w:b/>
                <w:bCs/>
                <w:color w:val="000000" w:themeColor="text1"/>
              </w:rPr>
              <w:t>18.1</w:t>
            </w:r>
            <w:r w:rsidRPr="006A7A6E">
              <w:rPr>
                <w:rFonts w:cstheme="minorHAnsi"/>
                <w:b/>
                <w:bCs/>
                <w:color w:val="000000" w:themeColor="text1"/>
              </w:rPr>
              <w:t>%</w:t>
            </w:r>
          </w:p>
        </w:tc>
      </w:tr>
      <w:tr w:rsidR="00AB019A" w:rsidRPr="00B25DFD" w14:paraId="20B4A675" w14:textId="7B567306" w:rsidTr="00A43A45">
        <w:trPr>
          <w:cnfStyle w:val="000000100000" w:firstRow="0" w:lastRow="0" w:firstColumn="0" w:lastColumn="0" w:oddVBand="0" w:evenVBand="0" w:oddHBand="1" w:evenHBand="0" w:firstRowFirstColumn="0" w:firstRowLastColumn="0" w:lastRowFirstColumn="0" w:lastRowLastColumn="0"/>
          <w:trHeight w:val="20"/>
        </w:trPr>
        <w:tc>
          <w:tcPr>
            <w:tcW w:w="2699" w:type="dxa"/>
            <w:vAlign w:val="center"/>
            <w:hideMark/>
          </w:tcPr>
          <w:p w14:paraId="0674F69D" w14:textId="21733F06" w:rsidR="00AB019A" w:rsidRPr="006A7A6E" w:rsidRDefault="00AB019A" w:rsidP="00AB019A">
            <w:pPr>
              <w:rPr>
                <w:rFonts w:cstheme="minorHAnsi"/>
              </w:rPr>
            </w:pPr>
            <w:r w:rsidRPr="006A7A6E">
              <w:rPr>
                <w:rFonts w:cstheme="minorHAnsi"/>
              </w:rPr>
              <w:t>White mushrooms</w:t>
            </w:r>
          </w:p>
        </w:tc>
        <w:tc>
          <w:tcPr>
            <w:tcW w:w="1016" w:type="dxa"/>
            <w:hideMark/>
          </w:tcPr>
          <w:p w14:paraId="502595AA" w14:textId="50C378AD" w:rsidR="00AB019A" w:rsidRPr="002F23A1" w:rsidRDefault="00AB019A" w:rsidP="00AB019A">
            <w:pPr>
              <w:pStyle w:val="NoSpacing"/>
              <w:jc w:val="right"/>
              <w:rPr>
                <w:rFonts w:cstheme="minorHAnsi"/>
              </w:rPr>
            </w:pPr>
            <w:r w:rsidRPr="002F23A1">
              <w:rPr>
                <w:rFonts w:cstheme="minorHAnsi"/>
                <w:color w:val="000000" w:themeColor="text1"/>
              </w:rPr>
              <w:t>$</w:t>
            </w:r>
            <w:r w:rsidR="00222054">
              <w:rPr>
                <w:rFonts w:cstheme="minorHAnsi"/>
                <w:color w:val="000000" w:themeColor="text1"/>
              </w:rPr>
              <w:t>52.3</w:t>
            </w:r>
            <w:r w:rsidRPr="002F23A1">
              <w:rPr>
                <w:rFonts w:cstheme="minorHAnsi"/>
                <w:color w:val="000000" w:themeColor="text1"/>
              </w:rPr>
              <w:t>M</w:t>
            </w:r>
          </w:p>
        </w:tc>
        <w:tc>
          <w:tcPr>
            <w:tcW w:w="882" w:type="dxa"/>
          </w:tcPr>
          <w:p w14:paraId="5E770B3E" w14:textId="2CA359DB" w:rsidR="00AB019A" w:rsidRPr="00D96AEE" w:rsidRDefault="00222054" w:rsidP="00AB019A">
            <w:pPr>
              <w:pStyle w:val="NoSpacing"/>
              <w:jc w:val="right"/>
              <w:rPr>
                <w:rFonts w:cstheme="minorHAnsi"/>
              </w:rPr>
            </w:pPr>
            <w:r>
              <w:rPr>
                <w:rFonts w:cstheme="minorHAnsi"/>
              </w:rPr>
              <w:t>52.5</w:t>
            </w:r>
            <w:r w:rsidR="00AB019A" w:rsidRPr="004C6314">
              <w:rPr>
                <w:rFonts w:cstheme="minorHAnsi"/>
              </w:rPr>
              <w:t>%</w:t>
            </w:r>
          </w:p>
        </w:tc>
        <w:tc>
          <w:tcPr>
            <w:tcW w:w="991" w:type="dxa"/>
            <w:hideMark/>
          </w:tcPr>
          <w:p w14:paraId="4CEB702D" w14:textId="0F9DA473" w:rsidR="00AB019A" w:rsidRPr="00D96AEE" w:rsidRDefault="00AB019A" w:rsidP="00AB019A">
            <w:pPr>
              <w:pStyle w:val="NoSpacing"/>
              <w:jc w:val="right"/>
              <w:rPr>
                <w:rFonts w:cstheme="minorHAnsi"/>
              </w:rPr>
            </w:pPr>
            <w:r w:rsidRPr="006B4514">
              <w:rPr>
                <w:rFonts w:cstheme="minorHAnsi"/>
                <w:color w:val="000000" w:themeColor="text1"/>
              </w:rPr>
              <w:t>-</w:t>
            </w:r>
            <w:r w:rsidR="00222054">
              <w:rPr>
                <w:rFonts w:cstheme="minorHAnsi"/>
                <w:color w:val="000000" w:themeColor="text1"/>
              </w:rPr>
              <w:t>5.3</w:t>
            </w:r>
            <w:r w:rsidRPr="006B4514">
              <w:rPr>
                <w:rFonts w:cstheme="minorHAnsi"/>
                <w:color w:val="000000" w:themeColor="text1"/>
              </w:rPr>
              <w:t>%</w:t>
            </w:r>
          </w:p>
        </w:tc>
        <w:tc>
          <w:tcPr>
            <w:tcW w:w="972" w:type="dxa"/>
            <w:tcBorders>
              <w:right w:val="single" w:sz="4" w:space="0" w:color="ED7D31"/>
            </w:tcBorders>
            <w:hideMark/>
          </w:tcPr>
          <w:p w14:paraId="7F3B4AE1" w14:textId="595BA521" w:rsidR="00AB019A" w:rsidRPr="0004266D" w:rsidRDefault="00AB019A" w:rsidP="00AB019A">
            <w:pPr>
              <w:pStyle w:val="NoSpacing"/>
              <w:jc w:val="right"/>
              <w:rPr>
                <w:rFonts w:cstheme="minorHAnsi"/>
              </w:rPr>
            </w:pPr>
            <w:r w:rsidRPr="00741482">
              <w:rPr>
                <w:rFonts w:cstheme="minorHAnsi"/>
                <w:color w:val="000000" w:themeColor="text1"/>
              </w:rPr>
              <w:t>-</w:t>
            </w:r>
            <w:r w:rsidR="00222054">
              <w:rPr>
                <w:rFonts w:cstheme="minorHAnsi"/>
                <w:color w:val="000000" w:themeColor="text1"/>
              </w:rPr>
              <w:t>12.2</w:t>
            </w:r>
            <w:r w:rsidRPr="00741482">
              <w:rPr>
                <w:rFonts w:cstheme="minorHAnsi"/>
                <w:color w:val="000000" w:themeColor="text1"/>
              </w:rPr>
              <w:t>%</w:t>
            </w:r>
          </w:p>
        </w:tc>
        <w:tc>
          <w:tcPr>
            <w:tcW w:w="927" w:type="dxa"/>
            <w:tcBorders>
              <w:left w:val="single" w:sz="4" w:space="0" w:color="ED7D31"/>
            </w:tcBorders>
          </w:tcPr>
          <w:p w14:paraId="3E87B660" w14:textId="427C5782" w:rsidR="00AB019A" w:rsidRPr="0004266D" w:rsidRDefault="00222054" w:rsidP="00AB019A">
            <w:pPr>
              <w:pStyle w:val="NoSpacing"/>
              <w:jc w:val="right"/>
              <w:rPr>
                <w:rFonts w:cstheme="minorHAnsi"/>
              </w:rPr>
            </w:pPr>
            <w:r>
              <w:rPr>
                <w:rFonts w:cstheme="minorHAnsi"/>
                <w:color w:val="000000" w:themeColor="text1"/>
              </w:rPr>
              <w:t>12.4</w:t>
            </w:r>
            <w:r w:rsidR="00AB019A" w:rsidRPr="0004266D">
              <w:rPr>
                <w:rFonts w:cstheme="minorHAnsi"/>
                <w:color w:val="000000" w:themeColor="text1"/>
              </w:rPr>
              <w:t>M</w:t>
            </w:r>
          </w:p>
        </w:tc>
        <w:tc>
          <w:tcPr>
            <w:tcW w:w="1117" w:type="dxa"/>
          </w:tcPr>
          <w:p w14:paraId="4385ED4A" w14:textId="14C13483" w:rsidR="00AB019A" w:rsidRPr="00337F18" w:rsidRDefault="00222054" w:rsidP="00AB019A">
            <w:pPr>
              <w:pStyle w:val="NoSpacing"/>
              <w:tabs>
                <w:tab w:val="left" w:pos="510"/>
                <w:tab w:val="right" w:pos="674"/>
              </w:tabs>
              <w:jc w:val="right"/>
              <w:rPr>
                <w:rFonts w:cstheme="minorHAnsi"/>
              </w:rPr>
            </w:pPr>
            <w:r>
              <w:rPr>
                <w:rFonts w:cstheme="minorHAnsi"/>
              </w:rPr>
              <w:t>58.7</w:t>
            </w:r>
            <w:r w:rsidR="00AB019A" w:rsidRPr="000B53C4">
              <w:rPr>
                <w:rFonts w:cstheme="minorHAnsi"/>
              </w:rPr>
              <w:t>%</w:t>
            </w:r>
          </w:p>
        </w:tc>
        <w:tc>
          <w:tcPr>
            <w:tcW w:w="1047" w:type="dxa"/>
          </w:tcPr>
          <w:p w14:paraId="776C4AD3" w14:textId="1003912C" w:rsidR="00AB019A" w:rsidRPr="0004266D" w:rsidRDefault="00AB019A" w:rsidP="00AB019A">
            <w:pPr>
              <w:pStyle w:val="NoSpacing"/>
              <w:jc w:val="right"/>
              <w:rPr>
                <w:rFonts w:cstheme="minorHAnsi"/>
              </w:rPr>
            </w:pPr>
            <w:r w:rsidRPr="00493791">
              <w:rPr>
                <w:rFonts w:cstheme="minorHAnsi"/>
                <w:color w:val="000000" w:themeColor="text1"/>
              </w:rPr>
              <w:t>-</w:t>
            </w:r>
            <w:r w:rsidR="00222054">
              <w:rPr>
                <w:rFonts w:cstheme="minorHAnsi"/>
                <w:color w:val="000000" w:themeColor="text1"/>
              </w:rPr>
              <w:t>7.6</w:t>
            </w:r>
            <w:r w:rsidRPr="00493791">
              <w:rPr>
                <w:rFonts w:cstheme="minorHAnsi"/>
                <w:color w:val="000000" w:themeColor="text1"/>
              </w:rPr>
              <w:t>%</w:t>
            </w:r>
          </w:p>
        </w:tc>
        <w:tc>
          <w:tcPr>
            <w:tcW w:w="964" w:type="dxa"/>
          </w:tcPr>
          <w:p w14:paraId="107F8B93" w14:textId="42679CA2" w:rsidR="00AB019A" w:rsidRPr="00D96AEE" w:rsidRDefault="00AB019A" w:rsidP="00AB019A">
            <w:pPr>
              <w:pStyle w:val="NoSpacing"/>
              <w:jc w:val="right"/>
              <w:rPr>
                <w:rFonts w:cstheme="minorHAnsi"/>
              </w:rPr>
            </w:pPr>
            <w:r w:rsidRPr="00493791">
              <w:rPr>
                <w:rFonts w:cstheme="minorHAnsi"/>
                <w:color w:val="000000" w:themeColor="text1"/>
              </w:rPr>
              <w:t>-</w:t>
            </w:r>
            <w:r w:rsidR="00222054">
              <w:rPr>
                <w:rFonts w:cstheme="minorHAnsi"/>
                <w:color w:val="000000" w:themeColor="text1"/>
              </w:rPr>
              <w:t>21.9</w:t>
            </w:r>
            <w:r w:rsidRPr="00493791">
              <w:rPr>
                <w:rFonts w:cstheme="minorHAnsi"/>
                <w:color w:val="000000" w:themeColor="text1"/>
              </w:rPr>
              <w:t>%</w:t>
            </w:r>
          </w:p>
        </w:tc>
      </w:tr>
      <w:tr w:rsidR="00AB019A" w:rsidRPr="00B25DFD" w14:paraId="6060C93B" w14:textId="081A30E4" w:rsidTr="00A43A45">
        <w:trPr>
          <w:trHeight w:val="20"/>
        </w:trPr>
        <w:tc>
          <w:tcPr>
            <w:tcW w:w="2699" w:type="dxa"/>
            <w:vAlign w:val="center"/>
            <w:hideMark/>
          </w:tcPr>
          <w:p w14:paraId="4D628EC6" w14:textId="7F1F9492" w:rsidR="00AB019A" w:rsidRPr="006A7A6E" w:rsidRDefault="00AB019A" w:rsidP="00AB019A">
            <w:pPr>
              <w:rPr>
                <w:rFonts w:cstheme="minorHAnsi"/>
              </w:rPr>
            </w:pPr>
            <w:r w:rsidRPr="006A7A6E">
              <w:rPr>
                <w:rFonts w:cstheme="minorHAnsi"/>
              </w:rPr>
              <w:t>Brown mushrooms</w:t>
            </w:r>
          </w:p>
        </w:tc>
        <w:tc>
          <w:tcPr>
            <w:tcW w:w="1016" w:type="dxa"/>
            <w:hideMark/>
          </w:tcPr>
          <w:p w14:paraId="590C2B94" w14:textId="62DF0795" w:rsidR="00AB019A" w:rsidRPr="002F23A1" w:rsidRDefault="00AB019A" w:rsidP="00AB019A">
            <w:pPr>
              <w:pStyle w:val="NoSpacing"/>
              <w:jc w:val="right"/>
              <w:rPr>
                <w:rFonts w:cstheme="minorHAnsi"/>
              </w:rPr>
            </w:pPr>
            <w:r w:rsidRPr="002F23A1">
              <w:rPr>
                <w:rFonts w:cstheme="minorHAnsi"/>
                <w:color w:val="000000" w:themeColor="text1"/>
              </w:rPr>
              <w:t>$</w:t>
            </w:r>
            <w:r w:rsidR="00222054">
              <w:rPr>
                <w:rFonts w:cstheme="minorHAnsi"/>
                <w:color w:val="000000" w:themeColor="text1"/>
              </w:rPr>
              <w:t>41.5</w:t>
            </w:r>
            <w:r w:rsidRPr="002F23A1">
              <w:rPr>
                <w:rFonts w:cstheme="minorHAnsi"/>
                <w:color w:val="000000" w:themeColor="text1"/>
              </w:rPr>
              <w:t>M</w:t>
            </w:r>
          </w:p>
        </w:tc>
        <w:tc>
          <w:tcPr>
            <w:tcW w:w="882" w:type="dxa"/>
          </w:tcPr>
          <w:p w14:paraId="02395440" w14:textId="22975EB8" w:rsidR="00AB019A" w:rsidRPr="00337F18" w:rsidRDefault="00222054" w:rsidP="00AB019A">
            <w:pPr>
              <w:pStyle w:val="NoSpacing"/>
              <w:jc w:val="right"/>
              <w:rPr>
                <w:rFonts w:cstheme="minorHAnsi"/>
              </w:rPr>
            </w:pPr>
            <w:r>
              <w:rPr>
                <w:rFonts w:cstheme="minorHAnsi"/>
              </w:rPr>
              <w:t>41.6</w:t>
            </w:r>
            <w:r w:rsidR="00AB019A" w:rsidRPr="004C6314">
              <w:rPr>
                <w:rFonts w:cstheme="minorHAnsi"/>
              </w:rPr>
              <w:t>%</w:t>
            </w:r>
          </w:p>
        </w:tc>
        <w:tc>
          <w:tcPr>
            <w:tcW w:w="991" w:type="dxa"/>
            <w:hideMark/>
          </w:tcPr>
          <w:p w14:paraId="42F0AAF3" w14:textId="5B48CB0B" w:rsidR="00AB019A" w:rsidRPr="0004266D" w:rsidRDefault="00AB019A" w:rsidP="00AB019A">
            <w:pPr>
              <w:pStyle w:val="NoSpacing"/>
              <w:jc w:val="right"/>
              <w:rPr>
                <w:rFonts w:cstheme="minorHAnsi"/>
              </w:rPr>
            </w:pPr>
            <w:r w:rsidRPr="006B4514">
              <w:rPr>
                <w:rFonts w:cstheme="minorHAnsi"/>
                <w:color w:val="000000" w:themeColor="text1"/>
              </w:rPr>
              <w:t>-</w:t>
            </w:r>
            <w:r w:rsidR="00222054">
              <w:rPr>
                <w:rFonts w:cstheme="minorHAnsi"/>
                <w:color w:val="000000" w:themeColor="text1"/>
              </w:rPr>
              <w:t>3.3</w:t>
            </w:r>
            <w:r w:rsidRPr="006B4514">
              <w:rPr>
                <w:rFonts w:cstheme="minorHAnsi"/>
                <w:color w:val="000000" w:themeColor="text1"/>
              </w:rPr>
              <w:t>%</w:t>
            </w:r>
          </w:p>
        </w:tc>
        <w:tc>
          <w:tcPr>
            <w:tcW w:w="972" w:type="dxa"/>
            <w:tcBorders>
              <w:right w:val="single" w:sz="4" w:space="0" w:color="ED7D31"/>
            </w:tcBorders>
            <w:hideMark/>
          </w:tcPr>
          <w:p w14:paraId="25DB127B" w14:textId="7A148EE6" w:rsidR="00AB019A" w:rsidRPr="0004266D" w:rsidRDefault="00AB019A" w:rsidP="00AB019A">
            <w:pPr>
              <w:pStyle w:val="NoSpacing"/>
              <w:jc w:val="right"/>
              <w:rPr>
                <w:rFonts w:cstheme="minorHAnsi"/>
              </w:rPr>
            </w:pPr>
            <w:r w:rsidRPr="00741482">
              <w:rPr>
                <w:rFonts w:cstheme="minorHAnsi"/>
                <w:color w:val="000000" w:themeColor="text1"/>
              </w:rPr>
              <w:t>-</w:t>
            </w:r>
            <w:r w:rsidR="00222054">
              <w:rPr>
                <w:rFonts w:cstheme="minorHAnsi"/>
                <w:color w:val="000000" w:themeColor="text1"/>
              </w:rPr>
              <w:t>3.5</w:t>
            </w:r>
            <w:r w:rsidRPr="00741482">
              <w:rPr>
                <w:rFonts w:cstheme="minorHAnsi"/>
                <w:color w:val="000000" w:themeColor="text1"/>
              </w:rPr>
              <w:t>%</w:t>
            </w:r>
          </w:p>
        </w:tc>
        <w:tc>
          <w:tcPr>
            <w:tcW w:w="927" w:type="dxa"/>
            <w:tcBorders>
              <w:left w:val="single" w:sz="4" w:space="0" w:color="ED7D31"/>
            </w:tcBorders>
          </w:tcPr>
          <w:p w14:paraId="6FD24DED" w14:textId="4994677E" w:rsidR="00AB019A" w:rsidRPr="0004266D" w:rsidRDefault="00222054" w:rsidP="00AB019A">
            <w:pPr>
              <w:pStyle w:val="NoSpacing"/>
              <w:jc w:val="right"/>
              <w:rPr>
                <w:rFonts w:cstheme="minorHAnsi"/>
              </w:rPr>
            </w:pPr>
            <w:r>
              <w:rPr>
                <w:rFonts w:cstheme="minorHAnsi"/>
                <w:color w:val="000000" w:themeColor="text1"/>
              </w:rPr>
              <w:t>8.3</w:t>
            </w:r>
            <w:r w:rsidR="00AB019A" w:rsidRPr="0004266D">
              <w:rPr>
                <w:rFonts w:cstheme="minorHAnsi"/>
                <w:color w:val="000000" w:themeColor="text1"/>
              </w:rPr>
              <w:t>M</w:t>
            </w:r>
          </w:p>
        </w:tc>
        <w:tc>
          <w:tcPr>
            <w:tcW w:w="1117" w:type="dxa"/>
          </w:tcPr>
          <w:p w14:paraId="39529C18" w14:textId="2C9ACE8C" w:rsidR="00AB019A" w:rsidRPr="00337F18" w:rsidRDefault="00222054" w:rsidP="00AB019A">
            <w:pPr>
              <w:pStyle w:val="NoSpacing"/>
              <w:jc w:val="right"/>
              <w:rPr>
                <w:rFonts w:cstheme="minorHAnsi"/>
              </w:rPr>
            </w:pPr>
            <w:r>
              <w:rPr>
                <w:rFonts w:cstheme="minorHAnsi"/>
              </w:rPr>
              <w:t>39.2</w:t>
            </w:r>
            <w:r w:rsidR="00AB019A" w:rsidRPr="000B53C4">
              <w:rPr>
                <w:rFonts w:cstheme="minorHAnsi"/>
              </w:rPr>
              <w:t>%</w:t>
            </w:r>
          </w:p>
        </w:tc>
        <w:tc>
          <w:tcPr>
            <w:tcW w:w="1047" w:type="dxa"/>
          </w:tcPr>
          <w:p w14:paraId="720478A7" w14:textId="270E960F" w:rsidR="00AB019A" w:rsidRPr="0004266D" w:rsidRDefault="00AB019A" w:rsidP="00AB019A">
            <w:pPr>
              <w:pStyle w:val="NoSpacing"/>
              <w:jc w:val="right"/>
              <w:rPr>
                <w:rFonts w:cstheme="minorHAnsi"/>
              </w:rPr>
            </w:pPr>
            <w:r w:rsidRPr="00493791">
              <w:rPr>
                <w:rFonts w:cstheme="minorHAnsi"/>
                <w:color w:val="000000" w:themeColor="text1"/>
              </w:rPr>
              <w:t>-</w:t>
            </w:r>
            <w:r w:rsidR="00222054">
              <w:rPr>
                <w:rFonts w:cstheme="minorHAnsi"/>
                <w:color w:val="000000" w:themeColor="text1"/>
              </w:rPr>
              <w:t>0.5</w:t>
            </w:r>
            <w:r w:rsidRPr="00493791">
              <w:rPr>
                <w:rFonts w:cstheme="minorHAnsi"/>
                <w:color w:val="000000" w:themeColor="text1"/>
              </w:rPr>
              <w:t>%</w:t>
            </w:r>
          </w:p>
        </w:tc>
        <w:tc>
          <w:tcPr>
            <w:tcW w:w="964" w:type="dxa"/>
          </w:tcPr>
          <w:p w14:paraId="30958CBD" w14:textId="4850DF7B" w:rsidR="00AB019A" w:rsidRPr="00D96AEE" w:rsidRDefault="00AB019A" w:rsidP="00AB019A">
            <w:pPr>
              <w:pStyle w:val="NoSpacing"/>
              <w:jc w:val="right"/>
              <w:rPr>
                <w:rFonts w:cstheme="minorHAnsi"/>
              </w:rPr>
            </w:pPr>
            <w:r w:rsidRPr="00493791">
              <w:rPr>
                <w:rFonts w:cstheme="minorHAnsi"/>
                <w:color w:val="000000" w:themeColor="text1"/>
              </w:rPr>
              <w:t>-</w:t>
            </w:r>
            <w:r w:rsidR="00222054">
              <w:rPr>
                <w:rFonts w:cstheme="minorHAnsi"/>
                <w:color w:val="000000" w:themeColor="text1"/>
              </w:rPr>
              <w:t>11.4</w:t>
            </w:r>
            <w:r w:rsidRPr="00493791">
              <w:rPr>
                <w:rFonts w:cstheme="minorHAnsi"/>
                <w:color w:val="000000" w:themeColor="text1"/>
              </w:rPr>
              <w:t>%</w:t>
            </w:r>
          </w:p>
        </w:tc>
      </w:tr>
      <w:tr w:rsidR="00AB019A" w:rsidRPr="00B25DFD" w14:paraId="2B6B448E" w14:textId="7445020D" w:rsidTr="00A43A45">
        <w:trPr>
          <w:cnfStyle w:val="000000100000" w:firstRow="0" w:lastRow="0" w:firstColumn="0" w:lastColumn="0" w:oddVBand="0" w:evenVBand="0" w:oddHBand="1" w:evenHBand="0" w:firstRowFirstColumn="0" w:firstRowLastColumn="0" w:lastRowFirstColumn="0" w:lastRowLastColumn="0"/>
          <w:trHeight w:val="20"/>
        </w:trPr>
        <w:tc>
          <w:tcPr>
            <w:tcW w:w="2699" w:type="dxa"/>
            <w:vAlign w:val="center"/>
            <w:hideMark/>
          </w:tcPr>
          <w:p w14:paraId="7C14C062" w14:textId="0BCE1D26" w:rsidR="00AB019A" w:rsidRPr="006A7A6E" w:rsidRDefault="00AB019A" w:rsidP="00AB019A">
            <w:pPr>
              <w:rPr>
                <w:rFonts w:cstheme="minorHAnsi"/>
              </w:rPr>
            </w:pPr>
            <w:r>
              <w:rPr>
                <w:rFonts w:cstheme="minorHAnsi"/>
              </w:rPr>
              <w:t xml:space="preserve">Specialty </w:t>
            </w:r>
            <w:r w:rsidRPr="006A7A6E">
              <w:rPr>
                <w:rFonts w:cstheme="minorHAnsi"/>
              </w:rPr>
              <w:t>mushrooms</w:t>
            </w:r>
          </w:p>
        </w:tc>
        <w:tc>
          <w:tcPr>
            <w:tcW w:w="1016" w:type="dxa"/>
            <w:hideMark/>
          </w:tcPr>
          <w:p w14:paraId="43257BA5" w14:textId="12B8989D" w:rsidR="00AB019A" w:rsidRPr="002F23A1" w:rsidRDefault="00AB019A" w:rsidP="00AB019A">
            <w:pPr>
              <w:pStyle w:val="NoSpacing"/>
              <w:jc w:val="right"/>
              <w:rPr>
                <w:rFonts w:cstheme="minorHAnsi"/>
              </w:rPr>
            </w:pPr>
            <w:r w:rsidRPr="002F23A1">
              <w:rPr>
                <w:rFonts w:cstheme="minorHAnsi"/>
                <w:color w:val="000000" w:themeColor="text1"/>
              </w:rPr>
              <w:t>$</w:t>
            </w:r>
            <w:r w:rsidR="00222054">
              <w:rPr>
                <w:rFonts w:cstheme="minorHAnsi"/>
                <w:color w:val="000000" w:themeColor="text1"/>
              </w:rPr>
              <w:t>6.0</w:t>
            </w:r>
            <w:r w:rsidRPr="002F23A1">
              <w:rPr>
                <w:rFonts w:cstheme="minorHAnsi"/>
                <w:color w:val="000000" w:themeColor="text1"/>
              </w:rPr>
              <w:t>M</w:t>
            </w:r>
          </w:p>
        </w:tc>
        <w:tc>
          <w:tcPr>
            <w:tcW w:w="882" w:type="dxa"/>
          </w:tcPr>
          <w:p w14:paraId="7EC04D31" w14:textId="7B375CE3" w:rsidR="00AB019A" w:rsidRPr="00337F18" w:rsidRDefault="00222054" w:rsidP="00AB019A">
            <w:pPr>
              <w:pStyle w:val="NoSpacing"/>
              <w:jc w:val="right"/>
              <w:rPr>
                <w:rFonts w:cstheme="minorHAnsi"/>
              </w:rPr>
            </w:pPr>
            <w:r>
              <w:rPr>
                <w:rFonts w:cstheme="minorHAnsi"/>
              </w:rPr>
              <w:t>6.0</w:t>
            </w:r>
            <w:r w:rsidR="00AB019A" w:rsidRPr="004C6314">
              <w:rPr>
                <w:rFonts w:cstheme="minorHAnsi"/>
              </w:rPr>
              <w:t>%</w:t>
            </w:r>
          </w:p>
        </w:tc>
        <w:tc>
          <w:tcPr>
            <w:tcW w:w="991" w:type="dxa"/>
            <w:hideMark/>
          </w:tcPr>
          <w:p w14:paraId="10052F27" w14:textId="0C08F6B7" w:rsidR="00AB019A" w:rsidRPr="0004266D" w:rsidRDefault="00222054" w:rsidP="00AB019A">
            <w:pPr>
              <w:pStyle w:val="NoSpacing"/>
              <w:jc w:val="right"/>
              <w:rPr>
                <w:rFonts w:cstheme="minorHAnsi"/>
              </w:rPr>
            </w:pPr>
            <w:r>
              <w:rPr>
                <w:rFonts w:cstheme="minorHAnsi"/>
                <w:color w:val="000000" w:themeColor="text1"/>
              </w:rPr>
              <w:t>-7.2</w:t>
            </w:r>
            <w:r w:rsidR="00AB019A" w:rsidRPr="0004266D">
              <w:rPr>
                <w:rFonts w:cstheme="minorHAnsi"/>
                <w:color w:val="000000" w:themeColor="text1"/>
              </w:rPr>
              <w:t>%</w:t>
            </w:r>
          </w:p>
        </w:tc>
        <w:tc>
          <w:tcPr>
            <w:tcW w:w="972" w:type="dxa"/>
            <w:tcBorders>
              <w:right w:val="single" w:sz="4" w:space="0" w:color="ED7D31"/>
            </w:tcBorders>
            <w:hideMark/>
          </w:tcPr>
          <w:p w14:paraId="31EEA636" w14:textId="4C913282" w:rsidR="00AB019A" w:rsidRPr="0004266D" w:rsidRDefault="00AB019A" w:rsidP="00AB019A">
            <w:pPr>
              <w:pStyle w:val="NoSpacing"/>
              <w:jc w:val="right"/>
              <w:rPr>
                <w:rFonts w:cstheme="minorHAnsi"/>
              </w:rPr>
            </w:pPr>
            <w:r w:rsidRPr="00741482">
              <w:rPr>
                <w:rFonts w:cstheme="minorHAnsi"/>
                <w:color w:val="000000" w:themeColor="text1"/>
              </w:rPr>
              <w:t>-</w:t>
            </w:r>
            <w:r w:rsidR="00222054">
              <w:rPr>
                <w:rFonts w:cstheme="minorHAnsi"/>
                <w:color w:val="000000" w:themeColor="text1"/>
              </w:rPr>
              <w:t>15.2</w:t>
            </w:r>
            <w:r w:rsidRPr="00741482">
              <w:rPr>
                <w:rFonts w:cstheme="minorHAnsi"/>
                <w:color w:val="000000" w:themeColor="text1"/>
              </w:rPr>
              <w:t>%</w:t>
            </w:r>
          </w:p>
        </w:tc>
        <w:tc>
          <w:tcPr>
            <w:tcW w:w="927" w:type="dxa"/>
            <w:tcBorders>
              <w:left w:val="single" w:sz="4" w:space="0" w:color="ED7D31"/>
            </w:tcBorders>
          </w:tcPr>
          <w:p w14:paraId="166CB34C" w14:textId="60653BF4" w:rsidR="00AB019A" w:rsidRPr="0004266D" w:rsidRDefault="00222054" w:rsidP="00AB019A">
            <w:pPr>
              <w:pStyle w:val="NoSpacing"/>
              <w:jc w:val="right"/>
              <w:rPr>
                <w:rFonts w:cstheme="minorHAnsi"/>
              </w:rPr>
            </w:pPr>
            <w:r>
              <w:rPr>
                <w:rFonts w:cstheme="minorHAnsi"/>
                <w:color w:val="000000" w:themeColor="text1"/>
              </w:rPr>
              <w:t>0.4</w:t>
            </w:r>
            <w:r w:rsidR="00AB019A" w:rsidRPr="0004266D">
              <w:rPr>
                <w:rFonts w:cstheme="minorHAnsi"/>
                <w:color w:val="000000" w:themeColor="text1"/>
              </w:rPr>
              <w:t>M</w:t>
            </w:r>
          </w:p>
        </w:tc>
        <w:tc>
          <w:tcPr>
            <w:tcW w:w="1117" w:type="dxa"/>
          </w:tcPr>
          <w:p w14:paraId="417DE33D" w14:textId="74DB403E" w:rsidR="00AB019A" w:rsidRPr="00337F18" w:rsidRDefault="00222054" w:rsidP="00AB019A">
            <w:pPr>
              <w:pStyle w:val="NoSpacing"/>
              <w:jc w:val="right"/>
              <w:rPr>
                <w:rFonts w:cstheme="minorHAnsi"/>
              </w:rPr>
            </w:pPr>
            <w:r>
              <w:rPr>
                <w:rFonts w:cstheme="minorHAnsi"/>
              </w:rPr>
              <w:t>2.1</w:t>
            </w:r>
            <w:r w:rsidR="00AB019A" w:rsidRPr="000B53C4">
              <w:rPr>
                <w:rFonts w:cstheme="minorHAnsi"/>
              </w:rPr>
              <w:t>%</w:t>
            </w:r>
          </w:p>
        </w:tc>
        <w:tc>
          <w:tcPr>
            <w:tcW w:w="1047" w:type="dxa"/>
          </w:tcPr>
          <w:p w14:paraId="632726C6" w14:textId="7A037A2C" w:rsidR="00AB019A" w:rsidRPr="0004266D" w:rsidRDefault="00222054" w:rsidP="00AB019A">
            <w:pPr>
              <w:pStyle w:val="NoSpacing"/>
              <w:jc w:val="right"/>
              <w:rPr>
                <w:rFonts w:cstheme="minorHAnsi"/>
              </w:rPr>
            </w:pPr>
            <w:r>
              <w:rPr>
                <w:rFonts w:cstheme="minorHAnsi"/>
                <w:color w:val="000000" w:themeColor="text1"/>
              </w:rPr>
              <w:t>-4.8</w:t>
            </w:r>
            <w:r w:rsidR="00AB019A" w:rsidRPr="0004266D">
              <w:rPr>
                <w:rFonts w:cstheme="minorHAnsi"/>
                <w:color w:val="000000" w:themeColor="text1"/>
              </w:rPr>
              <w:t>%</w:t>
            </w:r>
          </w:p>
        </w:tc>
        <w:tc>
          <w:tcPr>
            <w:tcW w:w="964" w:type="dxa"/>
          </w:tcPr>
          <w:p w14:paraId="700774A9" w14:textId="682E95F4" w:rsidR="00AB019A" w:rsidRPr="0004266D" w:rsidRDefault="00AB019A" w:rsidP="00AB019A">
            <w:pPr>
              <w:pStyle w:val="NoSpacing"/>
              <w:jc w:val="right"/>
              <w:rPr>
                <w:rFonts w:cstheme="minorHAnsi"/>
              </w:rPr>
            </w:pPr>
            <w:r>
              <w:rPr>
                <w:rFonts w:cstheme="minorHAnsi"/>
                <w:color w:val="000000" w:themeColor="text1"/>
              </w:rPr>
              <w:t>-</w:t>
            </w:r>
            <w:r w:rsidR="00222054">
              <w:rPr>
                <w:rFonts w:cstheme="minorHAnsi"/>
                <w:color w:val="000000" w:themeColor="text1"/>
              </w:rPr>
              <w:t>21.8</w:t>
            </w:r>
            <w:r w:rsidRPr="0004266D">
              <w:rPr>
                <w:rFonts w:cstheme="minorHAnsi"/>
                <w:color w:val="000000" w:themeColor="text1"/>
              </w:rPr>
              <w:t>%</w:t>
            </w:r>
          </w:p>
        </w:tc>
      </w:tr>
    </w:tbl>
    <w:bookmarkEnd w:id="0"/>
    <w:p w14:paraId="45617577" w14:textId="49E04FB1" w:rsidR="00555250" w:rsidRPr="00555250" w:rsidRDefault="00555250" w:rsidP="00782D09">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Circana</w:t>
      </w:r>
      <w:r w:rsidRPr="00555250">
        <w:rPr>
          <w:color w:val="7F7F7F" w:themeColor="text1" w:themeTint="80"/>
          <w:sz w:val="16"/>
          <w:szCs w:val="16"/>
        </w:rPr>
        <w:t xml:space="preserve">,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AB019A">
        <w:rPr>
          <w:color w:val="7F7F7F" w:themeColor="text1" w:themeTint="80"/>
          <w:sz w:val="16"/>
          <w:szCs w:val="16"/>
        </w:rPr>
        <w:t>12/3</w:t>
      </w:r>
      <w:r w:rsidR="00EB090C">
        <w:rPr>
          <w:color w:val="7F7F7F" w:themeColor="text1" w:themeTint="80"/>
          <w:sz w:val="16"/>
          <w:szCs w:val="16"/>
        </w:rPr>
        <w:t>/2023</w:t>
      </w:r>
    </w:p>
    <w:p w14:paraId="0804BC52" w14:textId="568E8254" w:rsidR="0092088E" w:rsidRDefault="0092088E" w:rsidP="00472B02">
      <w:pPr>
        <w:pStyle w:val="NoSpacing"/>
      </w:pPr>
    </w:p>
    <w:p w14:paraId="59E70896" w14:textId="52CB107E" w:rsidR="004C2808" w:rsidRPr="004462C1" w:rsidRDefault="004C2808" w:rsidP="004462C1">
      <w:pPr>
        <w:pStyle w:val="Heading2"/>
        <w:rPr>
          <w:b/>
          <w:bCs/>
          <w:color w:val="ED7D31" w:themeColor="accent2"/>
        </w:rPr>
      </w:pPr>
      <w:r w:rsidRPr="004462C1">
        <w:rPr>
          <w:b/>
          <w:bCs/>
          <w:color w:val="ED7D31" w:themeColor="accent2"/>
        </w:rPr>
        <w:t>Additional observations:</w:t>
      </w:r>
    </w:p>
    <w:p w14:paraId="22421914" w14:textId="5DFBD5B2" w:rsidR="00C9550B" w:rsidRPr="00B11421" w:rsidRDefault="00C9550B" w:rsidP="00174F0E">
      <w:pPr>
        <w:pStyle w:val="NoSpacing"/>
        <w:numPr>
          <w:ilvl w:val="0"/>
          <w:numId w:val="2"/>
        </w:numPr>
        <w:rPr>
          <w:color w:val="000000" w:themeColor="text1"/>
        </w:rPr>
      </w:pPr>
      <w:r w:rsidRPr="00B11421">
        <w:rPr>
          <w:color w:val="000000" w:themeColor="text1"/>
          <w:u w:val="single"/>
        </w:rPr>
        <w:t>Package size</w:t>
      </w:r>
      <w:r w:rsidRPr="00B11421">
        <w:rPr>
          <w:color w:val="000000" w:themeColor="text1"/>
        </w:rPr>
        <w:t xml:space="preserve">: </w:t>
      </w:r>
      <w:r w:rsidR="00B672D0" w:rsidRPr="00B11421">
        <w:rPr>
          <w:color w:val="000000" w:themeColor="text1"/>
        </w:rPr>
        <w:t>8</w:t>
      </w:r>
      <w:r w:rsidRPr="00B11421">
        <w:rPr>
          <w:color w:val="000000" w:themeColor="text1"/>
        </w:rPr>
        <w:t xml:space="preserve">-ounce packages </w:t>
      </w:r>
      <w:r w:rsidR="00B42A49" w:rsidRPr="00B11421">
        <w:rPr>
          <w:color w:val="000000" w:themeColor="text1"/>
        </w:rPr>
        <w:t xml:space="preserve">generated </w:t>
      </w:r>
      <w:r w:rsidR="000963FA">
        <w:rPr>
          <w:color w:val="000000" w:themeColor="text1"/>
        </w:rPr>
        <w:t>51.0</w:t>
      </w:r>
      <w:r w:rsidR="00B672D0" w:rsidRPr="00B11421">
        <w:rPr>
          <w:color w:val="000000" w:themeColor="text1"/>
        </w:rPr>
        <w:t>% of total sales in the four-week period</w:t>
      </w:r>
      <w:r w:rsidR="00B11421" w:rsidRPr="00B11421">
        <w:rPr>
          <w:color w:val="000000" w:themeColor="text1"/>
        </w:rPr>
        <w:t xml:space="preserve"> and performed better than 16-ounce packages</w:t>
      </w:r>
      <w:r w:rsidRPr="00B11421">
        <w:rPr>
          <w:color w:val="000000" w:themeColor="text1"/>
        </w:rPr>
        <w:t>.</w:t>
      </w:r>
    </w:p>
    <w:p w14:paraId="5A086945" w14:textId="323284B1" w:rsidR="00B11421" w:rsidRPr="00B11421" w:rsidRDefault="004462C1" w:rsidP="00F55B8D">
      <w:pPr>
        <w:pStyle w:val="NoSpacing"/>
        <w:numPr>
          <w:ilvl w:val="0"/>
          <w:numId w:val="2"/>
        </w:numPr>
        <w:rPr>
          <w:color w:val="000000" w:themeColor="text1"/>
        </w:rPr>
      </w:pPr>
      <w:r w:rsidRPr="00B11421">
        <w:rPr>
          <w:color w:val="000000" w:themeColor="text1"/>
          <w:u w:val="single"/>
        </w:rPr>
        <w:t>Organic vs</w:t>
      </w:r>
      <w:r w:rsidR="005B6968" w:rsidRPr="00B11421">
        <w:rPr>
          <w:color w:val="000000" w:themeColor="text1"/>
          <w:u w:val="single"/>
        </w:rPr>
        <w:t>.</w:t>
      </w:r>
      <w:r w:rsidRPr="00B11421">
        <w:rPr>
          <w:color w:val="000000" w:themeColor="text1"/>
          <w:u w:val="single"/>
        </w:rPr>
        <w:t xml:space="preserve"> conventional</w:t>
      </w:r>
      <w:r w:rsidRPr="00B11421">
        <w:rPr>
          <w:color w:val="000000" w:themeColor="text1"/>
        </w:rPr>
        <w:t xml:space="preserve">: Organic </w:t>
      </w:r>
      <w:r w:rsidR="005B6968" w:rsidRPr="00B11421">
        <w:rPr>
          <w:color w:val="000000" w:themeColor="text1"/>
        </w:rPr>
        <w:t xml:space="preserve">mushrooms </w:t>
      </w:r>
      <w:r w:rsidRPr="00B11421">
        <w:rPr>
          <w:color w:val="000000" w:themeColor="text1"/>
        </w:rPr>
        <w:t>made up</w:t>
      </w:r>
      <w:r w:rsidR="007946B0">
        <w:rPr>
          <w:color w:val="000000" w:themeColor="text1"/>
        </w:rPr>
        <w:t xml:space="preserve"> </w:t>
      </w:r>
      <w:r w:rsidR="000963FA">
        <w:rPr>
          <w:color w:val="000000" w:themeColor="text1"/>
        </w:rPr>
        <w:t>10.2</w:t>
      </w:r>
      <w:r w:rsidRPr="00B11421">
        <w:rPr>
          <w:color w:val="000000" w:themeColor="text1"/>
        </w:rPr>
        <w:t xml:space="preserve">% of </w:t>
      </w:r>
      <w:r w:rsidR="00BE7EF2" w:rsidRPr="00B11421">
        <w:rPr>
          <w:color w:val="000000" w:themeColor="text1"/>
        </w:rPr>
        <w:t xml:space="preserve">pounds </w:t>
      </w:r>
      <w:r w:rsidR="004C1DB1" w:rsidRPr="00B11421">
        <w:rPr>
          <w:color w:val="000000" w:themeColor="text1"/>
        </w:rPr>
        <w:t xml:space="preserve">and </w:t>
      </w:r>
      <w:r w:rsidR="00B672D0" w:rsidRPr="00B11421">
        <w:rPr>
          <w:color w:val="000000" w:themeColor="text1"/>
        </w:rPr>
        <w:t>have been an above-average perfo</w:t>
      </w:r>
      <w:r w:rsidR="00B42A49" w:rsidRPr="00B11421">
        <w:rPr>
          <w:color w:val="000000" w:themeColor="text1"/>
        </w:rPr>
        <w:t>rmer</w:t>
      </w:r>
      <w:r w:rsidR="0009067E" w:rsidRPr="00B11421">
        <w:rPr>
          <w:color w:val="000000" w:themeColor="text1"/>
        </w:rPr>
        <w:t xml:space="preserve"> for months</w:t>
      </w:r>
      <w:r w:rsidR="00B42A49" w:rsidRPr="00B11421">
        <w:rPr>
          <w:color w:val="000000" w:themeColor="text1"/>
        </w:rPr>
        <w:t xml:space="preserve">. </w:t>
      </w:r>
      <w:r w:rsidR="0009067E" w:rsidRPr="00B11421">
        <w:rPr>
          <w:color w:val="000000" w:themeColor="text1"/>
        </w:rPr>
        <w:t xml:space="preserve">Over the past 52 weeks, </w:t>
      </w:r>
      <w:r w:rsidR="00B11421" w:rsidRPr="00B11421">
        <w:rPr>
          <w:color w:val="000000" w:themeColor="text1"/>
        </w:rPr>
        <w:t>pound</w:t>
      </w:r>
      <w:r w:rsidR="00B42A49" w:rsidRPr="00B11421">
        <w:rPr>
          <w:color w:val="000000" w:themeColor="text1"/>
        </w:rPr>
        <w:t xml:space="preserve"> sales increased </w:t>
      </w:r>
      <w:r w:rsidR="000963FA">
        <w:rPr>
          <w:color w:val="000000" w:themeColor="text1"/>
        </w:rPr>
        <w:t>1.1</w:t>
      </w:r>
      <w:r w:rsidR="00B42A49" w:rsidRPr="00B11421">
        <w:rPr>
          <w:color w:val="000000" w:themeColor="text1"/>
        </w:rPr>
        <w:t xml:space="preserve">% </w:t>
      </w:r>
      <w:r w:rsidR="0009067E" w:rsidRPr="00B11421">
        <w:rPr>
          <w:color w:val="000000" w:themeColor="text1"/>
        </w:rPr>
        <w:t>fo</w:t>
      </w:r>
      <w:r w:rsidR="00916DE2" w:rsidRPr="00B11421">
        <w:rPr>
          <w:color w:val="000000" w:themeColor="text1"/>
        </w:rPr>
        <w:t>r organic mushrooms</w:t>
      </w:r>
      <w:r w:rsidR="0009067E" w:rsidRPr="00B11421">
        <w:rPr>
          <w:color w:val="000000" w:themeColor="text1"/>
        </w:rPr>
        <w:t>.</w:t>
      </w:r>
    </w:p>
    <w:p w14:paraId="5CC8E748" w14:textId="0E0DC61B" w:rsidR="00300A5F" w:rsidRPr="00B11421" w:rsidRDefault="00B11421" w:rsidP="00F55B8D">
      <w:pPr>
        <w:pStyle w:val="NoSpacing"/>
        <w:numPr>
          <w:ilvl w:val="0"/>
          <w:numId w:val="2"/>
        </w:numPr>
        <w:rPr>
          <w:color w:val="000000" w:themeColor="text1"/>
        </w:rPr>
      </w:pPr>
      <w:r w:rsidRPr="00BD7CF0">
        <w:rPr>
          <w:color w:val="000000" w:themeColor="text1"/>
          <w:u w:val="single"/>
        </w:rPr>
        <w:t>Whole vs. sliced/diced</w:t>
      </w:r>
      <w:r>
        <w:rPr>
          <w:color w:val="000000" w:themeColor="text1"/>
        </w:rPr>
        <w:t>: whole mushrooms are outperforming sliced/cut/diced wi</w:t>
      </w:r>
      <w:r w:rsidR="0083255B">
        <w:rPr>
          <w:color w:val="000000" w:themeColor="text1"/>
        </w:rPr>
        <w:t>th</w:t>
      </w:r>
      <w:r w:rsidR="007946B0">
        <w:rPr>
          <w:color w:val="000000" w:themeColor="text1"/>
        </w:rPr>
        <w:t xml:space="preserve"> volume growth of </w:t>
      </w:r>
      <w:r w:rsidR="00AB019A">
        <w:rPr>
          <w:color w:val="000000" w:themeColor="text1"/>
        </w:rPr>
        <w:t>-</w:t>
      </w:r>
      <w:r w:rsidR="003D5B00">
        <w:rPr>
          <w:color w:val="000000" w:themeColor="text1"/>
        </w:rPr>
        <w:t>2.1</w:t>
      </w:r>
      <w:r w:rsidR="007946B0">
        <w:rPr>
          <w:color w:val="000000" w:themeColor="text1"/>
        </w:rPr>
        <w:t>% for no preparation and -</w:t>
      </w:r>
      <w:r w:rsidR="003D5B00">
        <w:rPr>
          <w:color w:val="000000" w:themeColor="text1"/>
        </w:rPr>
        <w:t>8.2</w:t>
      </w:r>
      <w:r>
        <w:rPr>
          <w:color w:val="000000" w:themeColor="text1"/>
        </w:rPr>
        <w:t>% for</w:t>
      </w:r>
      <w:r w:rsidR="007946B0">
        <w:rPr>
          <w:color w:val="000000" w:themeColor="text1"/>
        </w:rPr>
        <w:t xml:space="preserve"> cut/sliced, which reflects </w:t>
      </w:r>
      <w:r w:rsidR="003D5B00">
        <w:rPr>
          <w:color w:val="000000" w:themeColor="text1"/>
        </w:rPr>
        <w:t>45.2</w:t>
      </w:r>
      <w:r>
        <w:rPr>
          <w:color w:val="000000" w:themeColor="text1"/>
        </w:rPr>
        <w:t xml:space="preserve">% of pound sales. </w:t>
      </w:r>
      <w:r w:rsidR="0009067E" w:rsidRPr="00B11421">
        <w:rPr>
          <w:color w:val="000000" w:themeColor="text1"/>
        </w:rPr>
        <w:t xml:space="preserve"> </w:t>
      </w:r>
    </w:p>
    <w:p w14:paraId="780AB35F" w14:textId="77777777" w:rsidR="000E0D6B" w:rsidRPr="00B11421" w:rsidRDefault="000E0D6B" w:rsidP="00C9550B">
      <w:pPr>
        <w:pStyle w:val="NoSpacing"/>
        <w:rPr>
          <w:color w:val="000000" w:themeColor="text1"/>
          <w:sz w:val="14"/>
          <w:szCs w:val="14"/>
        </w:rPr>
      </w:pPr>
    </w:p>
    <w:p w14:paraId="5DBFDF80" w14:textId="76861F83" w:rsidR="00B34EF7" w:rsidRPr="00B34EF7" w:rsidRDefault="00782D09" w:rsidP="00C9550B">
      <w:pPr>
        <w:pStyle w:val="NoSpacing"/>
      </w:pPr>
      <w:r w:rsidRPr="00EB30C7">
        <w:rPr>
          <w:color w:val="7F7F7F" w:themeColor="text1" w:themeTint="80"/>
          <w:sz w:val="16"/>
          <w:szCs w:val="16"/>
        </w:rPr>
        <w:t xml:space="preserve">Source: </w:t>
      </w:r>
      <w:r w:rsidR="004C5B27">
        <w:rPr>
          <w:color w:val="7F7F7F" w:themeColor="text1" w:themeTint="80"/>
          <w:sz w:val="16"/>
          <w:szCs w:val="16"/>
        </w:rPr>
        <w:t>Circana</w:t>
      </w:r>
      <w:r w:rsidRPr="00EB30C7">
        <w:rPr>
          <w:color w:val="7F7F7F" w:themeColor="text1" w:themeTint="80"/>
          <w:sz w:val="16"/>
          <w:szCs w:val="16"/>
        </w:rPr>
        <w:t xml:space="preserve">, Integrated Fresh, MULO, </w:t>
      </w:r>
      <w:r w:rsidR="004B7951" w:rsidRPr="00EB30C7">
        <w:rPr>
          <w:color w:val="7F7F7F" w:themeColor="text1" w:themeTint="80"/>
          <w:sz w:val="16"/>
          <w:szCs w:val="16"/>
        </w:rPr>
        <w:t>4</w:t>
      </w:r>
      <w:r w:rsidR="0009067E">
        <w:rPr>
          <w:color w:val="7F7F7F" w:themeColor="text1" w:themeTint="80"/>
          <w:sz w:val="16"/>
          <w:szCs w:val="16"/>
        </w:rPr>
        <w:t xml:space="preserve"> or 52</w:t>
      </w:r>
      <w:r w:rsidRPr="00EB30C7">
        <w:rPr>
          <w:color w:val="7F7F7F" w:themeColor="text1" w:themeTint="80"/>
          <w:sz w:val="16"/>
          <w:szCs w:val="16"/>
        </w:rPr>
        <w:t xml:space="preserve"> weeks ending </w:t>
      </w:r>
      <w:r w:rsidR="00AB019A">
        <w:rPr>
          <w:color w:val="7F7F7F" w:themeColor="text1" w:themeTint="80"/>
          <w:sz w:val="16"/>
          <w:szCs w:val="16"/>
        </w:rPr>
        <w:t>12/3</w:t>
      </w:r>
      <w:r w:rsidR="00EB090C">
        <w:rPr>
          <w:color w:val="7F7F7F" w:themeColor="text1" w:themeTint="80"/>
          <w:sz w:val="16"/>
          <w:szCs w:val="16"/>
        </w:rPr>
        <w:t>/2023</w:t>
      </w:r>
      <w:r w:rsidR="00B34EF7">
        <w:t xml:space="preserve"> </w:t>
      </w:r>
    </w:p>
    <w:sectPr w:rsidR="00B34EF7" w:rsidRPr="00B34EF7" w:rsidSect="005049A9">
      <w:pgSz w:w="12240" w:h="15840"/>
      <w:pgMar w:top="720" w:right="108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699F" w14:textId="77777777" w:rsidR="00F04FAB" w:rsidRDefault="00F04FAB" w:rsidP="004E49DD">
      <w:pPr>
        <w:spacing w:after="0" w:line="240" w:lineRule="auto"/>
      </w:pPr>
      <w:r>
        <w:separator/>
      </w:r>
    </w:p>
  </w:endnote>
  <w:endnote w:type="continuationSeparator" w:id="0">
    <w:p w14:paraId="5C75B869" w14:textId="77777777" w:rsidR="00F04FAB" w:rsidRDefault="00F04FAB" w:rsidP="004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153A" w14:textId="77777777" w:rsidR="00F04FAB" w:rsidRDefault="00F04FAB" w:rsidP="004E49DD">
      <w:pPr>
        <w:spacing w:after="0" w:line="240" w:lineRule="auto"/>
      </w:pPr>
      <w:r>
        <w:separator/>
      </w:r>
    </w:p>
  </w:footnote>
  <w:footnote w:type="continuationSeparator" w:id="0">
    <w:p w14:paraId="04237D76" w14:textId="77777777" w:rsidR="00F04FAB" w:rsidRDefault="00F04FAB" w:rsidP="004E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7DB0"/>
    <w:multiLevelType w:val="hybridMultilevel"/>
    <w:tmpl w:val="4F1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32060"/>
    <w:multiLevelType w:val="hybridMultilevel"/>
    <w:tmpl w:val="727C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92F24"/>
    <w:multiLevelType w:val="hybridMultilevel"/>
    <w:tmpl w:val="B5BC8C1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DD128A"/>
    <w:multiLevelType w:val="hybridMultilevel"/>
    <w:tmpl w:val="E18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9816002">
    <w:abstractNumId w:val="8"/>
  </w:num>
  <w:num w:numId="2" w16cid:durableId="1088304980">
    <w:abstractNumId w:val="10"/>
  </w:num>
  <w:num w:numId="3" w16cid:durableId="970551411">
    <w:abstractNumId w:val="12"/>
  </w:num>
  <w:num w:numId="4" w16cid:durableId="870923288">
    <w:abstractNumId w:val="4"/>
  </w:num>
  <w:num w:numId="5" w16cid:durableId="528955291">
    <w:abstractNumId w:val="15"/>
  </w:num>
  <w:num w:numId="6" w16cid:durableId="1944726953">
    <w:abstractNumId w:val="11"/>
  </w:num>
  <w:num w:numId="7" w16cid:durableId="2036685498">
    <w:abstractNumId w:val="6"/>
  </w:num>
  <w:num w:numId="8" w16cid:durableId="537550370">
    <w:abstractNumId w:val="3"/>
  </w:num>
  <w:num w:numId="9" w16cid:durableId="491027471">
    <w:abstractNumId w:val="1"/>
  </w:num>
  <w:num w:numId="10" w16cid:durableId="2002199001">
    <w:abstractNumId w:val="14"/>
  </w:num>
  <w:num w:numId="11" w16cid:durableId="345443997">
    <w:abstractNumId w:val="2"/>
  </w:num>
  <w:num w:numId="12" w16cid:durableId="1629697969">
    <w:abstractNumId w:val="13"/>
  </w:num>
  <w:num w:numId="13" w16cid:durableId="1194222258">
    <w:abstractNumId w:val="5"/>
  </w:num>
  <w:num w:numId="14" w16cid:durableId="1069302880">
    <w:abstractNumId w:val="7"/>
  </w:num>
  <w:num w:numId="15" w16cid:durableId="786313584">
    <w:abstractNumId w:val="17"/>
  </w:num>
  <w:num w:numId="16" w16cid:durableId="1605309832">
    <w:abstractNumId w:val="0"/>
  </w:num>
  <w:num w:numId="17" w16cid:durableId="2119762299">
    <w:abstractNumId w:val="9"/>
  </w:num>
  <w:num w:numId="18" w16cid:durableId="565593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02FF4"/>
    <w:rsid w:val="00014870"/>
    <w:rsid w:val="00015E7B"/>
    <w:rsid w:val="00026928"/>
    <w:rsid w:val="00030ABF"/>
    <w:rsid w:val="00035D16"/>
    <w:rsid w:val="00040942"/>
    <w:rsid w:val="0004266D"/>
    <w:rsid w:val="00047054"/>
    <w:rsid w:val="00052654"/>
    <w:rsid w:val="0005390A"/>
    <w:rsid w:val="00057984"/>
    <w:rsid w:val="00070F7C"/>
    <w:rsid w:val="0007328F"/>
    <w:rsid w:val="00074705"/>
    <w:rsid w:val="0007660D"/>
    <w:rsid w:val="000809C3"/>
    <w:rsid w:val="00085508"/>
    <w:rsid w:val="00085F10"/>
    <w:rsid w:val="00090109"/>
    <w:rsid w:val="0009067E"/>
    <w:rsid w:val="000963FA"/>
    <w:rsid w:val="000A4146"/>
    <w:rsid w:val="000C1DF9"/>
    <w:rsid w:val="000C29FA"/>
    <w:rsid w:val="000C3CC4"/>
    <w:rsid w:val="000D5A69"/>
    <w:rsid w:val="000D7A79"/>
    <w:rsid w:val="000E0D6B"/>
    <w:rsid w:val="000E2A1D"/>
    <w:rsid w:val="000E537C"/>
    <w:rsid w:val="000E61FF"/>
    <w:rsid w:val="001026FB"/>
    <w:rsid w:val="001055A7"/>
    <w:rsid w:val="001119BD"/>
    <w:rsid w:val="00113A33"/>
    <w:rsid w:val="0011683C"/>
    <w:rsid w:val="00117FE8"/>
    <w:rsid w:val="00124C8B"/>
    <w:rsid w:val="00124CB7"/>
    <w:rsid w:val="00133971"/>
    <w:rsid w:val="00137C12"/>
    <w:rsid w:val="00142A42"/>
    <w:rsid w:val="00145E27"/>
    <w:rsid w:val="00164656"/>
    <w:rsid w:val="00170260"/>
    <w:rsid w:val="00184281"/>
    <w:rsid w:val="001A4D44"/>
    <w:rsid w:val="001A601E"/>
    <w:rsid w:val="001B1351"/>
    <w:rsid w:val="001B18A2"/>
    <w:rsid w:val="001B762B"/>
    <w:rsid w:val="001D16CA"/>
    <w:rsid w:val="001D2675"/>
    <w:rsid w:val="001D4C76"/>
    <w:rsid w:val="00200AD1"/>
    <w:rsid w:val="00221F2D"/>
    <w:rsid w:val="00222054"/>
    <w:rsid w:val="002225C6"/>
    <w:rsid w:val="00224A21"/>
    <w:rsid w:val="002253FE"/>
    <w:rsid w:val="0022580E"/>
    <w:rsid w:val="00232F2D"/>
    <w:rsid w:val="00240137"/>
    <w:rsid w:val="002437CE"/>
    <w:rsid w:val="00251BBC"/>
    <w:rsid w:val="00264BA7"/>
    <w:rsid w:val="00264EDA"/>
    <w:rsid w:val="002712E8"/>
    <w:rsid w:val="00273580"/>
    <w:rsid w:val="00276C09"/>
    <w:rsid w:val="00277D7C"/>
    <w:rsid w:val="00281498"/>
    <w:rsid w:val="00283DB2"/>
    <w:rsid w:val="00284A86"/>
    <w:rsid w:val="00291F75"/>
    <w:rsid w:val="00292678"/>
    <w:rsid w:val="002B3879"/>
    <w:rsid w:val="002B7DCE"/>
    <w:rsid w:val="002B7E48"/>
    <w:rsid w:val="002E2CD2"/>
    <w:rsid w:val="002F23A1"/>
    <w:rsid w:val="002F442E"/>
    <w:rsid w:val="00300A5F"/>
    <w:rsid w:val="003045B7"/>
    <w:rsid w:val="003070A2"/>
    <w:rsid w:val="0031233D"/>
    <w:rsid w:val="00312734"/>
    <w:rsid w:val="00314DA1"/>
    <w:rsid w:val="00322039"/>
    <w:rsid w:val="003223C7"/>
    <w:rsid w:val="00323F77"/>
    <w:rsid w:val="003263AC"/>
    <w:rsid w:val="00337F18"/>
    <w:rsid w:val="00347118"/>
    <w:rsid w:val="00347E3A"/>
    <w:rsid w:val="003534A1"/>
    <w:rsid w:val="003621B3"/>
    <w:rsid w:val="00362BB1"/>
    <w:rsid w:val="003648C5"/>
    <w:rsid w:val="00375863"/>
    <w:rsid w:val="00395541"/>
    <w:rsid w:val="00396448"/>
    <w:rsid w:val="003A3323"/>
    <w:rsid w:val="003A5AFE"/>
    <w:rsid w:val="003A6A4B"/>
    <w:rsid w:val="003C014B"/>
    <w:rsid w:val="003C1DD2"/>
    <w:rsid w:val="003C4CCE"/>
    <w:rsid w:val="003C72DD"/>
    <w:rsid w:val="003D184D"/>
    <w:rsid w:val="003D3BDA"/>
    <w:rsid w:val="003D5B00"/>
    <w:rsid w:val="003D6A0F"/>
    <w:rsid w:val="003E466E"/>
    <w:rsid w:val="003E61D0"/>
    <w:rsid w:val="003E75D3"/>
    <w:rsid w:val="003F77CF"/>
    <w:rsid w:val="00403666"/>
    <w:rsid w:val="00406762"/>
    <w:rsid w:val="00417945"/>
    <w:rsid w:val="00421D7D"/>
    <w:rsid w:val="00423CCF"/>
    <w:rsid w:val="00445779"/>
    <w:rsid w:val="004462C1"/>
    <w:rsid w:val="00451263"/>
    <w:rsid w:val="00455F77"/>
    <w:rsid w:val="0045625B"/>
    <w:rsid w:val="0045784D"/>
    <w:rsid w:val="00461D8C"/>
    <w:rsid w:val="00467FB5"/>
    <w:rsid w:val="00471DC7"/>
    <w:rsid w:val="00472B02"/>
    <w:rsid w:val="0047570E"/>
    <w:rsid w:val="00476A3C"/>
    <w:rsid w:val="00476C12"/>
    <w:rsid w:val="00483711"/>
    <w:rsid w:val="00485429"/>
    <w:rsid w:val="00487F75"/>
    <w:rsid w:val="004A3A95"/>
    <w:rsid w:val="004A50D2"/>
    <w:rsid w:val="004B6371"/>
    <w:rsid w:val="004B7951"/>
    <w:rsid w:val="004C088A"/>
    <w:rsid w:val="004C1DB1"/>
    <w:rsid w:val="004C2808"/>
    <w:rsid w:val="004C5B27"/>
    <w:rsid w:val="004C625A"/>
    <w:rsid w:val="004E1EE4"/>
    <w:rsid w:val="004E49DD"/>
    <w:rsid w:val="004E4F69"/>
    <w:rsid w:val="004E6889"/>
    <w:rsid w:val="004F4C4D"/>
    <w:rsid w:val="004F7487"/>
    <w:rsid w:val="00504377"/>
    <w:rsid w:val="00504861"/>
    <w:rsid w:val="005049A9"/>
    <w:rsid w:val="00511CD0"/>
    <w:rsid w:val="00525F06"/>
    <w:rsid w:val="00526E95"/>
    <w:rsid w:val="00527BE9"/>
    <w:rsid w:val="00535D22"/>
    <w:rsid w:val="0054182D"/>
    <w:rsid w:val="00541AFF"/>
    <w:rsid w:val="00543607"/>
    <w:rsid w:val="0055095F"/>
    <w:rsid w:val="00552C5D"/>
    <w:rsid w:val="005547EE"/>
    <w:rsid w:val="00555250"/>
    <w:rsid w:val="005571F3"/>
    <w:rsid w:val="00562346"/>
    <w:rsid w:val="0056284A"/>
    <w:rsid w:val="0059588E"/>
    <w:rsid w:val="005A3316"/>
    <w:rsid w:val="005A54F2"/>
    <w:rsid w:val="005B1FEE"/>
    <w:rsid w:val="005B6968"/>
    <w:rsid w:val="005C6AEE"/>
    <w:rsid w:val="005C75C7"/>
    <w:rsid w:val="005E1A66"/>
    <w:rsid w:val="005E212C"/>
    <w:rsid w:val="005E5127"/>
    <w:rsid w:val="005F1173"/>
    <w:rsid w:val="006035CB"/>
    <w:rsid w:val="00606FA3"/>
    <w:rsid w:val="00615709"/>
    <w:rsid w:val="00617504"/>
    <w:rsid w:val="00620ED9"/>
    <w:rsid w:val="00621E2A"/>
    <w:rsid w:val="00630F34"/>
    <w:rsid w:val="00632993"/>
    <w:rsid w:val="00645A58"/>
    <w:rsid w:val="006617FB"/>
    <w:rsid w:val="006636C7"/>
    <w:rsid w:val="00666D40"/>
    <w:rsid w:val="006673B8"/>
    <w:rsid w:val="0066746E"/>
    <w:rsid w:val="00677889"/>
    <w:rsid w:val="00684918"/>
    <w:rsid w:val="00694050"/>
    <w:rsid w:val="00697E4D"/>
    <w:rsid w:val="006A1766"/>
    <w:rsid w:val="006A7A6E"/>
    <w:rsid w:val="006C6780"/>
    <w:rsid w:val="006E50F3"/>
    <w:rsid w:val="006F1F55"/>
    <w:rsid w:val="006F64AE"/>
    <w:rsid w:val="006F765A"/>
    <w:rsid w:val="00706FA9"/>
    <w:rsid w:val="007070AC"/>
    <w:rsid w:val="0071051A"/>
    <w:rsid w:val="007106F4"/>
    <w:rsid w:val="00730897"/>
    <w:rsid w:val="00731BCD"/>
    <w:rsid w:val="00734289"/>
    <w:rsid w:val="007501A6"/>
    <w:rsid w:val="00752CD4"/>
    <w:rsid w:val="007764C7"/>
    <w:rsid w:val="00782D09"/>
    <w:rsid w:val="00785D0D"/>
    <w:rsid w:val="00787BBD"/>
    <w:rsid w:val="007946B0"/>
    <w:rsid w:val="00795483"/>
    <w:rsid w:val="007A01C9"/>
    <w:rsid w:val="007A0B40"/>
    <w:rsid w:val="007A67D7"/>
    <w:rsid w:val="007B4A25"/>
    <w:rsid w:val="007C6DB2"/>
    <w:rsid w:val="007D30DA"/>
    <w:rsid w:val="007D3393"/>
    <w:rsid w:val="007D33D8"/>
    <w:rsid w:val="007D3D1C"/>
    <w:rsid w:val="007F098A"/>
    <w:rsid w:val="007F1F55"/>
    <w:rsid w:val="007F35D3"/>
    <w:rsid w:val="007F7149"/>
    <w:rsid w:val="007F7823"/>
    <w:rsid w:val="00802E32"/>
    <w:rsid w:val="00826014"/>
    <w:rsid w:val="0083255B"/>
    <w:rsid w:val="00832F0A"/>
    <w:rsid w:val="00837283"/>
    <w:rsid w:val="00851AC9"/>
    <w:rsid w:val="0086198D"/>
    <w:rsid w:val="0086536E"/>
    <w:rsid w:val="00866A7D"/>
    <w:rsid w:val="00873884"/>
    <w:rsid w:val="008815E3"/>
    <w:rsid w:val="008857EE"/>
    <w:rsid w:val="008A084A"/>
    <w:rsid w:val="008A1DBB"/>
    <w:rsid w:val="008A56E2"/>
    <w:rsid w:val="008B128D"/>
    <w:rsid w:val="008B46B0"/>
    <w:rsid w:val="008B633D"/>
    <w:rsid w:val="008B6971"/>
    <w:rsid w:val="008B7FFD"/>
    <w:rsid w:val="008C7975"/>
    <w:rsid w:val="008D2A88"/>
    <w:rsid w:val="008D3EBE"/>
    <w:rsid w:val="008E48B1"/>
    <w:rsid w:val="008F2AA0"/>
    <w:rsid w:val="008F5801"/>
    <w:rsid w:val="009040DB"/>
    <w:rsid w:val="0090410F"/>
    <w:rsid w:val="00904C5C"/>
    <w:rsid w:val="00910CD7"/>
    <w:rsid w:val="00911960"/>
    <w:rsid w:val="009169B9"/>
    <w:rsid w:val="00916DE2"/>
    <w:rsid w:val="0092088E"/>
    <w:rsid w:val="00920FBD"/>
    <w:rsid w:val="009232D4"/>
    <w:rsid w:val="00926E8A"/>
    <w:rsid w:val="00927EAC"/>
    <w:rsid w:val="009362D0"/>
    <w:rsid w:val="0094103D"/>
    <w:rsid w:val="00941C01"/>
    <w:rsid w:val="0094219B"/>
    <w:rsid w:val="00943FF6"/>
    <w:rsid w:val="009442FF"/>
    <w:rsid w:val="00956FE2"/>
    <w:rsid w:val="00957F25"/>
    <w:rsid w:val="00972570"/>
    <w:rsid w:val="00975AF5"/>
    <w:rsid w:val="00977F7F"/>
    <w:rsid w:val="00986D1F"/>
    <w:rsid w:val="009B0330"/>
    <w:rsid w:val="009B3A61"/>
    <w:rsid w:val="009B71AE"/>
    <w:rsid w:val="009B7AC3"/>
    <w:rsid w:val="009D5574"/>
    <w:rsid w:val="009D6711"/>
    <w:rsid w:val="009F6363"/>
    <w:rsid w:val="00A00697"/>
    <w:rsid w:val="00A050F9"/>
    <w:rsid w:val="00A13601"/>
    <w:rsid w:val="00A142BB"/>
    <w:rsid w:val="00A14586"/>
    <w:rsid w:val="00A14C2B"/>
    <w:rsid w:val="00A30FD1"/>
    <w:rsid w:val="00A337DE"/>
    <w:rsid w:val="00A41711"/>
    <w:rsid w:val="00A43A45"/>
    <w:rsid w:val="00A45D51"/>
    <w:rsid w:val="00A50806"/>
    <w:rsid w:val="00A5084B"/>
    <w:rsid w:val="00A51F5B"/>
    <w:rsid w:val="00A52411"/>
    <w:rsid w:val="00A52B14"/>
    <w:rsid w:val="00A52EB4"/>
    <w:rsid w:val="00A53BAA"/>
    <w:rsid w:val="00A542DA"/>
    <w:rsid w:val="00A657C4"/>
    <w:rsid w:val="00A668C3"/>
    <w:rsid w:val="00A70428"/>
    <w:rsid w:val="00A72B72"/>
    <w:rsid w:val="00A94A88"/>
    <w:rsid w:val="00A95B14"/>
    <w:rsid w:val="00A96E20"/>
    <w:rsid w:val="00AA721E"/>
    <w:rsid w:val="00AB019A"/>
    <w:rsid w:val="00AB06EA"/>
    <w:rsid w:val="00AC2BFD"/>
    <w:rsid w:val="00AC2C09"/>
    <w:rsid w:val="00AC5D3F"/>
    <w:rsid w:val="00AD30B8"/>
    <w:rsid w:val="00AD7044"/>
    <w:rsid w:val="00AE0F54"/>
    <w:rsid w:val="00AE32A2"/>
    <w:rsid w:val="00AE7908"/>
    <w:rsid w:val="00AF14BD"/>
    <w:rsid w:val="00AF55E3"/>
    <w:rsid w:val="00AF5F52"/>
    <w:rsid w:val="00B01FA0"/>
    <w:rsid w:val="00B03343"/>
    <w:rsid w:val="00B0627A"/>
    <w:rsid w:val="00B11421"/>
    <w:rsid w:val="00B135D9"/>
    <w:rsid w:val="00B13706"/>
    <w:rsid w:val="00B1715B"/>
    <w:rsid w:val="00B24BBD"/>
    <w:rsid w:val="00B25DFD"/>
    <w:rsid w:val="00B33A73"/>
    <w:rsid w:val="00B34EF7"/>
    <w:rsid w:val="00B362B8"/>
    <w:rsid w:val="00B40C43"/>
    <w:rsid w:val="00B42A49"/>
    <w:rsid w:val="00B42A84"/>
    <w:rsid w:val="00B542D1"/>
    <w:rsid w:val="00B562D5"/>
    <w:rsid w:val="00B66E92"/>
    <w:rsid w:val="00B672D0"/>
    <w:rsid w:val="00B8232B"/>
    <w:rsid w:val="00B9392A"/>
    <w:rsid w:val="00B96FC1"/>
    <w:rsid w:val="00B979CF"/>
    <w:rsid w:val="00BB03F4"/>
    <w:rsid w:val="00BB197D"/>
    <w:rsid w:val="00BC1A46"/>
    <w:rsid w:val="00BC34B2"/>
    <w:rsid w:val="00BD7CF0"/>
    <w:rsid w:val="00BE7EF2"/>
    <w:rsid w:val="00BF2F6B"/>
    <w:rsid w:val="00BF3DAE"/>
    <w:rsid w:val="00BF5D9C"/>
    <w:rsid w:val="00BF713B"/>
    <w:rsid w:val="00C00809"/>
    <w:rsid w:val="00C00CFD"/>
    <w:rsid w:val="00C0288B"/>
    <w:rsid w:val="00C12877"/>
    <w:rsid w:val="00C12E18"/>
    <w:rsid w:val="00C329D7"/>
    <w:rsid w:val="00C3770B"/>
    <w:rsid w:val="00C422D1"/>
    <w:rsid w:val="00C469D3"/>
    <w:rsid w:val="00C61921"/>
    <w:rsid w:val="00C65479"/>
    <w:rsid w:val="00C71FDD"/>
    <w:rsid w:val="00C72284"/>
    <w:rsid w:val="00C81CBF"/>
    <w:rsid w:val="00C8545B"/>
    <w:rsid w:val="00C92074"/>
    <w:rsid w:val="00C954F2"/>
    <w:rsid w:val="00C9550B"/>
    <w:rsid w:val="00CB0BBD"/>
    <w:rsid w:val="00CB4067"/>
    <w:rsid w:val="00CB592A"/>
    <w:rsid w:val="00CB6109"/>
    <w:rsid w:val="00CE27CF"/>
    <w:rsid w:val="00CE4BEB"/>
    <w:rsid w:val="00CE621C"/>
    <w:rsid w:val="00D03B05"/>
    <w:rsid w:val="00D1241B"/>
    <w:rsid w:val="00D131C5"/>
    <w:rsid w:val="00D14991"/>
    <w:rsid w:val="00D2073F"/>
    <w:rsid w:val="00D22E21"/>
    <w:rsid w:val="00D26DE8"/>
    <w:rsid w:val="00D305A5"/>
    <w:rsid w:val="00D31C81"/>
    <w:rsid w:val="00D44344"/>
    <w:rsid w:val="00D4752E"/>
    <w:rsid w:val="00D55AB1"/>
    <w:rsid w:val="00D66EF8"/>
    <w:rsid w:val="00D81FBA"/>
    <w:rsid w:val="00D8225F"/>
    <w:rsid w:val="00D8798E"/>
    <w:rsid w:val="00D9097A"/>
    <w:rsid w:val="00D96AEE"/>
    <w:rsid w:val="00D97BC7"/>
    <w:rsid w:val="00DA553C"/>
    <w:rsid w:val="00DB764D"/>
    <w:rsid w:val="00DD58ED"/>
    <w:rsid w:val="00DD59DA"/>
    <w:rsid w:val="00DE4C4C"/>
    <w:rsid w:val="00DE66CE"/>
    <w:rsid w:val="00E20285"/>
    <w:rsid w:val="00E20E22"/>
    <w:rsid w:val="00E22317"/>
    <w:rsid w:val="00E229C8"/>
    <w:rsid w:val="00E23359"/>
    <w:rsid w:val="00E26986"/>
    <w:rsid w:val="00E26AD1"/>
    <w:rsid w:val="00E34CF4"/>
    <w:rsid w:val="00E37DF5"/>
    <w:rsid w:val="00E4438B"/>
    <w:rsid w:val="00E477C3"/>
    <w:rsid w:val="00E508BB"/>
    <w:rsid w:val="00E54683"/>
    <w:rsid w:val="00E57C49"/>
    <w:rsid w:val="00E629E0"/>
    <w:rsid w:val="00E65269"/>
    <w:rsid w:val="00E65A4C"/>
    <w:rsid w:val="00E758A0"/>
    <w:rsid w:val="00E81634"/>
    <w:rsid w:val="00E85C62"/>
    <w:rsid w:val="00EA0CB5"/>
    <w:rsid w:val="00EB090C"/>
    <w:rsid w:val="00EB30C7"/>
    <w:rsid w:val="00ED0859"/>
    <w:rsid w:val="00ED2B2E"/>
    <w:rsid w:val="00EE6AB6"/>
    <w:rsid w:val="00EF1E09"/>
    <w:rsid w:val="00EF20EE"/>
    <w:rsid w:val="00EF25E4"/>
    <w:rsid w:val="00F02776"/>
    <w:rsid w:val="00F04FAB"/>
    <w:rsid w:val="00F0742E"/>
    <w:rsid w:val="00F16E5F"/>
    <w:rsid w:val="00F20BAF"/>
    <w:rsid w:val="00F24969"/>
    <w:rsid w:val="00F26DD2"/>
    <w:rsid w:val="00F273C5"/>
    <w:rsid w:val="00F40BC0"/>
    <w:rsid w:val="00F4460A"/>
    <w:rsid w:val="00F47EA1"/>
    <w:rsid w:val="00F55228"/>
    <w:rsid w:val="00F57DFC"/>
    <w:rsid w:val="00F65EBE"/>
    <w:rsid w:val="00F71485"/>
    <w:rsid w:val="00F800A5"/>
    <w:rsid w:val="00F86B08"/>
    <w:rsid w:val="00F93404"/>
    <w:rsid w:val="00F96C98"/>
    <w:rsid w:val="00FA1CDF"/>
    <w:rsid w:val="00FB15C0"/>
    <w:rsid w:val="00FC01AA"/>
    <w:rsid w:val="00FC364A"/>
    <w:rsid w:val="00FC53C7"/>
    <w:rsid w:val="00FE6030"/>
    <w:rsid w:val="00FF2D4A"/>
    <w:rsid w:val="00FF42F9"/>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2F549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table" w:styleId="GridTable4-Accent2">
    <w:name w:val="Grid Table 4 Accent 2"/>
    <w:basedOn w:val="TableNormal"/>
    <w:uiPriority w:val="49"/>
    <w:rsid w:val="00EE6A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4E4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9DD"/>
  </w:style>
  <w:style w:type="paragraph" w:styleId="Footer">
    <w:name w:val="footer"/>
    <w:basedOn w:val="Normal"/>
    <w:link w:val="FooterChar"/>
    <w:uiPriority w:val="99"/>
    <w:unhideWhenUsed/>
    <w:rsid w:val="004E4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9DD"/>
  </w:style>
  <w:style w:type="table" w:styleId="ListTable6Colorful-Accent2">
    <w:name w:val="List Table 6 Colorful Accent 2"/>
    <w:basedOn w:val="TableNormal"/>
    <w:uiPriority w:val="51"/>
    <w:rsid w:val="0018428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7764C7"/>
    <w:pPr>
      <w:ind w:left="720"/>
      <w:contextualSpacing/>
    </w:pPr>
  </w:style>
  <w:style w:type="character" w:customStyle="1" w:styleId="Heading1Char">
    <w:name w:val="Heading 1 Char"/>
    <w:basedOn w:val="DefaultParagraphFont"/>
    <w:link w:val="Heading1"/>
    <w:uiPriority w:val="9"/>
    <w:rsid w:val="00620ED9"/>
    <w:rPr>
      <w:rFonts w:asciiTheme="majorHAnsi" w:eastAsiaTheme="majorEastAsia" w:hAnsiTheme="majorHAnsi" w:cstheme="majorBidi"/>
      <w:color w:val="2F5496" w:themeColor="accent1" w:themeShade="BF"/>
      <w:sz w:val="32"/>
      <w:szCs w:val="32"/>
    </w:rPr>
  </w:style>
  <w:style w:type="table" w:styleId="ListTable1Light-Accent4">
    <w:name w:val="List Table 1 Light Accent 4"/>
    <w:basedOn w:val="TableNormal"/>
    <w:uiPriority w:val="46"/>
    <w:rsid w:val="005B1FE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222054"/>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200">
      <w:bodyDiv w:val="1"/>
      <w:marLeft w:val="0"/>
      <w:marRight w:val="0"/>
      <w:marTop w:val="0"/>
      <w:marBottom w:val="0"/>
      <w:divBdr>
        <w:top w:val="none" w:sz="0" w:space="0" w:color="auto"/>
        <w:left w:val="none" w:sz="0" w:space="0" w:color="auto"/>
        <w:bottom w:val="none" w:sz="0" w:space="0" w:color="auto"/>
        <w:right w:val="none" w:sz="0" w:space="0" w:color="auto"/>
      </w:divBdr>
    </w:div>
    <w:div w:id="403064241">
      <w:bodyDiv w:val="1"/>
      <w:marLeft w:val="0"/>
      <w:marRight w:val="0"/>
      <w:marTop w:val="0"/>
      <w:marBottom w:val="0"/>
      <w:divBdr>
        <w:top w:val="none" w:sz="0" w:space="0" w:color="auto"/>
        <w:left w:val="none" w:sz="0" w:space="0" w:color="auto"/>
        <w:bottom w:val="none" w:sz="0" w:space="0" w:color="auto"/>
        <w:right w:val="none" w:sz="0" w:space="0" w:color="auto"/>
      </w:divBdr>
    </w:div>
    <w:div w:id="950360584">
      <w:bodyDiv w:val="1"/>
      <w:marLeft w:val="0"/>
      <w:marRight w:val="0"/>
      <w:marTop w:val="0"/>
      <w:marBottom w:val="0"/>
      <w:divBdr>
        <w:top w:val="none" w:sz="0" w:space="0" w:color="auto"/>
        <w:left w:val="none" w:sz="0" w:space="0" w:color="auto"/>
        <w:bottom w:val="none" w:sz="0" w:space="0" w:color="auto"/>
        <w:right w:val="none" w:sz="0" w:space="0" w:color="auto"/>
      </w:divBdr>
    </w:div>
    <w:div w:id="1010793519">
      <w:bodyDiv w:val="1"/>
      <w:marLeft w:val="0"/>
      <w:marRight w:val="0"/>
      <w:marTop w:val="0"/>
      <w:marBottom w:val="0"/>
      <w:divBdr>
        <w:top w:val="none" w:sz="0" w:space="0" w:color="auto"/>
        <w:left w:val="none" w:sz="0" w:space="0" w:color="auto"/>
        <w:bottom w:val="none" w:sz="0" w:space="0" w:color="auto"/>
        <w:right w:val="none" w:sz="0" w:space="0" w:color="auto"/>
      </w:divBdr>
    </w:div>
    <w:div w:id="1057389510">
      <w:bodyDiv w:val="1"/>
      <w:marLeft w:val="0"/>
      <w:marRight w:val="0"/>
      <w:marTop w:val="0"/>
      <w:marBottom w:val="0"/>
      <w:divBdr>
        <w:top w:val="none" w:sz="0" w:space="0" w:color="auto"/>
        <w:left w:val="none" w:sz="0" w:space="0" w:color="auto"/>
        <w:bottom w:val="none" w:sz="0" w:space="0" w:color="auto"/>
        <w:right w:val="none" w:sz="0" w:space="0" w:color="auto"/>
      </w:divBdr>
    </w:div>
    <w:div w:id="1223562806">
      <w:bodyDiv w:val="1"/>
      <w:marLeft w:val="0"/>
      <w:marRight w:val="0"/>
      <w:marTop w:val="0"/>
      <w:marBottom w:val="0"/>
      <w:divBdr>
        <w:top w:val="none" w:sz="0" w:space="0" w:color="auto"/>
        <w:left w:val="none" w:sz="0" w:space="0" w:color="auto"/>
        <w:bottom w:val="none" w:sz="0" w:space="0" w:color="auto"/>
        <w:right w:val="none" w:sz="0" w:space="0" w:color="auto"/>
      </w:divBdr>
    </w:div>
    <w:div w:id="1814636949">
      <w:bodyDiv w:val="1"/>
      <w:marLeft w:val="0"/>
      <w:marRight w:val="0"/>
      <w:marTop w:val="0"/>
      <w:marBottom w:val="0"/>
      <w:divBdr>
        <w:top w:val="none" w:sz="0" w:space="0" w:color="auto"/>
        <w:left w:val="none" w:sz="0" w:space="0" w:color="auto"/>
        <w:bottom w:val="none" w:sz="0" w:space="0" w:color="auto"/>
        <w:right w:val="none" w:sz="0" w:space="0" w:color="auto"/>
      </w:divBdr>
    </w:div>
    <w:div w:id="1821997458">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 w:id="2057971952">
      <w:bodyDiv w:val="1"/>
      <w:marLeft w:val="0"/>
      <w:marRight w:val="0"/>
      <w:marTop w:val="0"/>
      <w:marBottom w:val="0"/>
      <w:divBdr>
        <w:top w:val="none" w:sz="0" w:space="0" w:color="auto"/>
        <w:left w:val="none" w:sz="0" w:space="0" w:color="auto"/>
        <w:bottom w:val="none" w:sz="0" w:space="0" w:color="auto"/>
        <w:right w:val="none" w:sz="0" w:space="0" w:color="auto"/>
      </w:divBdr>
    </w:div>
    <w:div w:id="20896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3.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833</Words>
  <Characters>4749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25</cp:revision>
  <dcterms:created xsi:type="dcterms:W3CDTF">2023-11-17T10:48:00Z</dcterms:created>
  <dcterms:modified xsi:type="dcterms:W3CDTF">2023-12-17T13:23:00Z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