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4FF3B01F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7946B0">
        <w:rPr>
          <w:sz w:val="44"/>
          <w:szCs w:val="44"/>
        </w:rPr>
        <w:t>11.5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5B083E85" w14:textId="6DF7E497" w:rsidR="00F86B08" w:rsidRDefault="00F86B08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The Marketplace</w:t>
      </w:r>
    </w:p>
    <w:p w14:paraId="574663E4" w14:textId="69305AF9" w:rsidR="005B1FEE" w:rsidRDefault="005B1FEE" w:rsidP="005B1FEE">
      <w:pPr>
        <w:pStyle w:val="NoSpacing"/>
        <w:rPr>
          <w:rFonts w:ascii="Arial" w:hAnsi="Arial" w:cs="Arial"/>
          <w:sz w:val="20"/>
          <w:szCs w:val="20"/>
        </w:rPr>
      </w:pPr>
      <w:r w:rsidRPr="00CE28BB">
        <w:rPr>
          <w:rFonts w:ascii="Arial" w:hAnsi="Arial" w:cs="Arial"/>
          <w:sz w:val="20"/>
          <w:szCs w:val="20"/>
        </w:rPr>
        <w:t>The University of Michigan Consumer Confidence Index fell 7% in October</w:t>
      </w:r>
      <w:r>
        <w:rPr>
          <w:rFonts w:ascii="Arial" w:hAnsi="Arial" w:cs="Arial"/>
          <w:sz w:val="20"/>
          <w:szCs w:val="20"/>
        </w:rPr>
        <w:t xml:space="preserve">. This decline was driven by rising concerns over inflation, with the </w:t>
      </w:r>
      <w:r w:rsidRPr="00CE28BB">
        <w:rPr>
          <w:rFonts w:ascii="Arial" w:hAnsi="Arial" w:cs="Arial"/>
          <w:sz w:val="20"/>
          <w:szCs w:val="20"/>
        </w:rPr>
        <w:t>personal finance</w:t>
      </w:r>
      <w:r>
        <w:rPr>
          <w:rFonts w:ascii="Arial" w:hAnsi="Arial" w:cs="Arial"/>
          <w:sz w:val="20"/>
          <w:szCs w:val="20"/>
        </w:rPr>
        <w:t xml:space="preserve"> measure </w:t>
      </w:r>
      <w:r w:rsidRPr="00CE28BB">
        <w:rPr>
          <w:rFonts w:ascii="Arial" w:hAnsi="Arial" w:cs="Arial"/>
          <w:sz w:val="20"/>
          <w:szCs w:val="20"/>
        </w:rPr>
        <w:t xml:space="preserve">declining about 15%. </w:t>
      </w:r>
      <w:r>
        <w:rPr>
          <w:rFonts w:ascii="Arial" w:hAnsi="Arial" w:cs="Arial"/>
          <w:sz w:val="20"/>
          <w:szCs w:val="20"/>
        </w:rPr>
        <w:t xml:space="preserve">The widespread concern continues to favor at-home meal preparation. Up 4.0 percentage points from 2019, Circana found that 59.8% of 2023 year-to-date food and beverage dollars were spent at retail. </w:t>
      </w:r>
    </w:p>
    <w:p w14:paraId="427311B2" w14:textId="77777777" w:rsidR="005B1FEE" w:rsidRDefault="005B1FEE" w:rsidP="005B1FEE">
      <w:pPr>
        <w:pStyle w:val="NoSpacing"/>
        <w:rPr>
          <w:rFonts w:ascii="Arial" w:hAnsi="Arial" w:cs="Arial"/>
          <w:sz w:val="20"/>
          <w:szCs w:val="20"/>
        </w:rPr>
      </w:pPr>
    </w:p>
    <w:p w14:paraId="537ABAC5" w14:textId="7F1EF22C" w:rsidR="005B1FEE" w:rsidRDefault="005B1FEE" w:rsidP="005B1FE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October Circana survey among primary grocery shoppers found widely ranging engagement with restaurants depending on income. High-income consumers were far more likely to have purchased restaurant food, which also resulted in a lower share of meals prepared at home. </w:t>
      </w:r>
    </w:p>
    <w:p w14:paraId="265C00FE" w14:textId="77777777" w:rsidR="005B1FEE" w:rsidRDefault="005B1FEE" w:rsidP="005B1FEE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ListTable1Light-Accent4"/>
        <w:tblW w:w="0" w:type="auto"/>
        <w:tblLook w:val="04A0" w:firstRow="1" w:lastRow="0" w:firstColumn="1" w:lastColumn="0" w:noHBand="0" w:noVBand="1"/>
      </w:tblPr>
      <w:tblGrid>
        <w:gridCol w:w="2500"/>
        <w:gridCol w:w="2493"/>
        <w:gridCol w:w="1676"/>
        <w:gridCol w:w="1659"/>
        <w:gridCol w:w="1662"/>
      </w:tblGrid>
      <w:tr w:rsidR="005B1FEE" w:rsidRPr="00A73536" w14:paraId="6AD91B79" w14:textId="77777777" w:rsidTr="005B1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shd w:val="clear" w:color="auto" w:fill="ED7D31" w:themeFill="accent2"/>
          </w:tcPr>
          <w:p w14:paraId="329ED98E" w14:textId="77777777" w:rsidR="005B1FEE" w:rsidRPr="00A73536" w:rsidRDefault="005B1FEE" w:rsidP="00072119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Annual income</w:t>
            </w:r>
          </w:p>
        </w:tc>
        <w:tc>
          <w:tcPr>
            <w:tcW w:w="2607" w:type="dxa"/>
            <w:shd w:val="clear" w:color="auto" w:fill="ED7D31" w:themeFill="accent2"/>
          </w:tcPr>
          <w:p w14:paraId="130CE8CB" w14:textId="77777777" w:rsidR="005B1FEE" w:rsidRPr="00A73536" w:rsidRDefault="005B1FEE" w:rsidP="0007211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3536">
              <w:rPr>
                <w:rFonts w:ascii="Arial" w:hAnsi="Arial" w:cs="Arial"/>
                <w:sz w:val="18"/>
                <w:szCs w:val="18"/>
              </w:rPr>
              <w:t>% of consumers who purchased restaurant food at least once in October</w:t>
            </w:r>
          </w:p>
        </w:tc>
        <w:tc>
          <w:tcPr>
            <w:tcW w:w="1728" w:type="dxa"/>
            <w:shd w:val="clear" w:color="auto" w:fill="ED7D31" w:themeFill="accent2"/>
          </w:tcPr>
          <w:p w14:paraId="714B5CCE" w14:textId="77777777" w:rsidR="005B1FEE" w:rsidRPr="00A73536" w:rsidRDefault="005B1FEE" w:rsidP="0007211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3536">
              <w:rPr>
                <w:rFonts w:ascii="Arial" w:hAnsi="Arial" w:cs="Arial"/>
                <w:sz w:val="18"/>
                <w:szCs w:val="18"/>
              </w:rPr>
              <w:t>Estimated share of meals prepared at home</w:t>
            </w:r>
          </w:p>
        </w:tc>
        <w:tc>
          <w:tcPr>
            <w:tcW w:w="1728" w:type="dxa"/>
            <w:shd w:val="clear" w:color="auto" w:fill="ED7D31" w:themeFill="accent2"/>
          </w:tcPr>
          <w:p w14:paraId="7334395A" w14:textId="77777777" w:rsidR="005B1FEE" w:rsidRPr="00A73536" w:rsidRDefault="005B1FEE" w:rsidP="0007211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Share who have gotten takeout </w:t>
            </w:r>
            <w:r>
              <w:rPr>
                <w:rFonts w:ascii="Arial" w:hAnsi="Arial" w:cs="Arial"/>
                <w:sz w:val="18"/>
                <w:szCs w:val="18"/>
              </w:rPr>
              <w:br/>
              <w:t>1+ times</w:t>
            </w:r>
          </w:p>
        </w:tc>
        <w:tc>
          <w:tcPr>
            <w:tcW w:w="1728" w:type="dxa"/>
            <w:shd w:val="clear" w:color="auto" w:fill="ED7D31" w:themeFill="accent2"/>
          </w:tcPr>
          <w:p w14:paraId="35892EE7" w14:textId="77777777" w:rsidR="005B1FEE" w:rsidRPr="00A73536" w:rsidRDefault="005B1FEE" w:rsidP="00072119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Share who have ordered delivery 1+ times</w:t>
            </w:r>
          </w:p>
        </w:tc>
      </w:tr>
      <w:tr w:rsidR="005B1FEE" w:rsidRPr="00A73536" w14:paraId="2B7AA93E" w14:textId="77777777" w:rsidTr="00072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5FFDCB5" w14:textId="77777777" w:rsidR="005B1FEE" w:rsidRPr="00A73536" w:rsidRDefault="005B1FEE" w:rsidP="00072119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35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Less than $25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</w:t>
            </w:r>
            <w:r w:rsidRPr="00A735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607" w:type="dxa"/>
          </w:tcPr>
          <w:p w14:paraId="63C2C705" w14:textId="77777777" w:rsidR="005B1FEE" w:rsidRPr="00A73536" w:rsidRDefault="005B1FEE" w:rsidP="0007211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3536">
              <w:rPr>
                <w:rFonts w:ascii="Arial" w:hAnsi="Arial" w:cs="Arial"/>
                <w:sz w:val="18"/>
                <w:szCs w:val="18"/>
              </w:rPr>
              <w:t>77%</w:t>
            </w:r>
          </w:p>
        </w:tc>
        <w:tc>
          <w:tcPr>
            <w:tcW w:w="1728" w:type="dxa"/>
          </w:tcPr>
          <w:p w14:paraId="4259FEA8" w14:textId="77777777" w:rsidR="005B1FEE" w:rsidRPr="00A73536" w:rsidRDefault="005B1FEE" w:rsidP="0007211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78.9%</w:t>
            </w:r>
          </w:p>
        </w:tc>
        <w:tc>
          <w:tcPr>
            <w:tcW w:w="1728" w:type="dxa"/>
          </w:tcPr>
          <w:p w14:paraId="118B45D5" w14:textId="77777777" w:rsidR="005B1FEE" w:rsidRDefault="005B1FEE" w:rsidP="0007211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44%</w:t>
            </w:r>
          </w:p>
        </w:tc>
        <w:tc>
          <w:tcPr>
            <w:tcW w:w="1728" w:type="dxa"/>
          </w:tcPr>
          <w:p w14:paraId="2702A4D8" w14:textId="77777777" w:rsidR="005B1FEE" w:rsidRDefault="005B1FEE" w:rsidP="0007211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5B1FEE" w:rsidRPr="00A73536" w14:paraId="4B5F5BF9" w14:textId="77777777" w:rsidTr="00072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BBB80E6" w14:textId="77777777" w:rsidR="005B1FEE" w:rsidRPr="00A73536" w:rsidRDefault="005B1FEE" w:rsidP="00072119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35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$25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</w:t>
            </w:r>
            <w:r w:rsidRPr="00A735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&lt;$50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</w:t>
            </w:r>
          </w:p>
        </w:tc>
        <w:tc>
          <w:tcPr>
            <w:tcW w:w="2607" w:type="dxa"/>
          </w:tcPr>
          <w:p w14:paraId="034CB513" w14:textId="77777777" w:rsidR="005B1FEE" w:rsidRPr="00A73536" w:rsidRDefault="005B1FEE" w:rsidP="000721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3536">
              <w:rPr>
                <w:rFonts w:ascii="Arial" w:hAnsi="Arial" w:cs="Arial"/>
                <w:sz w:val="18"/>
                <w:szCs w:val="18"/>
              </w:rPr>
              <w:t>78%</w:t>
            </w:r>
          </w:p>
        </w:tc>
        <w:tc>
          <w:tcPr>
            <w:tcW w:w="1728" w:type="dxa"/>
          </w:tcPr>
          <w:p w14:paraId="30CB5240" w14:textId="77777777" w:rsidR="005B1FEE" w:rsidRPr="00A73536" w:rsidRDefault="005B1FEE" w:rsidP="000721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80.6%</w:t>
            </w:r>
          </w:p>
        </w:tc>
        <w:tc>
          <w:tcPr>
            <w:tcW w:w="1728" w:type="dxa"/>
          </w:tcPr>
          <w:p w14:paraId="031F2B83" w14:textId="77777777" w:rsidR="005B1FEE" w:rsidRDefault="005B1FEE" w:rsidP="000721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45%</w:t>
            </w:r>
          </w:p>
        </w:tc>
        <w:tc>
          <w:tcPr>
            <w:tcW w:w="1728" w:type="dxa"/>
          </w:tcPr>
          <w:p w14:paraId="5DD4E4EE" w14:textId="77777777" w:rsidR="005B1FEE" w:rsidRDefault="005B1FEE" w:rsidP="000721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13%</w:t>
            </w:r>
          </w:p>
        </w:tc>
      </w:tr>
      <w:tr w:rsidR="005B1FEE" w:rsidRPr="00A73536" w14:paraId="1D7D3B9D" w14:textId="77777777" w:rsidTr="000721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4584450" w14:textId="77777777" w:rsidR="005B1FEE" w:rsidRPr="00A73536" w:rsidRDefault="005B1FEE" w:rsidP="00072119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$</w:t>
            </w:r>
            <w:r w:rsidRPr="00A735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50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</w:t>
            </w:r>
            <w:r w:rsidRPr="00A735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&lt;$100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</w:t>
            </w:r>
          </w:p>
        </w:tc>
        <w:tc>
          <w:tcPr>
            <w:tcW w:w="2607" w:type="dxa"/>
          </w:tcPr>
          <w:p w14:paraId="69417745" w14:textId="77777777" w:rsidR="005B1FEE" w:rsidRPr="00A73536" w:rsidRDefault="005B1FEE" w:rsidP="0007211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3536">
              <w:rPr>
                <w:rFonts w:ascii="Arial" w:hAnsi="Arial" w:cs="Arial"/>
                <w:sz w:val="18"/>
                <w:szCs w:val="18"/>
              </w:rPr>
              <w:t>80%</w:t>
            </w:r>
          </w:p>
        </w:tc>
        <w:tc>
          <w:tcPr>
            <w:tcW w:w="1728" w:type="dxa"/>
          </w:tcPr>
          <w:p w14:paraId="0F89737A" w14:textId="77777777" w:rsidR="005B1FEE" w:rsidRPr="00A73536" w:rsidRDefault="005B1FEE" w:rsidP="0007211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79.5%</w:t>
            </w:r>
          </w:p>
        </w:tc>
        <w:tc>
          <w:tcPr>
            <w:tcW w:w="1728" w:type="dxa"/>
          </w:tcPr>
          <w:p w14:paraId="271FC7E5" w14:textId="77777777" w:rsidR="005B1FEE" w:rsidRDefault="005B1FEE" w:rsidP="0007211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53%</w:t>
            </w:r>
          </w:p>
        </w:tc>
        <w:tc>
          <w:tcPr>
            <w:tcW w:w="1728" w:type="dxa"/>
          </w:tcPr>
          <w:p w14:paraId="094454FE" w14:textId="77777777" w:rsidR="005B1FEE" w:rsidRDefault="005B1FEE" w:rsidP="00072119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15%</w:t>
            </w:r>
          </w:p>
        </w:tc>
      </w:tr>
      <w:tr w:rsidR="005B1FEE" w:rsidRPr="00A73536" w14:paraId="178644C2" w14:textId="77777777" w:rsidTr="000721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864B75F" w14:textId="77777777" w:rsidR="005B1FEE" w:rsidRPr="00A73536" w:rsidRDefault="005B1FEE" w:rsidP="00072119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A735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$100</w:t>
            </w: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K</w:t>
            </w:r>
            <w:r w:rsidRPr="00A73536">
              <w:rPr>
                <w:rFonts w:ascii="Arial" w:hAnsi="Arial" w:cs="Arial"/>
                <w:b w:val="0"/>
                <w:bCs w:val="0"/>
                <w:sz w:val="18"/>
                <w:szCs w:val="18"/>
              </w:rPr>
              <w:t xml:space="preserve"> or more</w:t>
            </w:r>
          </w:p>
        </w:tc>
        <w:tc>
          <w:tcPr>
            <w:tcW w:w="2607" w:type="dxa"/>
          </w:tcPr>
          <w:p w14:paraId="7ADBA055" w14:textId="77777777" w:rsidR="005B1FEE" w:rsidRPr="00A73536" w:rsidRDefault="005B1FEE" w:rsidP="000721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A73536">
              <w:rPr>
                <w:rFonts w:ascii="Arial" w:hAnsi="Arial" w:cs="Arial"/>
                <w:sz w:val="18"/>
                <w:szCs w:val="18"/>
              </w:rPr>
              <w:t>89%</w:t>
            </w:r>
          </w:p>
        </w:tc>
        <w:tc>
          <w:tcPr>
            <w:tcW w:w="1728" w:type="dxa"/>
          </w:tcPr>
          <w:p w14:paraId="56A2E180" w14:textId="77777777" w:rsidR="005B1FEE" w:rsidRPr="00A73536" w:rsidRDefault="005B1FEE" w:rsidP="000721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72.6%</w:t>
            </w:r>
          </w:p>
        </w:tc>
        <w:tc>
          <w:tcPr>
            <w:tcW w:w="1728" w:type="dxa"/>
          </w:tcPr>
          <w:p w14:paraId="41B1D8D2" w14:textId="77777777" w:rsidR="005B1FEE" w:rsidRDefault="005B1FEE" w:rsidP="000721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55%</w:t>
            </w:r>
          </w:p>
        </w:tc>
        <w:tc>
          <w:tcPr>
            <w:tcW w:w="1728" w:type="dxa"/>
          </w:tcPr>
          <w:p w14:paraId="5ED7CAA7" w14:textId="77777777" w:rsidR="005B1FEE" w:rsidRDefault="005B1FEE" w:rsidP="00072119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20%</w:t>
            </w:r>
          </w:p>
        </w:tc>
      </w:tr>
    </w:tbl>
    <w:p w14:paraId="15088306" w14:textId="77777777" w:rsidR="005B1FEE" w:rsidRDefault="005B1FEE" w:rsidP="005B1FEE">
      <w:pPr>
        <w:pStyle w:val="NoSpacing"/>
        <w:rPr>
          <w:rFonts w:ascii="Arial" w:hAnsi="Arial" w:cs="Arial"/>
          <w:sz w:val="20"/>
          <w:szCs w:val="20"/>
        </w:rPr>
      </w:pPr>
    </w:p>
    <w:p w14:paraId="5C990BFD" w14:textId="77777777" w:rsidR="00406762" w:rsidRDefault="003C014B" w:rsidP="005B1FEE">
      <w:pPr>
        <w:pStyle w:val="NoSpacing"/>
        <w:rPr>
          <w:rFonts w:ascii="Arial" w:hAnsi="Arial" w:cs="Arial"/>
          <w:sz w:val="20"/>
          <w:szCs w:val="20"/>
        </w:rPr>
      </w:pPr>
      <w:r w:rsidRPr="007528FD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2D43BD1" wp14:editId="1C3E133E">
            <wp:simplePos x="0" y="0"/>
            <wp:positionH relativeFrom="margin">
              <wp:posOffset>3448050</wp:posOffset>
            </wp:positionH>
            <wp:positionV relativeFrom="paragraph">
              <wp:posOffset>7620</wp:posOffset>
            </wp:positionV>
            <wp:extent cx="2924810" cy="1600200"/>
            <wp:effectExtent l="0" t="0" r="8890" b="0"/>
            <wp:wrapTight wrapText="bothSides">
              <wp:wrapPolygon edited="0">
                <wp:start x="0" y="0"/>
                <wp:lineTo x="0" y="21343"/>
                <wp:lineTo x="21525" y="21343"/>
                <wp:lineTo x="21525" y="0"/>
                <wp:lineTo x="0" y="0"/>
              </wp:wrapPolygon>
            </wp:wrapTight>
            <wp:docPr id="15327006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0062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FEE">
        <w:rPr>
          <w:rFonts w:ascii="Arial" w:hAnsi="Arial" w:cs="Arial"/>
          <w:sz w:val="20"/>
          <w:szCs w:val="20"/>
        </w:rPr>
        <w:t xml:space="preserve">The nation’s eyes remain on money-saving measures, with 83% having made one or more changes to their grocery shopping habits. According to the Circana survey, 55% of grocery shoppers look for specials more often and 45% are cutting back on non-essentials. Private-brand interest remains strong, with 37% switching to own-brands more often. </w:t>
      </w:r>
    </w:p>
    <w:p w14:paraId="6E58F473" w14:textId="77777777" w:rsidR="00406762" w:rsidRDefault="00406762" w:rsidP="005B1FEE">
      <w:pPr>
        <w:pStyle w:val="NoSpacing"/>
        <w:rPr>
          <w:rFonts w:ascii="Arial" w:hAnsi="Arial" w:cs="Arial"/>
          <w:sz w:val="20"/>
          <w:szCs w:val="20"/>
        </w:rPr>
      </w:pPr>
    </w:p>
    <w:p w14:paraId="029727AB" w14:textId="766DD388" w:rsidR="005B1FEE" w:rsidRDefault="00C00809" w:rsidP="005B1FE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Sales promotions are driving </w:t>
      </w:r>
      <w:r w:rsidR="003C014B">
        <w:rPr>
          <w:rFonts w:ascii="Arial" w:hAnsi="Arial" w:cs="Arial"/>
          <w:sz w:val="20"/>
          <w:szCs w:val="20"/>
        </w:rPr>
        <w:t xml:space="preserve">more trips, though consumers continue to manage their spend by adjusting how much they purchase. </w:t>
      </w:r>
    </w:p>
    <w:p w14:paraId="75CE99B0" w14:textId="3467BD01" w:rsidR="009B3A61" w:rsidRPr="009B3A61" w:rsidRDefault="009B3A61" w:rsidP="009B3A61">
      <w:pPr>
        <w:pStyle w:val="NoSpacing"/>
        <w:ind w:left="360"/>
      </w:pPr>
    </w:p>
    <w:p w14:paraId="737234D5" w14:textId="3B512D43" w:rsidR="00927EAC" w:rsidRPr="00927EAC" w:rsidRDefault="007D3393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Fresh Mushroom </w:t>
      </w:r>
      <w:r w:rsidR="00927EAC" w:rsidRPr="00927EAC">
        <w:rPr>
          <w:b/>
          <w:bCs/>
          <w:color w:val="ED7D31" w:themeColor="accent2"/>
        </w:rPr>
        <w:t>Dollars, Units and Volume Performance</w:t>
      </w:r>
    </w:p>
    <w:p w14:paraId="47797D03" w14:textId="7D00B532" w:rsidR="00472B02" w:rsidRDefault="0007660D" w:rsidP="00472B02">
      <w:pPr>
        <w:pStyle w:val="NoSpacing"/>
      </w:pPr>
      <w:r>
        <w:t xml:space="preserve">Total produce units and volume fell slightly behind year-ago levels in the latest four weeks. </w:t>
      </w:r>
      <w:r w:rsidR="007D3393">
        <w:t>Fresh vegetable</w:t>
      </w:r>
      <w:r w:rsidR="00002FF4">
        <w:t xml:space="preserve"> prices were virtually flat</w:t>
      </w:r>
      <w:r w:rsidR="00F40BC0">
        <w:t xml:space="preserve"> and volume demand was down slightly.</w:t>
      </w:r>
      <w:r w:rsidR="007D3393">
        <w:t xml:space="preserve"> </w:t>
      </w:r>
      <w:r w:rsidR="00C65479">
        <w:t>F</w:t>
      </w:r>
      <w:r w:rsidR="007D3393">
        <w:t xml:space="preserve">resh mushroom </w:t>
      </w:r>
      <w:r w:rsidR="00C65479">
        <w:t xml:space="preserve">sales </w:t>
      </w:r>
      <w:r w:rsidR="007D3393">
        <w:t xml:space="preserve">patterns </w:t>
      </w:r>
      <w:r w:rsidR="00F40BC0">
        <w:t>were similar in</w:t>
      </w:r>
      <w:r w:rsidR="007D3393">
        <w:t xml:space="preserve"> the quad-week period, with unit </w:t>
      </w:r>
      <w:r w:rsidR="009B71AE">
        <w:t xml:space="preserve">and volume declines during the shorter and longer time periods. </w:t>
      </w:r>
      <w:r w:rsidR="009D6711">
        <w:t>In the latest four weeks, volume</w:t>
      </w:r>
      <w:r w:rsidR="0059588E">
        <w:t xml:space="preserve"> declines stayed </w:t>
      </w:r>
      <w:r w:rsidR="009B3A61">
        <w:t xml:space="preserve">around </w:t>
      </w:r>
      <w:r w:rsidR="00047054">
        <w:t>5</w:t>
      </w:r>
      <w:r w:rsidR="00986D1F">
        <w:t xml:space="preserve"> </w:t>
      </w:r>
      <w:r w:rsidR="0059588E">
        <w:t>points</w:t>
      </w:r>
      <w:r w:rsidR="009D6711">
        <w:t xml:space="preserve"> of year ago levels. </w:t>
      </w:r>
      <w:r w:rsidR="000E0D6B">
        <w:t xml:space="preserve">The </w:t>
      </w:r>
      <w:r w:rsidR="009D6711">
        <w:t xml:space="preserve">volume declines </w:t>
      </w:r>
      <w:r w:rsidR="00F40BC0">
        <w:t xml:space="preserve">intensified </w:t>
      </w:r>
      <w:r w:rsidR="00C65479">
        <w:t xml:space="preserve">somewhat </w:t>
      </w:r>
      <w:r w:rsidR="009D6711">
        <w:t>in comparison with the 52-week</w:t>
      </w:r>
      <w:r w:rsidR="00B42A49">
        <w:t xml:space="preserve"> look that shows pounds down </w:t>
      </w:r>
      <w:r w:rsidR="00047054">
        <w:t>4.7</w:t>
      </w:r>
      <w:r w:rsidR="004C088A">
        <w:t>%</w:t>
      </w:r>
      <w:r w:rsidR="009D6711">
        <w:t xml:space="preserve">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054" w:type="dxa"/>
        <w:tblLook w:val="04A0" w:firstRow="1" w:lastRow="0" w:firstColumn="1" w:lastColumn="0" w:noHBand="0" w:noVBand="1"/>
      </w:tblPr>
      <w:tblGrid>
        <w:gridCol w:w="1792"/>
        <w:gridCol w:w="1881"/>
        <w:gridCol w:w="1021"/>
        <w:gridCol w:w="1099"/>
        <w:gridCol w:w="1946"/>
        <w:gridCol w:w="1121"/>
        <w:gridCol w:w="1194"/>
      </w:tblGrid>
      <w:tr w:rsidR="00B672D0" w:rsidRPr="00124CB7" w14:paraId="5D073D77" w14:textId="77777777" w:rsidTr="00C12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1886" w:type="dxa"/>
          </w:tcPr>
          <w:p w14:paraId="51DF6E55" w14:textId="00225F79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7946B0">
              <w:t>11/5</w:t>
            </w:r>
            <w:r>
              <w:t>/2023</w:t>
            </w:r>
          </w:p>
        </w:tc>
        <w:tc>
          <w:tcPr>
            <w:tcW w:w="1024" w:type="dxa"/>
          </w:tcPr>
          <w:p w14:paraId="4B26425C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398A30D" w14:textId="02B74031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66B6F0A2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11B3D9FB" w14:textId="15CCA3DC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3BBE24C3" w14:textId="63A9FC0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7946B0">
              <w:t>11/5</w:t>
            </w:r>
            <w:r>
              <w:t>/2023</w:t>
            </w:r>
          </w:p>
        </w:tc>
        <w:tc>
          <w:tcPr>
            <w:tcW w:w="1098" w:type="dxa"/>
          </w:tcPr>
          <w:p w14:paraId="40EE3430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95179F" w14:textId="133A5C2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97" w:type="dxa"/>
          </w:tcPr>
          <w:p w14:paraId="0BDA0615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AB7ECE0" w14:textId="0D54DE1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B672D0" w14:paraId="22401D5B" w14:textId="77777777" w:rsidTr="00C1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79CDF43D" w14:textId="166854D6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Dollars</w:t>
            </w:r>
          </w:p>
        </w:tc>
        <w:tc>
          <w:tcPr>
            <w:tcW w:w="1886" w:type="dxa"/>
          </w:tcPr>
          <w:p w14:paraId="6D1FCB95" w14:textId="45C2FAB5" w:rsidR="00B672D0" w:rsidRDefault="00B42A49" w:rsidP="00C1287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</w:t>
            </w:r>
            <w:r w:rsidR="00EF20EE">
              <w:t>91.3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77D2040B" w14:textId="44608DFE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F20EE">
              <w:t>6.0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EF21002" w14:textId="66C8C071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F20EE">
              <w:t>11.6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375CF9DD" w14:textId="3D95E88B" w:rsidR="00B672D0" w:rsidRDefault="00B42A49" w:rsidP="00C1287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</w:t>
            </w:r>
            <w:r w:rsidR="00C12877">
              <w:t xml:space="preserve">   </w:t>
            </w:r>
            <w:r>
              <w:t xml:space="preserve">   $</w:t>
            </w:r>
            <w:r w:rsidR="00EF20EE">
              <w:t>1.3</w:t>
            </w:r>
            <w:r w:rsidR="00A95B14">
              <w:t xml:space="preserve"> </w:t>
            </w:r>
            <w:r w:rsidR="00B672D0">
              <w:t>billion</w:t>
            </w:r>
          </w:p>
        </w:tc>
        <w:tc>
          <w:tcPr>
            <w:tcW w:w="1125" w:type="dxa"/>
          </w:tcPr>
          <w:p w14:paraId="04EA64A9" w14:textId="1CF2EA91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F20EE">
              <w:t>2.3</w:t>
            </w:r>
            <w:r w:rsidR="00B672D0">
              <w:t>%</w:t>
            </w:r>
          </w:p>
        </w:tc>
        <w:tc>
          <w:tcPr>
            <w:tcW w:w="1170" w:type="dxa"/>
          </w:tcPr>
          <w:p w14:paraId="2F2464E9" w14:textId="13260011" w:rsidR="00B672D0" w:rsidRDefault="00916DE2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F20EE">
              <w:t>7.6</w:t>
            </w:r>
            <w:r w:rsidR="00B672D0">
              <w:t>%</w:t>
            </w:r>
          </w:p>
        </w:tc>
      </w:tr>
      <w:tr w:rsidR="00B672D0" w14:paraId="31FB8D29" w14:textId="77777777" w:rsidTr="00C128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0B2F651" w14:textId="48542DFC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Units</w:t>
            </w:r>
          </w:p>
        </w:tc>
        <w:tc>
          <w:tcPr>
            <w:tcW w:w="1886" w:type="dxa"/>
          </w:tcPr>
          <w:p w14:paraId="3CA03520" w14:textId="71451F59" w:rsidR="00B672D0" w:rsidRDefault="00B42A49" w:rsidP="00C12877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EF20EE">
              <w:t>31.0</w:t>
            </w:r>
            <w:r>
              <w:t xml:space="preserve"> </w:t>
            </w:r>
            <w:r w:rsidR="00002FF4">
              <w:t>m</w:t>
            </w:r>
            <w:r w:rsidR="00B672D0">
              <w:t>illion</w:t>
            </w:r>
          </w:p>
        </w:tc>
        <w:tc>
          <w:tcPr>
            <w:tcW w:w="1024" w:type="dxa"/>
          </w:tcPr>
          <w:p w14:paraId="6922F333" w14:textId="439619AF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EF20EE">
              <w:t>5.7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7CD8DEEA" w14:textId="417E011A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EF20EE">
              <w:t>20.4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26ECACB9" w14:textId="69696BDD" w:rsidR="00B672D0" w:rsidRDefault="00B42A49" w:rsidP="00752CD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</w:t>
            </w:r>
            <w:r w:rsidR="00EF20EE">
              <w:t>425.8</w:t>
            </w:r>
            <w:r w:rsidR="00B672D0">
              <w:t xml:space="preserve"> million</w:t>
            </w:r>
          </w:p>
        </w:tc>
        <w:tc>
          <w:tcPr>
            <w:tcW w:w="1125" w:type="dxa"/>
          </w:tcPr>
          <w:p w14:paraId="60AAF678" w14:textId="33FB31DE" w:rsidR="00B672D0" w:rsidRDefault="00B42A49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EF20EE">
              <w:t>5.1</w:t>
            </w:r>
            <w:r w:rsidR="00B672D0">
              <w:t>%</w:t>
            </w:r>
          </w:p>
        </w:tc>
        <w:tc>
          <w:tcPr>
            <w:tcW w:w="1170" w:type="dxa"/>
          </w:tcPr>
          <w:p w14:paraId="19BE3B74" w14:textId="2CE6E518" w:rsidR="00B672D0" w:rsidRDefault="00EF20EE" w:rsidP="00B672D0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-17.5</w:t>
            </w:r>
            <w:r w:rsidR="00B672D0">
              <w:t>%</w:t>
            </w:r>
          </w:p>
        </w:tc>
      </w:tr>
      <w:tr w:rsidR="00B672D0" w14:paraId="2EB720F3" w14:textId="77777777" w:rsidTr="00C12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1A632454" w14:textId="04CEBBF8" w:rsidR="00B672D0" w:rsidRPr="00124CB7" w:rsidRDefault="00B672D0" w:rsidP="00B672D0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Volume (pounds)</w:t>
            </w:r>
          </w:p>
        </w:tc>
        <w:tc>
          <w:tcPr>
            <w:tcW w:w="1886" w:type="dxa"/>
          </w:tcPr>
          <w:p w14:paraId="68757A76" w14:textId="7E8F88CB" w:rsidR="00B672D0" w:rsidRDefault="00B42A49" w:rsidP="00C12877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 w:rsidR="00EF20EE">
              <w:t>19.5</w:t>
            </w:r>
            <w:r w:rsidR="00B672D0">
              <w:t xml:space="preserve"> million</w:t>
            </w:r>
          </w:p>
        </w:tc>
        <w:tc>
          <w:tcPr>
            <w:tcW w:w="1024" w:type="dxa"/>
          </w:tcPr>
          <w:p w14:paraId="7DE7F9CC" w14:textId="70FCC929" w:rsidR="00B672D0" w:rsidRDefault="00BF3DAE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F20EE">
              <w:t>5.4</w:t>
            </w:r>
            <w:r w:rsidR="00B672D0">
              <w:t>%</w:t>
            </w:r>
          </w:p>
        </w:tc>
        <w:tc>
          <w:tcPr>
            <w:tcW w:w="1102" w:type="dxa"/>
            <w:tcBorders>
              <w:right w:val="single" w:sz="4" w:space="0" w:color="ED7D31" w:themeColor="accent2"/>
            </w:tcBorders>
          </w:tcPr>
          <w:p w14:paraId="47670DC1" w14:textId="75C59F90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F20EE">
              <w:t>19.8</w:t>
            </w:r>
            <w:r w:rsidR="00B672D0">
              <w:t>%</w:t>
            </w:r>
          </w:p>
        </w:tc>
        <w:tc>
          <w:tcPr>
            <w:tcW w:w="1952" w:type="dxa"/>
            <w:tcBorders>
              <w:left w:val="single" w:sz="4" w:space="0" w:color="ED7D31" w:themeColor="accent2"/>
            </w:tcBorders>
          </w:tcPr>
          <w:p w14:paraId="57878EB0" w14:textId="11F3F9A6" w:rsidR="00B672D0" w:rsidRDefault="00EF20EE" w:rsidP="00C12877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268.7</w:t>
            </w:r>
            <w:r w:rsidR="00B672D0">
              <w:t xml:space="preserve"> million</w:t>
            </w:r>
          </w:p>
        </w:tc>
        <w:tc>
          <w:tcPr>
            <w:tcW w:w="1125" w:type="dxa"/>
          </w:tcPr>
          <w:p w14:paraId="0679CD28" w14:textId="7321CC77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F20EE">
              <w:t>4.7</w:t>
            </w:r>
            <w:r w:rsidR="00B672D0">
              <w:t>%</w:t>
            </w:r>
          </w:p>
        </w:tc>
        <w:tc>
          <w:tcPr>
            <w:tcW w:w="1170" w:type="dxa"/>
          </w:tcPr>
          <w:p w14:paraId="09C03B7F" w14:textId="3F767FCF" w:rsidR="00B672D0" w:rsidRDefault="00B42A49" w:rsidP="00B672D0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EF20EE">
              <w:t>16.6</w:t>
            </w:r>
            <w:r w:rsidR="00B672D0">
              <w:t>%</w:t>
            </w:r>
          </w:p>
        </w:tc>
      </w:tr>
    </w:tbl>
    <w:p w14:paraId="5B1F1AF6" w14:textId="4C7CBBCB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7946B0">
        <w:rPr>
          <w:color w:val="7F7F7F" w:themeColor="text1" w:themeTint="80"/>
          <w:sz w:val="16"/>
          <w:szCs w:val="16"/>
        </w:rPr>
        <w:t>11/5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93975F5" w14:textId="5C6F2673" w:rsidR="000809C3" w:rsidRDefault="000809C3" w:rsidP="00472B02">
      <w:pPr>
        <w:pStyle w:val="NoSpacing"/>
      </w:pPr>
    </w:p>
    <w:p w14:paraId="3FBF647C" w14:textId="598F8CB8" w:rsidR="000E0D6B" w:rsidRDefault="000E0D6B">
      <w:r>
        <w:t>Importantly, long-term patterns showed a turnaround in quad weeks nine</w:t>
      </w:r>
      <w:r w:rsidR="00F40BC0">
        <w:t>, 10 and 11</w:t>
      </w:r>
      <w:r>
        <w:t xml:space="preserve"> in mushroom volume sale</w:t>
      </w:r>
      <w:r w:rsidR="00986D1F">
        <w:t>s and th</w:t>
      </w:r>
      <w:r w:rsidR="00F40BC0">
        <w:t>ose</w:t>
      </w:r>
      <w:r w:rsidR="00986D1F">
        <w:t xml:space="preserve"> patterns held. At +</w:t>
      </w:r>
      <w:r w:rsidR="00EF20EE">
        <w:t>1.4</w:t>
      </w:r>
      <w:r>
        <w:t xml:space="preserve">%, the quad-week over the prior quad-week </w:t>
      </w:r>
      <w:r w:rsidR="00F40BC0">
        <w:t>sales increased 1.4%. This was a fairly typical increase, safe for the 2022 increase of 3.2%</w:t>
      </w:r>
      <w:r>
        <w:t xml:space="preserve"> (see forecast tab in the data spreadsheet).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57"/>
        <w:gridCol w:w="657"/>
        <w:gridCol w:w="714"/>
        <w:gridCol w:w="657"/>
        <w:gridCol w:w="657"/>
        <w:gridCol w:w="657"/>
        <w:gridCol w:w="657"/>
        <w:gridCol w:w="657"/>
        <w:gridCol w:w="657"/>
        <w:gridCol w:w="720"/>
        <w:gridCol w:w="720"/>
        <w:gridCol w:w="720"/>
        <w:gridCol w:w="720"/>
      </w:tblGrid>
      <w:tr w:rsidR="000E0D6B" w:rsidRPr="000E0D6B" w14:paraId="2CE5BD2B" w14:textId="77777777" w:rsidTr="000E0D6B">
        <w:trPr>
          <w:trHeight w:val="552"/>
        </w:trPr>
        <w:tc>
          <w:tcPr>
            <w:tcW w:w="1440" w:type="dxa"/>
            <w:shd w:val="clear" w:color="auto" w:fill="auto"/>
            <w:hideMark/>
          </w:tcPr>
          <w:p w14:paraId="0137593C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Pound growth rates </w:t>
            </w:r>
            <w:r w:rsidRPr="000E0D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versus PRIOR PERIOD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4366F69D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600FB82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617C02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3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68335CCD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157C0D00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5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530B7B63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6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7A895C4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7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02A51AE9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8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1306025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8945EBB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03135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09973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FA218C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13</w:t>
            </w:r>
          </w:p>
        </w:tc>
      </w:tr>
      <w:tr w:rsidR="000E0D6B" w:rsidRPr="000E0D6B" w14:paraId="7083EDA9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96F523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2017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E470360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559548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-1.5%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7F0D03B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154EF6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27228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1082D2E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-3.5%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5E2737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5B754E6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-0.5%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3E4D0CD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1.0%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CF2B5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1.5%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7624135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106BBA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5A5B02B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7.3%</w:t>
            </w:r>
          </w:p>
        </w:tc>
      </w:tr>
      <w:tr w:rsidR="000E0D6B" w:rsidRPr="000E0D6B" w14:paraId="3B8C9CB3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415BAB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2018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3666588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-1.0%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0F602A9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-3.3%</w:t>
            </w:r>
          </w:p>
        </w:tc>
        <w:tc>
          <w:tcPr>
            <w:tcW w:w="714" w:type="dxa"/>
            <w:shd w:val="clear" w:color="000000" w:fill="F2DCDB"/>
            <w:noWrap/>
            <w:vAlign w:val="bottom"/>
            <w:hideMark/>
          </w:tcPr>
          <w:p w14:paraId="774E7E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195DB56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B05A15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20A52E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411C384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2A797A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-2.0%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2272447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14B9CF92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1.7%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375CBF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7C3C91A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9.4%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3AADE08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4.1%</w:t>
            </w:r>
          </w:p>
        </w:tc>
      </w:tr>
      <w:tr w:rsidR="000E0D6B" w:rsidRPr="000E0D6B" w14:paraId="5F93CA96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645533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502534A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E61F48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-5.9%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4EEF0E0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43F8F4D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40D6741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E314E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-4.0%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4497E062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-2.6%</w:t>
            </w:r>
          </w:p>
        </w:tc>
        <w:tc>
          <w:tcPr>
            <w:tcW w:w="657" w:type="dxa"/>
            <w:shd w:val="clear" w:color="000000" w:fill="F2DCDB"/>
            <w:noWrap/>
            <w:vAlign w:val="bottom"/>
            <w:hideMark/>
          </w:tcPr>
          <w:p w14:paraId="1187FC0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-0.6%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28DC45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1.7%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568D87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1.1%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4245C51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1.5%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09A6FE7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9.0%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67CDF6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4.9%</w:t>
            </w:r>
          </w:p>
        </w:tc>
      </w:tr>
      <w:tr w:rsidR="000E0D6B" w:rsidRPr="000E0D6B" w14:paraId="56075657" w14:textId="77777777" w:rsidTr="005E212C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CFB79B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2020</w:t>
            </w:r>
          </w:p>
        </w:tc>
        <w:tc>
          <w:tcPr>
            <w:tcW w:w="657" w:type="dxa"/>
            <w:shd w:val="clear" w:color="auto" w:fill="C4D79B"/>
            <w:noWrap/>
            <w:vAlign w:val="bottom"/>
            <w:hideMark/>
          </w:tcPr>
          <w:p w14:paraId="12C38A5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29F7EC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-2.8%</w:t>
            </w:r>
          </w:p>
        </w:tc>
        <w:tc>
          <w:tcPr>
            <w:tcW w:w="714" w:type="dxa"/>
            <w:shd w:val="clear" w:color="000000" w:fill="76933C"/>
            <w:noWrap/>
            <w:vAlign w:val="bottom"/>
            <w:hideMark/>
          </w:tcPr>
          <w:p w14:paraId="6BCE86B4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13.6%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6D12AA7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4.4%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00217F0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013F30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-7.7%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85E730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A700A4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-2.3%</w:t>
            </w:r>
          </w:p>
        </w:tc>
        <w:tc>
          <w:tcPr>
            <w:tcW w:w="657" w:type="dxa"/>
            <w:shd w:val="clear" w:color="000000" w:fill="F2DCDB"/>
            <w:noWrap/>
            <w:vAlign w:val="bottom"/>
            <w:hideMark/>
          </w:tcPr>
          <w:p w14:paraId="5747B9E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-0.2%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75B3F13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0.5%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133AA9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4C967B4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6.1%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440384B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4.6%</w:t>
            </w:r>
          </w:p>
        </w:tc>
      </w:tr>
      <w:tr w:rsidR="000E0D6B" w:rsidRPr="000E0D6B" w14:paraId="273BB044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883D17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2021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6F9C945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4F49B1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-4.6%</w:t>
            </w:r>
          </w:p>
        </w:tc>
        <w:tc>
          <w:tcPr>
            <w:tcW w:w="714" w:type="dxa"/>
            <w:shd w:val="clear" w:color="000000" w:fill="DA9694"/>
            <w:noWrap/>
            <w:vAlign w:val="bottom"/>
            <w:hideMark/>
          </w:tcPr>
          <w:p w14:paraId="16EF6D9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-5.1%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A4C33B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867CE1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215B0D0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D0F548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02AA57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-2.4%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4F1AD20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2.6%</w:t>
            </w:r>
          </w:p>
        </w:tc>
        <w:tc>
          <w:tcPr>
            <w:tcW w:w="720" w:type="dxa"/>
            <w:shd w:val="clear" w:color="000000" w:fill="F2DCDB"/>
            <w:noWrap/>
            <w:vAlign w:val="bottom"/>
            <w:hideMark/>
          </w:tcPr>
          <w:p w14:paraId="52F8ED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-0.1%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32CD6A1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0D6B633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7.3%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BC95E8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3.3%</w:t>
            </w:r>
          </w:p>
        </w:tc>
      </w:tr>
      <w:tr w:rsidR="000E0D6B" w:rsidRPr="000E0D6B" w14:paraId="40AFE043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E5F11A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2022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0B5F487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16BC4C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-5.2%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7E693EC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699C6B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4680D8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6DCBC3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6D2DED6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5F8D38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-2.0%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05D7662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1.2%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337732B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7EE1B86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3.2%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346C0F0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308A321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</w:tr>
      <w:tr w:rsidR="000E0D6B" w:rsidRPr="000E0D6B" w14:paraId="7F8D09D9" w14:textId="77777777" w:rsidTr="00A337DE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63B509E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2023</w:t>
            </w:r>
          </w:p>
        </w:tc>
        <w:tc>
          <w:tcPr>
            <w:tcW w:w="657" w:type="dxa"/>
            <w:shd w:val="clear" w:color="000000" w:fill="EBF1DE"/>
            <w:noWrap/>
            <w:vAlign w:val="bottom"/>
            <w:hideMark/>
          </w:tcPr>
          <w:p w14:paraId="1C9094E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1ADB4D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-4.2%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2FFF822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83121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FE4FDC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EE97E4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-4.3%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E9F789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6E0FA51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BF1DE"/>
            <w:noWrap/>
            <w:vAlign w:val="bottom"/>
            <w:hideMark/>
          </w:tcPr>
          <w:p w14:paraId="7FEFAC4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0.3%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8B0D1C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2.3%</w:t>
            </w:r>
          </w:p>
        </w:tc>
        <w:tc>
          <w:tcPr>
            <w:tcW w:w="720" w:type="dxa"/>
            <w:shd w:val="clear" w:color="auto" w:fill="D8E4BC"/>
            <w:noWrap/>
            <w:vAlign w:val="bottom"/>
            <w:hideMark/>
          </w:tcPr>
          <w:p w14:paraId="226C5267" w14:textId="2F3BE56C" w:rsidR="000E0D6B" w:rsidRPr="000E0D6B" w:rsidRDefault="000E0D6B" w:rsidP="00EF20E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  <w:r w:rsidR="00EF20EE">
              <w:rPr>
                <w:rFonts w:eastAsia="Times New Roman" w:cstheme="minorHAnsi"/>
                <w:sz w:val="18"/>
                <w:szCs w:val="18"/>
              </w:rPr>
              <w:t>1.</w:t>
            </w:r>
            <w:r w:rsidR="005E212C" w:rsidRPr="00A337DE">
              <w:rPr>
                <w:rFonts w:eastAsia="Times New Roman" w:cstheme="minorHAnsi"/>
                <w:sz w:val="18"/>
                <w:szCs w:val="18"/>
                <w:shd w:val="clear" w:color="auto" w:fill="D8E4BC"/>
              </w:rPr>
              <w:t>4</w:t>
            </w:r>
            <w:r w:rsidR="005E212C" w:rsidRPr="005E212C">
              <w:rPr>
                <w:rFonts w:eastAsia="Times New Roman" w:cstheme="minorHAnsi"/>
                <w:sz w:val="18"/>
                <w:szCs w:val="18"/>
              </w:rPr>
              <w:t>%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30A1F91C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50DE69C8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</w:tr>
    </w:tbl>
    <w:p w14:paraId="14458122" w14:textId="4789C89C" w:rsidR="000E0D6B" w:rsidRDefault="000E0D6B" w:rsidP="000E0D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0E0D6B">
        <w:t xml:space="preserve"> </w:t>
      </w: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>
        <w:rPr>
          <w:color w:val="7F7F7F" w:themeColor="text1" w:themeTint="80"/>
          <w:sz w:val="16"/>
          <w:szCs w:val="16"/>
        </w:rPr>
        <w:t>quad weeks 2017-2023</w:t>
      </w:r>
    </w:p>
    <w:p w14:paraId="5A877E4C" w14:textId="4977B9E9" w:rsidR="000E0D6B" w:rsidRPr="000E0D6B" w:rsidRDefault="000E0D6B" w:rsidP="000E0D6B">
      <w:pPr>
        <w:pStyle w:val="NoSpacing"/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646093AC" w:rsidR="00666D40" w:rsidRDefault="006A1766" w:rsidP="00472B02">
      <w:pPr>
        <w:pStyle w:val="NoSpacing"/>
      </w:pPr>
      <w:r>
        <w:t xml:space="preserve">Inflation </w:t>
      </w:r>
      <w:r w:rsidR="0031233D">
        <w:t xml:space="preserve">across total food and beverages is slowing down and </w:t>
      </w:r>
      <w:r>
        <w:t xml:space="preserve">mushrooms are following suit. </w:t>
      </w:r>
      <w:r w:rsidR="00030ABF">
        <w:t>M</w:t>
      </w:r>
      <w:r w:rsidR="000E2A1D">
        <w:t xml:space="preserve">ushroom prices </w:t>
      </w:r>
      <w:r w:rsidR="00C9550B">
        <w:t xml:space="preserve">per unit </w:t>
      </w:r>
      <w:r w:rsidR="00795483">
        <w:t>decreased</w:t>
      </w:r>
      <w:r w:rsidR="000E2A1D">
        <w:t xml:space="preserve"> </w:t>
      </w:r>
      <w:r w:rsidR="00A14586">
        <w:t xml:space="preserve">by </w:t>
      </w:r>
      <w:r w:rsidR="00EA0CB5">
        <w:t>0.3</w:t>
      </w:r>
      <w:r w:rsidR="00322039">
        <w:t xml:space="preserve">% versus year ago </w:t>
      </w:r>
      <w:r w:rsidR="000E2A1D">
        <w:t>in the latest quad-week period</w:t>
      </w:r>
      <w:r w:rsidR="00030ABF">
        <w:t xml:space="preserve">. </w:t>
      </w:r>
      <w:r w:rsidR="00B42A49">
        <w:t xml:space="preserve">This is down from </w:t>
      </w:r>
      <w:r w:rsidR="007946B0">
        <w:t>+</w:t>
      </w:r>
      <w:r w:rsidR="00EA0CB5">
        <w:t>3.0</w:t>
      </w:r>
      <w:r>
        <w:t xml:space="preserve">% in the 52-week view. </w:t>
      </w:r>
      <w:r w:rsidR="000E2A1D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256"/>
        <w:gridCol w:w="299"/>
        <w:gridCol w:w="1146"/>
        <w:gridCol w:w="973"/>
        <w:gridCol w:w="909"/>
        <w:gridCol w:w="1776"/>
        <w:gridCol w:w="817"/>
        <w:gridCol w:w="899"/>
      </w:tblGrid>
      <w:tr w:rsidR="000C3CC4" w:rsidRPr="00124CB7" w14:paraId="6E9D1AEF" w14:textId="162D7E86" w:rsidTr="00677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45" w:type="dxa"/>
            <w:gridSpan w:val="2"/>
          </w:tcPr>
          <w:p w14:paraId="5EC6EFF0" w14:textId="1156164D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7946B0">
              <w:t>11/5</w:t>
            </w:r>
            <w:r w:rsidR="00EB090C">
              <w:t>/2023</w:t>
            </w:r>
          </w:p>
        </w:tc>
        <w:tc>
          <w:tcPr>
            <w:tcW w:w="973" w:type="dxa"/>
          </w:tcPr>
          <w:p w14:paraId="10EFADEC" w14:textId="03181B9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D14501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23B51B16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0C3CC4">
              <w:t xml:space="preserve"> </w:t>
            </w:r>
            <w:r w:rsidR="007946B0">
              <w:t>11/5</w:t>
            </w:r>
            <w:r w:rsidR="00EB090C">
              <w:t>/2023</w:t>
            </w:r>
          </w:p>
        </w:tc>
        <w:tc>
          <w:tcPr>
            <w:tcW w:w="817" w:type="dxa"/>
          </w:tcPr>
          <w:p w14:paraId="56551B99" w14:textId="71D2CC9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899" w:type="dxa"/>
          </w:tcPr>
          <w:p w14:paraId="1A109D51" w14:textId="22B9DD2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</w:tr>
      <w:tr w:rsidR="000C3CC4" w14:paraId="2B35BE12" w14:textId="0A6FF303" w:rsidTr="00677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49BAD14F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A0CB5">
              <w:t>2.95</w:t>
            </w:r>
          </w:p>
        </w:tc>
        <w:tc>
          <w:tcPr>
            <w:tcW w:w="973" w:type="dxa"/>
          </w:tcPr>
          <w:p w14:paraId="3E0967AB" w14:textId="5AF5E830" w:rsidR="000C3CC4" w:rsidRDefault="00EA0CB5" w:rsidP="00EA0CB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-0.3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2C43E072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A0CB5">
              <w:t>11.1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4F7C097D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EA0CB5">
              <w:t>2.95</w:t>
            </w:r>
          </w:p>
        </w:tc>
        <w:tc>
          <w:tcPr>
            <w:tcW w:w="817" w:type="dxa"/>
          </w:tcPr>
          <w:p w14:paraId="08755E5E" w14:textId="1230205B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A0CB5">
              <w:t>3.0</w:t>
            </w:r>
            <w:r>
              <w:t>%</w:t>
            </w:r>
          </w:p>
        </w:tc>
        <w:tc>
          <w:tcPr>
            <w:tcW w:w="899" w:type="dxa"/>
          </w:tcPr>
          <w:p w14:paraId="19B1F6D2" w14:textId="2C3E3508" w:rsidR="000C3CC4" w:rsidRDefault="000C3CC4" w:rsidP="00677889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A0CB5">
              <w:t>12.0</w:t>
            </w:r>
            <w:r>
              <w:t>%</w:t>
            </w:r>
          </w:p>
        </w:tc>
      </w:tr>
      <w:tr w:rsidR="0004266D" w14:paraId="7C18640F" w14:textId="5B569261" w:rsidTr="006778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5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79FB1F2F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A0CB5">
              <w:t>4.69</w:t>
            </w:r>
          </w:p>
        </w:tc>
        <w:tc>
          <w:tcPr>
            <w:tcW w:w="973" w:type="dxa"/>
          </w:tcPr>
          <w:p w14:paraId="7E986169" w14:textId="43339C9E" w:rsidR="0004266D" w:rsidRDefault="007946B0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EA0CB5">
              <w:t>0.6</w:t>
            </w:r>
            <w:r w:rsidR="0004266D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16476826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EA0CB5">
              <w:t>10.2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2B0BA153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EA0CB5">
              <w:t>4.68</w:t>
            </w:r>
          </w:p>
        </w:tc>
        <w:tc>
          <w:tcPr>
            <w:tcW w:w="817" w:type="dxa"/>
          </w:tcPr>
          <w:p w14:paraId="1759FD32" w14:textId="47BA7537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EA0CB5">
              <w:t>2.5</w:t>
            </w:r>
            <w:r>
              <w:t>%</w:t>
            </w:r>
          </w:p>
        </w:tc>
        <w:tc>
          <w:tcPr>
            <w:tcW w:w="899" w:type="dxa"/>
          </w:tcPr>
          <w:p w14:paraId="725313BE" w14:textId="25CC9868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EA0CB5">
              <w:t>10.8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3E1B4D23" w:rsidR="00170260" w:rsidRDefault="00B672D0" w:rsidP="00170260">
      <w:pPr>
        <w:pStyle w:val="NoSpacing"/>
      </w:pPr>
      <w:r>
        <w:t xml:space="preserve">Moderation in price increases </w:t>
      </w:r>
      <w:r w:rsidR="0009067E">
        <w:t xml:space="preserve">went </w:t>
      </w:r>
      <w:r>
        <w:t>hand-in-hand with an increase in p</w:t>
      </w:r>
      <w:r w:rsidR="006636C7">
        <w:t>romotional activity</w:t>
      </w:r>
      <w:r>
        <w:t xml:space="preserve">. </w:t>
      </w:r>
      <w:r w:rsidR="0009067E">
        <w:t xml:space="preserve">During </w:t>
      </w:r>
      <w:r w:rsidR="006636C7">
        <w:t>the latest quad-week period</w:t>
      </w:r>
      <w:r w:rsidR="00916DE2">
        <w:t xml:space="preserve"> </w:t>
      </w:r>
      <w:r w:rsidR="003A5AFE">
        <w:t>20.9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>
        <w:t xml:space="preserve"> while on promotion</w:t>
      </w:r>
      <w:r w:rsidR="00511CD0">
        <w:t xml:space="preserve">, which was up </w:t>
      </w:r>
      <w:r w:rsidR="003A5AFE">
        <w:t>39.7</w:t>
      </w:r>
      <w:r w:rsidR="0009067E">
        <w:t>%</w:t>
      </w:r>
      <w:r w:rsidR="00E508BB">
        <w:t xml:space="preserve">.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347C1129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7946B0">
              <w:t>11/5</w:t>
            </w:r>
            <w:r w:rsidR="00EB090C">
              <w:t>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00DD264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3F74A013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7946B0">
              <w:t>11/5</w:t>
            </w:r>
            <w:r w:rsidR="00EB090C">
              <w:t>/2023</w:t>
            </w:r>
          </w:p>
        </w:tc>
        <w:tc>
          <w:tcPr>
            <w:tcW w:w="1369" w:type="dxa"/>
          </w:tcPr>
          <w:p w14:paraId="75064544" w14:textId="0F8976C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0D19FB90" w:rsidR="004A50D2" w:rsidRPr="006617FB" w:rsidRDefault="00EA0CB5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20.9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2C2FE54D" w:rsidR="004A50D2" w:rsidRPr="009B0330" w:rsidRDefault="00511CD0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A0CB5">
              <w:t>39.7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521F03D1" w:rsidR="004A50D2" w:rsidRPr="009B0330" w:rsidRDefault="00EA0CB5" w:rsidP="00916DE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17.6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16A63F3E" w:rsidR="004A50D2" w:rsidRPr="00314DA1" w:rsidRDefault="00B42A49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EA0CB5">
              <w:t>19.3</w:t>
            </w:r>
            <w:r w:rsidR="004A50D2" w:rsidRPr="00314DA1">
              <w:t>%</w:t>
            </w:r>
          </w:p>
        </w:tc>
      </w:tr>
    </w:tbl>
    <w:p w14:paraId="23606064" w14:textId="0E7C7169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7946B0">
        <w:rPr>
          <w:color w:val="7F7F7F" w:themeColor="text1" w:themeTint="80"/>
          <w:sz w:val="16"/>
          <w:szCs w:val="16"/>
        </w:rPr>
        <w:t>11/5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31809C1A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BF2F6B">
        <w:t>51.9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BF2F6B">
        <w:t>58.4</w:t>
      </w:r>
      <w:r w:rsidR="00927EAC">
        <w:t>%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904C5C">
        <w:t>Brown mushrooms</w:t>
      </w:r>
      <w:r>
        <w:t>, the combination of cr</w:t>
      </w:r>
      <w:r w:rsidR="002437CE">
        <w:t>i</w:t>
      </w:r>
      <w:r>
        <w:t>minis and portabellas,</w:t>
      </w:r>
      <w:r w:rsidR="00B25DFD">
        <w:t xml:space="preserve"> </w:t>
      </w:r>
      <w:r w:rsidR="00F40BC0">
        <w:t xml:space="preserve">and specialty mushrooms had better performances than white.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ayout w:type="fixed"/>
        <w:tblLook w:val="0400" w:firstRow="0" w:lastRow="0" w:firstColumn="0" w:lastColumn="0" w:noHBand="0" w:noVBand="1"/>
      </w:tblPr>
      <w:tblGrid>
        <w:gridCol w:w="2699"/>
        <w:gridCol w:w="1016"/>
        <w:gridCol w:w="882"/>
        <w:gridCol w:w="991"/>
        <w:gridCol w:w="972"/>
        <w:gridCol w:w="927"/>
        <w:gridCol w:w="1117"/>
        <w:gridCol w:w="1047"/>
        <w:gridCol w:w="964"/>
      </w:tblGrid>
      <w:tr w:rsidR="00A43A45" w:rsidRPr="00B25DFD" w14:paraId="66036A96" w14:textId="09558220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shd w:val="clear" w:color="auto" w:fill="ED7D31" w:themeFill="accent2"/>
            <w:vAlign w:val="center"/>
            <w:hideMark/>
          </w:tcPr>
          <w:p w14:paraId="4B138C18" w14:textId="3A233C4C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7946B0">
              <w:rPr>
                <w:rFonts w:cstheme="minorHAnsi"/>
                <w:b/>
                <w:bCs/>
                <w:color w:val="FFFFFF" w:themeColor="background1"/>
              </w:rPr>
              <w:t>11/5</w:t>
            </w:r>
            <w:r w:rsidR="00EB090C">
              <w:rPr>
                <w:rFonts w:cstheme="minorHAnsi"/>
                <w:b/>
                <w:bCs/>
                <w:color w:val="FFFFFF" w:themeColor="background1"/>
              </w:rPr>
              <w:t>/2023</w:t>
            </w:r>
          </w:p>
        </w:tc>
        <w:tc>
          <w:tcPr>
            <w:tcW w:w="1016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991" w:type="dxa"/>
            <w:shd w:val="clear" w:color="auto" w:fill="ED7D31" w:themeFill="accent2"/>
            <w:hideMark/>
          </w:tcPr>
          <w:p w14:paraId="3685CC92" w14:textId="5F7AA0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095037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1117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47" w:type="dxa"/>
            <w:shd w:val="clear" w:color="auto" w:fill="ED7D31" w:themeFill="accent2"/>
          </w:tcPr>
          <w:p w14:paraId="7DE6FAA8" w14:textId="407FBFD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64" w:type="dxa"/>
            <w:shd w:val="clear" w:color="auto" w:fill="ED7D31" w:themeFill="accent2"/>
          </w:tcPr>
          <w:p w14:paraId="212AEB88" w14:textId="5FC08CEC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8F2AA0" w:rsidRPr="00B25DFD" w14:paraId="69D4AA5B" w14:textId="069A747C" w:rsidTr="00A43A45">
        <w:trPr>
          <w:trHeight w:val="20"/>
        </w:trPr>
        <w:tc>
          <w:tcPr>
            <w:tcW w:w="2699" w:type="dxa"/>
            <w:vAlign w:val="center"/>
            <w:hideMark/>
          </w:tcPr>
          <w:p w14:paraId="2C1CDE46" w14:textId="178D4679" w:rsidR="008F2AA0" w:rsidRPr="006A7A6E" w:rsidRDefault="008F2AA0" w:rsidP="008F2A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016" w:type="dxa"/>
            <w:hideMark/>
          </w:tcPr>
          <w:p w14:paraId="6A87FED7" w14:textId="07642172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3A5AFE">
              <w:rPr>
                <w:rFonts w:cstheme="minorHAnsi"/>
                <w:b/>
                <w:bCs/>
                <w:color w:val="000000" w:themeColor="text1"/>
              </w:rPr>
              <w:t>91.3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5BC053CF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991" w:type="dxa"/>
            <w:hideMark/>
          </w:tcPr>
          <w:p w14:paraId="7E486F05" w14:textId="1AE55306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D7CF0">
              <w:rPr>
                <w:rFonts w:cstheme="minorHAnsi"/>
                <w:b/>
                <w:bCs/>
                <w:color w:val="000000" w:themeColor="text1"/>
              </w:rPr>
              <w:t>6.0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BD808C1" w14:textId="1662797A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D7CF0">
              <w:rPr>
                <w:rFonts w:cstheme="minorHAnsi"/>
                <w:b/>
                <w:bCs/>
                <w:color w:val="000000" w:themeColor="text1"/>
              </w:rPr>
              <w:t>11.6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5678B9E6" w:rsidR="008F2AA0" w:rsidRPr="006A7A6E" w:rsidRDefault="00BD7CF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19.5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62317D86" w14:textId="4533EB76" w:rsidR="008F2AA0" w:rsidRPr="006A7A6E" w:rsidRDefault="00511CD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</w:t>
            </w:r>
            <w:r w:rsidR="008F2AA0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047" w:type="dxa"/>
          </w:tcPr>
          <w:p w14:paraId="5E78B271" w14:textId="7E82F895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D7CF0">
              <w:rPr>
                <w:rFonts w:cstheme="minorHAnsi"/>
                <w:b/>
                <w:bCs/>
                <w:color w:val="000000" w:themeColor="text1"/>
              </w:rPr>
              <w:t>5.4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576290B6" w14:textId="00F700C0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BD7CF0">
              <w:rPr>
                <w:rFonts w:cstheme="minorHAnsi"/>
                <w:b/>
                <w:bCs/>
                <w:color w:val="000000" w:themeColor="text1"/>
              </w:rPr>
              <w:t>19.8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8F2AA0" w:rsidRPr="00B25DFD" w14:paraId="20B4A675" w14:textId="7B567306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vAlign w:val="center"/>
            <w:hideMark/>
          </w:tcPr>
          <w:p w14:paraId="0674F69D" w14:textId="21733F06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016" w:type="dxa"/>
            <w:hideMark/>
          </w:tcPr>
          <w:p w14:paraId="502595AA" w14:textId="2B4546CA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A5AFE">
              <w:rPr>
                <w:rFonts w:cstheme="minorHAnsi"/>
                <w:color w:val="000000" w:themeColor="text1"/>
              </w:rPr>
              <w:t>47.4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23ED3D6A" w:rsidR="008F2AA0" w:rsidRPr="00D96AEE" w:rsidRDefault="00BD7CF0" w:rsidP="00A43A45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51.9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CEB702D" w14:textId="43EBE6B9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7.2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7F3B4AE1" w14:textId="0BCFA573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15.1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2CBA45D3" w:rsidR="008F2AA0" w:rsidRPr="0004266D" w:rsidRDefault="00BD7CF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11.4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385ED4A" w14:textId="4E802A4C" w:rsidR="008F2AA0" w:rsidRPr="00337F18" w:rsidRDefault="00BD7CF0" w:rsidP="00A43A45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58.4</w:t>
            </w:r>
            <w:r w:rsidR="008F2AA0" w:rsidRPr="00D96AEE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76C4AD3" w14:textId="1C8515B0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7.8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107F8B93" w14:textId="34846183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23.3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6060C93B" w14:textId="081A30E4" w:rsidTr="00A43A45">
        <w:trPr>
          <w:trHeight w:val="20"/>
        </w:trPr>
        <w:tc>
          <w:tcPr>
            <w:tcW w:w="2699" w:type="dxa"/>
            <w:vAlign w:val="center"/>
            <w:hideMark/>
          </w:tcPr>
          <w:p w14:paraId="4D628EC6" w14:textId="7F1F9492" w:rsidR="008F2AA0" w:rsidRPr="006A7A6E" w:rsidRDefault="008F2AA0" w:rsidP="008F2AA0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016" w:type="dxa"/>
            <w:hideMark/>
          </w:tcPr>
          <w:p w14:paraId="590C2B94" w14:textId="47D79D1B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A5AFE">
              <w:rPr>
                <w:rFonts w:cstheme="minorHAnsi"/>
                <w:color w:val="000000" w:themeColor="text1"/>
              </w:rPr>
              <w:t>38.0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1E40EFA6" w:rsidR="008F2AA0" w:rsidRPr="00337F18" w:rsidRDefault="00BD7CF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41.7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2F0AAF3" w14:textId="158FBBEE" w:rsidR="008F2AA0" w:rsidRPr="0004266D" w:rsidRDefault="00511CD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5.5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25DB127B" w14:textId="75AF72D4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7.3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23E31983" w:rsidR="008F2AA0" w:rsidRPr="0004266D" w:rsidRDefault="00BD7CF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7.7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39529C18" w14:textId="6B47F7BF" w:rsidR="008F2AA0" w:rsidRPr="00337F18" w:rsidRDefault="00BD7CF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39.4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20478A7" w14:textId="2DDBCFB6" w:rsidR="008F2AA0" w:rsidRPr="0004266D" w:rsidRDefault="00916DE2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2.0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30958CBD" w14:textId="1218F170" w:rsidR="008F2AA0" w:rsidRPr="00D96AEE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14.2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  <w:tr w:rsidR="008F2AA0" w:rsidRPr="00B25DFD" w14:paraId="2B6B448E" w14:textId="7445020D" w:rsidTr="00A43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699" w:type="dxa"/>
            <w:vAlign w:val="center"/>
            <w:hideMark/>
          </w:tcPr>
          <w:p w14:paraId="7C14C062" w14:textId="0BCE1D26" w:rsidR="008F2AA0" w:rsidRPr="006A7A6E" w:rsidRDefault="008F2AA0" w:rsidP="008F2AA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016" w:type="dxa"/>
            <w:hideMark/>
          </w:tcPr>
          <w:p w14:paraId="43257BA5" w14:textId="53E11F50" w:rsidR="008F2AA0" w:rsidRPr="002F23A1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A5AFE">
              <w:rPr>
                <w:rFonts w:cstheme="minorHAnsi"/>
                <w:color w:val="000000" w:themeColor="text1"/>
              </w:rPr>
              <w:t>5.8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125535CF" w:rsidR="008F2AA0" w:rsidRPr="00337F18" w:rsidRDefault="00BD7CF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6.4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10052F27" w14:textId="0C4A437C" w:rsidR="008F2AA0" w:rsidRPr="0004266D" w:rsidRDefault="007946B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BD7CF0">
              <w:rPr>
                <w:rFonts w:cstheme="minorHAnsi"/>
                <w:color w:val="000000" w:themeColor="text1"/>
              </w:rPr>
              <w:t>1.6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1EEA636" w14:textId="45007A9C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8.5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22B8C008" w:rsidR="008F2AA0" w:rsidRPr="0004266D" w:rsidRDefault="00BD7CF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8F2AA0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17DE33D" w14:textId="5553EEB5" w:rsidR="008F2AA0" w:rsidRPr="00337F18" w:rsidRDefault="00BD7CF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</w:t>
            </w:r>
            <w:r w:rsidR="008F2AA0" w:rsidRPr="00337F18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632726C6" w14:textId="4CB73339" w:rsidR="008F2AA0" w:rsidRPr="0004266D" w:rsidRDefault="007946B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+</w:t>
            </w:r>
            <w:r w:rsidR="00BD7CF0">
              <w:rPr>
                <w:rFonts w:cstheme="minorHAnsi"/>
                <w:color w:val="000000" w:themeColor="text1"/>
              </w:rPr>
              <w:t>3.8</w:t>
            </w:r>
            <w:r w:rsidR="008F2AA0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700774A9" w14:textId="3AFDFA45" w:rsidR="008F2AA0" w:rsidRPr="0004266D" w:rsidRDefault="008F2AA0" w:rsidP="008F2AA0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BD7CF0">
              <w:rPr>
                <w:rFonts w:cstheme="minorHAnsi"/>
                <w:color w:val="000000" w:themeColor="text1"/>
              </w:rPr>
              <w:t>16.3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790191AC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7946B0">
        <w:rPr>
          <w:color w:val="7F7F7F" w:themeColor="text1" w:themeTint="80"/>
          <w:sz w:val="16"/>
          <w:szCs w:val="16"/>
        </w:rPr>
        <w:t>11/5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319F5165" w:rsidR="00C9550B" w:rsidRPr="00B11421" w:rsidRDefault="00C9550B" w:rsidP="00174F0E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BD7CF0">
        <w:rPr>
          <w:color w:val="000000" w:themeColor="text1"/>
        </w:rPr>
        <w:t>52.7</w:t>
      </w:r>
      <w:r w:rsidR="00B672D0" w:rsidRPr="00B11421">
        <w:rPr>
          <w:color w:val="000000" w:themeColor="text1"/>
        </w:rPr>
        <w:t>% of total sales in the four-week period</w:t>
      </w:r>
      <w:r w:rsidR="00B11421" w:rsidRPr="00B11421">
        <w:rPr>
          <w:color w:val="000000" w:themeColor="text1"/>
        </w:rPr>
        <w:t xml:space="preserve"> and performed better than 16-ounce packages</w:t>
      </w:r>
      <w:r w:rsidRPr="00B11421">
        <w:rPr>
          <w:color w:val="000000" w:themeColor="text1"/>
        </w:rPr>
        <w:t>.</w:t>
      </w:r>
    </w:p>
    <w:p w14:paraId="5A086945" w14:textId="29D92105" w:rsidR="00B11421" w:rsidRPr="00B11421" w:rsidRDefault="004462C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Organic vs</w:t>
      </w:r>
      <w:r w:rsidR="005B6968" w:rsidRPr="00B11421">
        <w:rPr>
          <w:color w:val="000000" w:themeColor="text1"/>
          <w:u w:val="single"/>
        </w:rPr>
        <w:t>.</w:t>
      </w:r>
      <w:r w:rsidRPr="00B11421">
        <w:rPr>
          <w:color w:val="000000" w:themeColor="text1"/>
          <w:u w:val="single"/>
        </w:rPr>
        <w:t xml:space="preserve"> conventional</w:t>
      </w:r>
      <w:r w:rsidRPr="00B11421">
        <w:rPr>
          <w:color w:val="000000" w:themeColor="text1"/>
        </w:rPr>
        <w:t xml:space="preserve">: Organic </w:t>
      </w:r>
      <w:r w:rsidR="005B6968" w:rsidRPr="00B11421">
        <w:rPr>
          <w:color w:val="000000" w:themeColor="text1"/>
        </w:rPr>
        <w:t xml:space="preserve">mushrooms </w:t>
      </w:r>
      <w:r w:rsidRPr="00B11421">
        <w:rPr>
          <w:color w:val="000000" w:themeColor="text1"/>
        </w:rPr>
        <w:t>made up</w:t>
      </w:r>
      <w:r w:rsidR="007946B0">
        <w:rPr>
          <w:color w:val="000000" w:themeColor="text1"/>
        </w:rPr>
        <w:t xml:space="preserve"> </w:t>
      </w:r>
      <w:r w:rsidR="0083255B">
        <w:rPr>
          <w:color w:val="000000" w:themeColor="text1"/>
        </w:rPr>
        <w:t>10.8</w:t>
      </w:r>
      <w:r w:rsidRPr="00B11421">
        <w:rPr>
          <w:color w:val="000000" w:themeColor="text1"/>
        </w:rPr>
        <w:t xml:space="preserve">% of </w:t>
      </w:r>
      <w:r w:rsidR="00BE7EF2" w:rsidRPr="00B11421">
        <w:rPr>
          <w:color w:val="000000" w:themeColor="text1"/>
        </w:rPr>
        <w:t xml:space="preserve">pounds </w:t>
      </w:r>
      <w:r w:rsidR="004C1DB1" w:rsidRPr="00B11421">
        <w:rPr>
          <w:color w:val="000000" w:themeColor="text1"/>
        </w:rPr>
        <w:t xml:space="preserve">and </w:t>
      </w:r>
      <w:r w:rsidR="00B672D0" w:rsidRPr="00B11421">
        <w:rPr>
          <w:color w:val="000000" w:themeColor="text1"/>
        </w:rPr>
        <w:t>have been an above-average perfo</w:t>
      </w:r>
      <w:r w:rsidR="00B42A49" w:rsidRPr="00B11421">
        <w:rPr>
          <w:color w:val="000000" w:themeColor="text1"/>
        </w:rPr>
        <w:t>rmer</w:t>
      </w:r>
      <w:r w:rsidR="0009067E" w:rsidRPr="00B11421">
        <w:rPr>
          <w:color w:val="000000" w:themeColor="text1"/>
        </w:rPr>
        <w:t xml:space="preserve"> for months</w:t>
      </w:r>
      <w:r w:rsidR="00B42A49" w:rsidRPr="00B11421">
        <w:rPr>
          <w:color w:val="000000" w:themeColor="text1"/>
        </w:rPr>
        <w:t xml:space="preserve">. </w:t>
      </w:r>
      <w:r w:rsidR="0009067E" w:rsidRPr="00B11421">
        <w:rPr>
          <w:color w:val="000000" w:themeColor="text1"/>
        </w:rPr>
        <w:t xml:space="preserve">Over the past 52 weeks, </w:t>
      </w:r>
      <w:r w:rsidR="00B11421" w:rsidRPr="00B11421">
        <w:rPr>
          <w:color w:val="000000" w:themeColor="text1"/>
        </w:rPr>
        <w:t>pound</w:t>
      </w:r>
      <w:r w:rsidR="00B42A49" w:rsidRPr="00B11421">
        <w:rPr>
          <w:color w:val="000000" w:themeColor="text1"/>
        </w:rPr>
        <w:t xml:space="preserve"> sales increased </w:t>
      </w:r>
      <w:r w:rsidR="0083255B">
        <w:rPr>
          <w:color w:val="000000" w:themeColor="text1"/>
        </w:rPr>
        <w:t>0.8</w:t>
      </w:r>
      <w:r w:rsidR="00B42A49" w:rsidRPr="00B11421">
        <w:rPr>
          <w:color w:val="000000" w:themeColor="text1"/>
        </w:rPr>
        <w:t xml:space="preserve">% </w:t>
      </w:r>
      <w:r w:rsidR="0009067E" w:rsidRPr="00B11421">
        <w:rPr>
          <w:color w:val="000000" w:themeColor="text1"/>
        </w:rPr>
        <w:t>fo</w:t>
      </w:r>
      <w:r w:rsidR="00916DE2" w:rsidRPr="00B11421">
        <w:rPr>
          <w:color w:val="000000" w:themeColor="text1"/>
        </w:rPr>
        <w:t>r organic mushrooms</w:t>
      </w:r>
      <w:r w:rsidR="0009067E" w:rsidRPr="00B11421">
        <w:rPr>
          <w:color w:val="000000" w:themeColor="text1"/>
        </w:rPr>
        <w:t>.</w:t>
      </w:r>
    </w:p>
    <w:p w14:paraId="5CC8E748" w14:textId="7DFD8860" w:rsidR="00300A5F" w:rsidRPr="00B11421" w:rsidRDefault="00B1142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D7CF0">
        <w:rPr>
          <w:color w:val="000000" w:themeColor="text1"/>
          <w:u w:val="single"/>
        </w:rPr>
        <w:t>Whole vs. sliced/diced</w:t>
      </w:r>
      <w:r>
        <w:rPr>
          <w:color w:val="000000" w:themeColor="text1"/>
        </w:rPr>
        <w:t>: whole mushrooms are outperforming sliced/cut/diced wi</w:t>
      </w:r>
      <w:r w:rsidR="0083255B">
        <w:rPr>
          <w:color w:val="000000" w:themeColor="text1"/>
        </w:rPr>
        <w:t>th</w:t>
      </w:r>
      <w:r w:rsidR="007946B0">
        <w:rPr>
          <w:color w:val="000000" w:themeColor="text1"/>
        </w:rPr>
        <w:t xml:space="preserve"> volume growth of </w:t>
      </w:r>
      <w:r w:rsidR="00BD7CF0">
        <w:rPr>
          <w:color w:val="000000" w:themeColor="text1"/>
        </w:rPr>
        <w:t>-2.4</w:t>
      </w:r>
      <w:r w:rsidR="007946B0">
        <w:rPr>
          <w:color w:val="000000" w:themeColor="text1"/>
        </w:rPr>
        <w:t>% for no preparation and -</w:t>
      </w:r>
      <w:r w:rsidR="00BD7CF0">
        <w:rPr>
          <w:color w:val="000000" w:themeColor="text1"/>
        </w:rPr>
        <w:t>8.5</w:t>
      </w:r>
      <w:r>
        <w:rPr>
          <w:color w:val="000000" w:themeColor="text1"/>
        </w:rPr>
        <w:t>% for</w:t>
      </w:r>
      <w:r w:rsidR="007946B0">
        <w:rPr>
          <w:color w:val="000000" w:themeColor="text1"/>
        </w:rPr>
        <w:t xml:space="preserve"> cut/sliced, which reflects </w:t>
      </w:r>
      <w:r w:rsidR="00BD7CF0">
        <w:rPr>
          <w:color w:val="000000" w:themeColor="text1"/>
        </w:rPr>
        <w:t>47.5</w:t>
      </w:r>
      <w:r>
        <w:rPr>
          <w:color w:val="000000" w:themeColor="text1"/>
        </w:rPr>
        <w:t xml:space="preserve">% of pound sales. </w:t>
      </w:r>
      <w:r w:rsidR="0009067E" w:rsidRPr="00B11421">
        <w:rPr>
          <w:color w:val="000000" w:themeColor="text1"/>
        </w:rPr>
        <w:t xml:space="preserve"> </w:t>
      </w:r>
    </w:p>
    <w:p w14:paraId="780AB35F" w14:textId="77777777" w:rsidR="000E0D6B" w:rsidRPr="00B11421" w:rsidRDefault="000E0D6B" w:rsidP="00C9550B">
      <w:pPr>
        <w:pStyle w:val="NoSpacing"/>
        <w:rPr>
          <w:color w:val="000000" w:themeColor="text1"/>
          <w:sz w:val="14"/>
          <w:szCs w:val="14"/>
        </w:rPr>
      </w:pPr>
    </w:p>
    <w:p w14:paraId="5DBFDF80" w14:textId="0F232424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7946B0">
        <w:rPr>
          <w:color w:val="7F7F7F" w:themeColor="text1" w:themeTint="80"/>
          <w:sz w:val="16"/>
          <w:szCs w:val="16"/>
        </w:rPr>
        <w:t>11/5</w:t>
      </w:r>
      <w:r w:rsidR="00EB090C">
        <w:rPr>
          <w:color w:val="7F7F7F" w:themeColor="text1" w:themeTint="80"/>
          <w:sz w:val="16"/>
          <w:szCs w:val="16"/>
        </w:rPr>
        <w:t>/2023</w:t>
      </w:r>
      <w:r w:rsidR="00B34EF7">
        <w:t xml:space="preserve"> </w:t>
      </w:r>
    </w:p>
    <w:sectPr w:rsidR="00B34EF7" w:rsidRPr="00B34EF7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14B9" w14:textId="77777777" w:rsidR="003E466E" w:rsidRDefault="003E466E" w:rsidP="004E49DD">
      <w:pPr>
        <w:spacing w:after="0" w:line="240" w:lineRule="auto"/>
      </w:pPr>
      <w:r>
        <w:separator/>
      </w:r>
    </w:p>
  </w:endnote>
  <w:endnote w:type="continuationSeparator" w:id="0">
    <w:p w14:paraId="0B320900" w14:textId="77777777" w:rsidR="003E466E" w:rsidRDefault="003E466E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F6751" w14:textId="77777777" w:rsidR="003E466E" w:rsidRDefault="003E466E" w:rsidP="004E49DD">
      <w:pPr>
        <w:spacing w:after="0" w:line="240" w:lineRule="auto"/>
      </w:pPr>
      <w:r>
        <w:separator/>
      </w:r>
    </w:p>
  </w:footnote>
  <w:footnote w:type="continuationSeparator" w:id="0">
    <w:p w14:paraId="4388EA81" w14:textId="77777777" w:rsidR="003E466E" w:rsidRDefault="003E466E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4496283">
    <w:abstractNumId w:val="8"/>
  </w:num>
  <w:num w:numId="2" w16cid:durableId="960719812">
    <w:abstractNumId w:val="10"/>
  </w:num>
  <w:num w:numId="3" w16cid:durableId="397476845">
    <w:abstractNumId w:val="12"/>
  </w:num>
  <w:num w:numId="4" w16cid:durableId="1636594385">
    <w:abstractNumId w:val="4"/>
  </w:num>
  <w:num w:numId="5" w16cid:durableId="1221332816">
    <w:abstractNumId w:val="15"/>
  </w:num>
  <w:num w:numId="6" w16cid:durableId="210846858">
    <w:abstractNumId w:val="11"/>
  </w:num>
  <w:num w:numId="7" w16cid:durableId="345324767">
    <w:abstractNumId w:val="6"/>
  </w:num>
  <w:num w:numId="8" w16cid:durableId="573517856">
    <w:abstractNumId w:val="3"/>
  </w:num>
  <w:num w:numId="9" w16cid:durableId="1087920509">
    <w:abstractNumId w:val="1"/>
  </w:num>
  <w:num w:numId="10" w16cid:durableId="576979217">
    <w:abstractNumId w:val="14"/>
  </w:num>
  <w:num w:numId="11" w16cid:durableId="1592397196">
    <w:abstractNumId w:val="2"/>
  </w:num>
  <w:num w:numId="12" w16cid:durableId="1595475728">
    <w:abstractNumId w:val="13"/>
  </w:num>
  <w:num w:numId="13" w16cid:durableId="2080514984">
    <w:abstractNumId w:val="5"/>
  </w:num>
  <w:num w:numId="14" w16cid:durableId="1339112171">
    <w:abstractNumId w:val="7"/>
  </w:num>
  <w:num w:numId="15" w16cid:durableId="24412012">
    <w:abstractNumId w:val="17"/>
  </w:num>
  <w:num w:numId="16" w16cid:durableId="177819253">
    <w:abstractNumId w:val="0"/>
  </w:num>
  <w:num w:numId="17" w16cid:durableId="947617627">
    <w:abstractNumId w:val="9"/>
  </w:num>
  <w:num w:numId="18" w16cid:durableId="9451624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14870"/>
    <w:rsid w:val="00015E7B"/>
    <w:rsid w:val="00026928"/>
    <w:rsid w:val="00030ABF"/>
    <w:rsid w:val="00035D16"/>
    <w:rsid w:val="00040942"/>
    <w:rsid w:val="0004266D"/>
    <w:rsid w:val="00047054"/>
    <w:rsid w:val="00052654"/>
    <w:rsid w:val="0005390A"/>
    <w:rsid w:val="00057984"/>
    <w:rsid w:val="00070F7C"/>
    <w:rsid w:val="0007328F"/>
    <w:rsid w:val="00074705"/>
    <w:rsid w:val="0007660D"/>
    <w:rsid w:val="000809C3"/>
    <w:rsid w:val="00085508"/>
    <w:rsid w:val="00085F10"/>
    <w:rsid w:val="0009067E"/>
    <w:rsid w:val="000A4146"/>
    <w:rsid w:val="000C1DF9"/>
    <w:rsid w:val="000C29FA"/>
    <w:rsid w:val="000C3CC4"/>
    <w:rsid w:val="000D5A69"/>
    <w:rsid w:val="000D7A79"/>
    <w:rsid w:val="000E0D6B"/>
    <w:rsid w:val="000E2A1D"/>
    <w:rsid w:val="000E537C"/>
    <w:rsid w:val="000E61FF"/>
    <w:rsid w:val="001055A7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64656"/>
    <w:rsid w:val="00170260"/>
    <w:rsid w:val="00184281"/>
    <w:rsid w:val="001A4D44"/>
    <w:rsid w:val="001A601E"/>
    <w:rsid w:val="001B1351"/>
    <w:rsid w:val="001B18A2"/>
    <w:rsid w:val="001B762B"/>
    <w:rsid w:val="001D16CA"/>
    <w:rsid w:val="001D2675"/>
    <w:rsid w:val="001D4C76"/>
    <w:rsid w:val="00200AD1"/>
    <w:rsid w:val="00221F2D"/>
    <w:rsid w:val="002225C6"/>
    <w:rsid w:val="00224A21"/>
    <w:rsid w:val="002253FE"/>
    <w:rsid w:val="0022580E"/>
    <w:rsid w:val="00232F2D"/>
    <w:rsid w:val="00240137"/>
    <w:rsid w:val="002437CE"/>
    <w:rsid w:val="00251BBC"/>
    <w:rsid w:val="00264EDA"/>
    <w:rsid w:val="002712E8"/>
    <w:rsid w:val="00276C09"/>
    <w:rsid w:val="00277D7C"/>
    <w:rsid w:val="00281498"/>
    <w:rsid w:val="00283DB2"/>
    <w:rsid w:val="00291F75"/>
    <w:rsid w:val="00292678"/>
    <w:rsid w:val="002B3879"/>
    <w:rsid w:val="002B7DCE"/>
    <w:rsid w:val="002B7E48"/>
    <w:rsid w:val="002E2CD2"/>
    <w:rsid w:val="002F23A1"/>
    <w:rsid w:val="00300A5F"/>
    <w:rsid w:val="003045B7"/>
    <w:rsid w:val="003070A2"/>
    <w:rsid w:val="0031233D"/>
    <w:rsid w:val="00312734"/>
    <w:rsid w:val="00314DA1"/>
    <w:rsid w:val="00322039"/>
    <w:rsid w:val="003223C7"/>
    <w:rsid w:val="00323F77"/>
    <w:rsid w:val="003263AC"/>
    <w:rsid w:val="00337F18"/>
    <w:rsid w:val="00347118"/>
    <w:rsid w:val="00347E3A"/>
    <w:rsid w:val="003534A1"/>
    <w:rsid w:val="003621B3"/>
    <w:rsid w:val="00362BB1"/>
    <w:rsid w:val="003648C5"/>
    <w:rsid w:val="00375863"/>
    <w:rsid w:val="00395541"/>
    <w:rsid w:val="00396448"/>
    <w:rsid w:val="003A3323"/>
    <w:rsid w:val="003A5AFE"/>
    <w:rsid w:val="003C014B"/>
    <w:rsid w:val="003C1DD2"/>
    <w:rsid w:val="003C4CCE"/>
    <w:rsid w:val="003C72DD"/>
    <w:rsid w:val="003D184D"/>
    <w:rsid w:val="003D3BDA"/>
    <w:rsid w:val="003D6A0F"/>
    <w:rsid w:val="003E466E"/>
    <w:rsid w:val="003E61D0"/>
    <w:rsid w:val="003E75D3"/>
    <w:rsid w:val="003F77CF"/>
    <w:rsid w:val="00403666"/>
    <w:rsid w:val="00406762"/>
    <w:rsid w:val="00417945"/>
    <w:rsid w:val="00421D7D"/>
    <w:rsid w:val="00423CCF"/>
    <w:rsid w:val="00445779"/>
    <w:rsid w:val="004462C1"/>
    <w:rsid w:val="00451263"/>
    <w:rsid w:val="00455F77"/>
    <w:rsid w:val="0045625B"/>
    <w:rsid w:val="00461D8C"/>
    <w:rsid w:val="00467FB5"/>
    <w:rsid w:val="00471DC7"/>
    <w:rsid w:val="00472B02"/>
    <w:rsid w:val="0047570E"/>
    <w:rsid w:val="00476A3C"/>
    <w:rsid w:val="00476C12"/>
    <w:rsid w:val="00483711"/>
    <w:rsid w:val="00485429"/>
    <w:rsid w:val="00487F75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4C4D"/>
    <w:rsid w:val="00504377"/>
    <w:rsid w:val="00504861"/>
    <w:rsid w:val="005049A9"/>
    <w:rsid w:val="00511CD0"/>
    <w:rsid w:val="00525F06"/>
    <w:rsid w:val="00526E95"/>
    <w:rsid w:val="00527BE9"/>
    <w:rsid w:val="00535D22"/>
    <w:rsid w:val="0054182D"/>
    <w:rsid w:val="00541AFF"/>
    <w:rsid w:val="00543607"/>
    <w:rsid w:val="0055095F"/>
    <w:rsid w:val="00552C5D"/>
    <w:rsid w:val="005547EE"/>
    <w:rsid w:val="00555250"/>
    <w:rsid w:val="005571F3"/>
    <w:rsid w:val="00562346"/>
    <w:rsid w:val="0056284A"/>
    <w:rsid w:val="0059588E"/>
    <w:rsid w:val="005A3316"/>
    <w:rsid w:val="005A54F2"/>
    <w:rsid w:val="005B1FEE"/>
    <w:rsid w:val="005B6968"/>
    <w:rsid w:val="005C6AEE"/>
    <w:rsid w:val="005C75C7"/>
    <w:rsid w:val="005E1A66"/>
    <w:rsid w:val="005E212C"/>
    <w:rsid w:val="005E5127"/>
    <w:rsid w:val="005F1173"/>
    <w:rsid w:val="006035CB"/>
    <w:rsid w:val="00606FA3"/>
    <w:rsid w:val="00615709"/>
    <w:rsid w:val="00617504"/>
    <w:rsid w:val="00620ED9"/>
    <w:rsid w:val="00621E2A"/>
    <w:rsid w:val="00632993"/>
    <w:rsid w:val="00645A58"/>
    <w:rsid w:val="006617FB"/>
    <w:rsid w:val="006636C7"/>
    <w:rsid w:val="00666D40"/>
    <w:rsid w:val="006673B8"/>
    <w:rsid w:val="0066746E"/>
    <w:rsid w:val="00677889"/>
    <w:rsid w:val="00684918"/>
    <w:rsid w:val="00694050"/>
    <w:rsid w:val="00697E4D"/>
    <w:rsid w:val="006A1766"/>
    <w:rsid w:val="006A7A6E"/>
    <w:rsid w:val="006C6780"/>
    <w:rsid w:val="006E50F3"/>
    <w:rsid w:val="006F1F55"/>
    <w:rsid w:val="006F64AE"/>
    <w:rsid w:val="006F765A"/>
    <w:rsid w:val="00706FA9"/>
    <w:rsid w:val="007070AC"/>
    <w:rsid w:val="0071051A"/>
    <w:rsid w:val="007106F4"/>
    <w:rsid w:val="00730897"/>
    <w:rsid w:val="00731BCD"/>
    <w:rsid w:val="00734289"/>
    <w:rsid w:val="007501A6"/>
    <w:rsid w:val="00752CD4"/>
    <w:rsid w:val="007764C7"/>
    <w:rsid w:val="00782D09"/>
    <w:rsid w:val="00785D0D"/>
    <w:rsid w:val="00787BBD"/>
    <w:rsid w:val="007946B0"/>
    <w:rsid w:val="00795483"/>
    <w:rsid w:val="007A01C9"/>
    <w:rsid w:val="007A0B40"/>
    <w:rsid w:val="007A67D7"/>
    <w:rsid w:val="007B4A25"/>
    <w:rsid w:val="007C6DB2"/>
    <w:rsid w:val="007D30DA"/>
    <w:rsid w:val="007D3393"/>
    <w:rsid w:val="007D33D8"/>
    <w:rsid w:val="007D3D1C"/>
    <w:rsid w:val="007F098A"/>
    <w:rsid w:val="007F1F55"/>
    <w:rsid w:val="007F35D3"/>
    <w:rsid w:val="007F7149"/>
    <w:rsid w:val="007F7823"/>
    <w:rsid w:val="00802E32"/>
    <w:rsid w:val="00826014"/>
    <w:rsid w:val="0083255B"/>
    <w:rsid w:val="00832F0A"/>
    <w:rsid w:val="00837283"/>
    <w:rsid w:val="00851AC9"/>
    <w:rsid w:val="0086198D"/>
    <w:rsid w:val="0086536E"/>
    <w:rsid w:val="00866A7D"/>
    <w:rsid w:val="00873884"/>
    <w:rsid w:val="008815E3"/>
    <w:rsid w:val="008857EE"/>
    <w:rsid w:val="008A084A"/>
    <w:rsid w:val="008A1DBB"/>
    <w:rsid w:val="008A56E2"/>
    <w:rsid w:val="008B128D"/>
    <w:rsid w:val="008B46B0"/>
    <w:rsid w:val="008B633D"/>
    <w:rsid w:val="008B6971"/>
    <w:rsid w:val="008B7FFD"/>
    <w:rsid w:val="008C7975"/>
    <w:rsid w:val="008D2A88"/>
    <w:rsid w:val="008D3EBE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62D0"/>
    <w:rsid w:val="0094103D"/>
    <w:rsid w:val="00941C01"/>
    <w:rsid w:val="0094219B"/>
    <w:rsid w:val="009442FF"/>
    <w:rsid w:val="00956FE2"/>
    <w:rsid w:val="00957F25"/>
    <w:rsid w:val="00972570"/>
    <w:rsid w:val="00975AF5"/>
    <w:rsid w:val="00977F7F"/>
    <w:rsid w:val="00986D1F"/>
    <w:rsid w:val="009B0330"/>
    <w:rsid w:val="009B3A61"/>
    <w:rsid w:val="009B71AE"/>
    <w:rsid w:val="009B7AC3"/>
    <w:rsid w:val="009D5574"/>
    <w:rsid w:val="009D6711"/>
    <w:rsid w:val="009F6363"/>
    <w:rsid w:val="00A00697"/>
    <w:rsid w:val="00A050F9"/>
    <w:rsid w:val="00A13601"/>
    <w:rsid w:val="00A142BB"/>
    <w:rsid w:val="00A14586"/>
    <w:rsid w:val="00A14C2B"/>
    <w:rsid w:val="00A30FD1"/>
    <w:rsid w:val="00A337DE"/>
    <w:rsid w:val="00A41711"/>
    <w:rsid w:val="00A43A45"/>
    <w:rsid w:val="00A45D51"/>
    <w:rsid w:val="00A50806"/>
    <w:rsid w:val="00A5084B"/>
    <w:rsid w:val="00A51F5B"/>
    <w:rsid w:val="00A52411"/>
    <w:rsid w:val="00A52B14"/>
    <w:rsid w:val="00A52EB4"/>
    <w:rsid w:val="00A53BAA"/>
    <w:rsid w:val="00A542DA"/>
    <w:rsid w:val="00A657C4"/>
    <w:rsid w:val="00A668C3"/>
    <w:rsid w:val="00A70428"/>
    <w:rsid w:val="00A72B72"/>
    <w:rsid w:val="00A94A88"/>
    <w:rsid w:val="00A95B14"/>
    <w:rsid w:val="00A96E20"/>
    <w:rsid w:val="00AA721E"/>
    <w:rsid w:val="00AB06EA"/>
    <w:rsid w:val="00AC2BFD"/>
    <w:rsid w:val="00AC2C09"/>
    <w:rsid w:val="00AC5D3F"/>
    <w:rsid w:val="00AD30B8"/>
    <w:rsid w:val="00AD7044"/>
    <w:rsid w:val="00AE0F54"/>
    <w:rsid w:val="00AE32A2"/>
    <w:rsid w:val="00AE7908"/>
    <w:rsid w:val="00AF14BD"/>
    <w:rsid w:val="00AF55E3"/>
    <w:rsid w:val="00AF5F52"/>
    <w:rsid w:val="00B01FA0"/>
    <w:rsid w:val="00B03343"/>
    <w:rsid w:val="00B0627A"/>
    <w:rsid w:val="00B11421"/>
    <w:rsid w:val="00B135D9"/>
    <w:rsid w:val="00B13706"/>
    <w:rsid w:val="00B1715B"/>
    <w:rsid w:val="00B24BBD"/>
    <w:rsid w:val="00B25DFD"/>
    <w:rsid w:val="00B33A73"/>
    <w:rsid w:val="00B34EF7"/>
    <w:rsid w:val="00B362B8"/>
    <w:rsid w:val="00B40C43"/>
    <w:rsid w:val="00B42A49"/>
    <w:rsid w:val="00B42A84"/>
    <w:rsid w:val="00B542D1"/>
    <w:rsid w:val="00B562D5"/>
    <w:rsid w:val="00B66E92"/>
    <w:rsid w:val="00B672D0"/>
    <w:rsid w:val="00B8232B"/>
    <w:rsid w:val="00B9392A"/>
    <w:rsid w:val="00B96FC1"/>
    <w:rsid w:val="00B979CF"/>
    <w:rsid w:val="00BB03F4"/>
    <w:rsid w:val="00BB197D"/>
    <w:rsid w:val="00BC1A46"/>
    <w:rsid w:val="00BC34B2"/>
    <w:rsid w:val="00BD7CF0"/>
    <w:rsid w:val="00BE7EF2"/>
    <w:rsid w:val="00BF2F6B"/>
    <w:rsid w:val="00BF3DAE"/>
    <w:rsid w:val="00BF5D9C"/>
    <w:rsid w:val="00BF713B"/>
    <w:rsid w:val="00C00809"/>
    <w:rsid w:val="00C00CFD"/>
    <w:rsid w:val="00C0288B"/>
    <w:rsid w:val="00C12877"/>
    <w:rsid w:val="00C12E18"/>
    <w:rsid w:val="00C329D7"/>
    <w:rsid w:val="00C3770B"/>
    <w:rsid w:val="00C422D1"/>
    <w:rsid w:val="00C469D3"/>
    <w:rsid w:val="00C61921"/>
    <w:rsid w:val="00C65479"/>
    <w:rsid w:val="00C71FDD"/>
    <w:rsid w:val="00C72284"/>
    <w:rsid w:val="00C81CBF"/>
    <w:rsid w:val="00C8545B"/>
    <w:rsid w:val="00C92074"/>
    <w:rsid w:val="00C954F2"/>
    <w:rsid w:val="00C9550B"/>
    <w:rsid w:val="00CB0BBD"/>
    <w:rsid w:val="00CB4067"/>
    <w:rsid w:val="00CB592A"/>
    <w:rsid w:val="00CB6109"/>
    <w:rsid w:val="00CE27CF"/>
    <w:rsid w:val="00CE4BEB"/>
    <w:rsid w:val="00CE621C"/>
    <w:rsid w:val="00D03B05"/>
    <w:rsid w:val="00D1241B"/>
    <w:rsid w:val="00D131C5"/>
    <w:rsid w:val="00D14991"/>
    <w:rsid w:val="00D2073F"/>
    <w:rsid w:val="00D22E21"/>
    <w:rsid w:val="00D26DE8"/>
    <w:rsid w:val="00D305A5"/>
    <w:rsid w:val="00D31C81"/>
    <w:rsid w:val="00D44344"/>
    <w:rsid w:val="00D4752E"/>
    <w:rsid w:val="00D55AB1"/>
    <w:rsid w:val="00D66EF8"/>
    <w:rsid w:val="00D81FBA"/>
    <w:rsid w:val="00D8225F"/>
    <w:rsid w:val="00D8798E"/>
    <w:rsid w:val="00D9097A"/>
    <w:rsid w:val="00D96AEE"/>
    <w:rsid w:val="00D97BC7"/>
    <w:rsid w:val="00DB764D"/>
    <w:rsid w:val="00DD58ED"/>
    <w:rsid w:val="00DD59DA"/>
    <w:rsid w:val="00DE4C4C"/>
    <w:rsid w:val="00E20285"/>
    <w:rsid w:val="00E20E22"/>
    <w:rsid w:val="00E22317"/>
    <w:rsid w:val="00E229C8"/>
    <w:rsid w:val="00E23359"/>
    <w:rsid w:val="00E26986"/>
    <w:rsid w:val="00E26AD1"/>
    <w:rsid w:val="00E34CF4"/>
    <w:rsid w:val="00E37DF5"/>
    <w:rsid w:val="00E4438B"/>
    <w:rsid w:val="00E477C3"/>
    <w:rsid w:val="00E508BB"/>
    <w:rsid w:val="00E54683"/>
    <w:rsid w:val="00E57C49"/>
    <w:rsid w:val="00E629E0"/>
    <w:rsid w:val="00E65269"/>
    <w:rsid w:val="00E65A4C"/>
    <w:rsid w:val="00E758A0"/>
    <w:rsid w:val="00E81634"/>
    <w:rsid w:val="00E85C62"/>
    <w:rsid w:val="00EA0CB5"/>
    <w:rsid w:val="00EB090C"/>
    <w:rsid w:val="00EB30C7"/>
    <w:rsid w:val="00ED0859"/>
    <w:rsid w:val="00ED2B2E"/>
    <w:rsid w:val="00EE6AB6"/>
    <w:rsid w:val="00EF1E09"/>
    <w:rsid w:val="00EF20EE"/>
    <w:rsid w:val="00EF25E4"/>
    <w:rsid w:val="00F02776"/>
    <w:rsid w:val="00F0742E"/>
    <w:rsid w:val="00F16E5F"/>
    <w:rsid w:val="00F24969"/>
    <w:rsid w:val="00F26DD2"/>
    <w:rsid w:val="00F273C5"/>
    <w:rsid w:val="00F40BC0"/>
    <w:rsid w:val="00F4460A"/>
    <w:rsid w:val="00F47EA1"/>
    <w:rsid w:val="00F55228"/>
    <w:rsid w:val="00F57DFC"/>
    <w:rsid w:val="00F71485"/>
    <w:rsid w:val="00F800A5"/>
    <w:rsid w:val="00F86B08"/>
    <w:rsid w:val="00F93404"/>
    <w:rsid w:val="00F96C98"/>
    <w:rsid w:val="00FA1CDF"/>
    <w:rsid w:val="00FB15C0"/>
    <w:rsid w:val="00FC364A"/>
    <w:rsid w:val="00FC53C7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Craig M</cp:lastModifiedBy>
  <cp:revision>11</cp:revision>
  <dcterms:created xsi:type="dcterms:W3CDTF">2023-11-17T10:48:00Z</dcterms:created>
  <dcterms:modified xsi:type="dcterms:W3CDTF">2023-11-26T17:43:00Z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