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7C44EFA9">
            <wp:simplePos x="0" y="0"/>
            <wp:positionH relativeFrom="margin">
              <wp:align>center</wp:align>
            </wp:positionH>
            <wp:positionV relativeFrom="paragraph">
              <wp:posOffset>-22860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7265CCC7"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w:t>
      </w:r>
      <w:r w:rsidR="00AE32A2">
        <w:rPr>
          <w:sz w:val="44"/>
          <w:szCs w:val="44"/>
        </w:rPr>
        <w:t xml:space="preserve"> and 52</w:t>
      </w:r>
      <w:r w:rsidR="000C3CC4" w:rsidRPr="000C3CC4">
        <w:rPr>
          <w:sz w:val="44"/>
          <w:szCs w:val="44"/>
        </w:rPr>
        <w:t xml:space="preserve"> </w:t>
      </w:r>
      <w:proofErr w:type="spellStart"/>
      <w:r w:rsidR="000C3CC4" w:rsidRPr="000C3CC4">
        <w:rPr>
          <w:sz w:val="44"/>
          <w:szCs w:val="44"/>
        </w:rPr>
        <w:t>w</w:t>
      </w:r>
      <w:r w:rsidR="00D22E21">
        <w:rPr>
          <w:sz w:val="44"/>
          <w:szCs w:val="44"/>
        </w:rPr>
        <w:t>.e</w:t>
      </w:r>
      <w:proofErr w:type="spellEnd"/>
      <w:r w:rsidR="00D22E21">
        <w:rPr>
          <w:sz w:val="44"/>
          <w:szCs w:val="44"/>
        </w:rPr>
        <w:t>.</w:t>
      </w:r>
      <w:r w:rsidR="000C3CC4" w:rsidRPr="000C3CC4">
        <w:rPr>
          <w:sz w:val="44"/>
          <w:szCs w:val="44"/>
        </w:rPr>
        <w:t xml:space="preserve"> </w:t>
      </w:r>
      <w:r w:rsidR="00CE4BEB">
        <w:rPr>
          <w:sz w:val="44"/>
          <w:szCs w:val="44"/>
        </w:rPr>
        <w:t>8.13</w:t>
      </w:r>
      <w:r w:rsidR="00445779">
        <w:rPr>
          <w:sz w:val="44"/>
          <w:szCs w:val="44"/>
        </w:rPr>
        <w:t>.2023</w:t>
      </w:r>
    </w:p>
    <w:p w14:paraId="022A5B42" w14:textId="605814EC" w:rsidR="00B34EF7" w:rsidRDefault="00B34EF7" w:rsidP="00B34EF7">
      <w:pPr>
        <w:pStyle w:val="NoSpacing"/>
      </w:pPr>
    </w:p>
    <w:p w14:paraId="5B083E85" w14:textId="1C563AAF" w:rsidR="00F86B08" w:rsidRDefault="00F86B08" w:rsidP="00927EAC">
      <w:pPr>
        <w:pStyle w:val="Heading2"/>
        <w:rPr>
          <w:b/>
          <w:bCs/>
          <w:color w:val="ED7D31" w:themeColor="accent2"/>
        </w:rPr>
      </w:pPr>
      <w:r>
        <w:rPr>
          <w:b/>
          <w:bCs/>
          <w:color w:val="ED7D31" w:themeColor="accent2"/>
        </w:rPr>
        <w:t>The Marketplace</w:t>
      </w:r>
    </w:p>
    <w:p w14:paraId="7634D4F6" w14:textId="55207808" w:rsidR="008C7975" w:rsidRDefault="008C7975" w:rsidP="00526E95">
      <w:pPr>
        <w:pStyle w:val="NoSpacing"/>
      </w:pPr>
      <w:proofErr w:type="spellStart"/>
      <w:r>
        <w:t>Circana’s</w:t>
      </w:r>
      <w:proofErr w:type="spellEnd"/>
      <w:r>
        <w:t xml:space="preserve"> (formerly IRI) July sales numbers show little to no uptick in unit and volume sales despite it being the fourth consecutive month in which the rate of inflation cooled into the single digits. Only one department did manage to grow pounds year-on-year, and that was produce. </w:t>
      </w:r>
      <w:r w:rsidR="00A050F9">
        <w:t xml:space="preserve">July’s strength in fresh produce sales came from a very strong July Fourth holiday week in which pounds jumped 4.5% above year-ago levels on high demand and retailers investing in price. </w:t>
      </w:r>
    </w:p>
    <w:p w14:paraId="5DCE869F" w14:textId="77777777" w:rsidR="00A050F9" w:rsidRPr="007D3393" w:rsidRDefault="00A050F9" w:rsidP="00526E95">
      <w:pPr>
        <w:pStyle w:val="NoSpacing"/>
        <w:rPr>
          <w:rFonts w:cstheme="minorHAnsi"/>
        </w:rPr>
      </w:pPr>
    </w:p>
    <w:p w14:paraId="0647D172" w14:textId="6AD3E57C" w:rsidR="00A050F9" w:rsidRPr="007D3393" w:rsidRDefault="00A050F9" w:rsidP="00A050F9">
      <w:pPr>
        <w:pStyle w:val="NoSpacing"/>
        <w:numPr>
          <w:ilvl w:val="0"/>
          <w:numId w:val="18"/>
        </w:numPr>
        <w:rPr>
          <w:rFonts w:cstheme="minorHAnsi"/>
        </w:rPr>
      </w:pPr>
      <w:r w:rsidRPr="007D3393">
        <w:rPr>
          <w:rFonts w:cstheme="minorHAnsi"/>
        </w:rPr>
        <w:t>Home</w:t>
      </w:r>
      <w:r w:rsidR="007D3393">
        <w:rPr>
          <w:rFonts w:cstheme="minorHAnsi"/>
        </w:rPr>
        <w:t xml:space="preserve"> </w:t>
      </w:r>
      <w:r w:rsidRPr="007D3393">
        <w:rPr>
          <w:rFonts w:cstheme="minorHAnsi"/>
        </w:rPr>
        <w:t>cooking is traditionally somewhat more subdued in the summer and</w:t>
      </w:r>
      <w:r w:rsidR="00802E32" w:rsidRPr="007D3393">
        <w:rPr>
          <w:rFonts w:cstheme="minorHAnsi"/>
        </w:rPr>
        <w:t xml:space="preserve"> grocery</w:t>
      </w:r>
      <w:r w:rsidRPr="007D3393">
        <w:rPr>
          <w:rFonts w:cstheme="minorHAnsi"/>
        </w:rPr>
        <w:t xml:space="preserve"> deli-prepared sales stepped up </w:t>
      </w:r>
      <w:r w:rsidR="00802E32" w:rsidRPr="007D3393">
        <w:rPr>
          <w:rFonts w:cstheme="minorHAnsi"/>
        </w:rPr>
        <w:t xml:space="preserve">with big gains in entrees, salads, prepared meats, sandwiches, </w:t>
      </w:r>
      <w:r w:rsidR="007D3393">
        <w:rPr>
          <w:rFonts w:cstheme="minorHAnsi"/>
        </w:rPr>
        <w:t xml:space="preserve">and </w:t>
      </w:r>
      <w:r w:rsidR="00802E32" w:rsidRPr="007D3393">
        <w:rPr>
          <w:rFonts w:cstheme="minorHAnsi"/>
        </w:rPr>
        <w:t xml:space="preserve">above all, pizza. Deli-prepared pizza unit sales increased 8.9% in July and 10.6% over the latest 52 weeks. </w:t>
      </w:r>
      <w:r w:rsidR="007D3393">
        <w:rPr>
          <w:rFonts w:cstheme="minorHAnsi"/>
        </w:rPr>
        <w:t>This includes pizza sold by the slice as well as fully-cooked and ready-to-cook pizzas</w:t>
      </w:r>
      <w:r w:rsidR="0031233D">
        <w:rPr>
          <w:rFonts w:cstheme="minorHAnsi"/>
        </w:rPr>
        <w:t xml:space="preserve"> — underscoring the opportunity to optimize mushroom’s presence on the deli-prepared side of the store. </w:t>
      </w:r>
    </w:p>
    <w:p w14:paraId="0B74E287" w14:textId="7287384A" w:rsidR="00802E32" w:rsidRPr="007D3393" w:rsidRDefault="00802E32" w:rsidP="00A050F9">
      <w:pPr>
        <w:pStyle w:val="NoSpacing"/>
        <w:numPr>
          <w:ilvl w:val="0"/>
          <w:numId w:val="18"/>
        </w:numPr>
        <w:rPr>
          <w:rFonts w:cstheme="minorHAnsi"/>
        </w:rPr>
      </w:pPr>
      <w:r w:rsidRPr="007D3393">
        <w:rPr>
          <w:rFonts w:cstheme="minorHAnsi"/>
        </w:rPr>
        <w:t xml:space="preserve">Consumers also enjoyed restaurant meals, with takeout (45% of consumers at least once) and delivery (16%) making up a larger share of meals than on-premise dining (49%). </w:t>
      </w:r>
    </w:p>
    <w:p w14:paraId="5C29B119" w14:textId="0D5132C2" w:rsidR="008C7975" w:rsidRDefault="00802E32" w:rsidP="006254E1">
      <w:pPr>
        <w:pStyle w:val="NoSpacing"/>
        <w:numPr>
          <w:ilvl w:val="0"/>
          <w:numId w:val="18"/>
        </w:numPr>
      </w:pPr>
      <w:r w:rsidRPr="007D3393">
        <w:rPr>
          <w:rFonts w:cstheme="minorHAnsi"/>
        </w:rPr>
        <w:t xml:space="preserve">Although the rate of inflation has moderated, 89% of consumers still perceive grocery prices as being much (60%) or somewhat higher (29%) when compared to last year and 95% remain concerned over their ability to afford groceries. This has 53% of consumers chasing grocery specials, 46% cutting back on non-essentials and 31% switching to private brands, coupons or switching to lower-cost brands versus what they normally buy. </w:t>
      </w:r>
      <w:r w:rsidR="007D3393">
        <w:rPr>
          <w:rFonts w:cstheme="minorHAnsi"/>
        </w:rPr>
        <w:t>Across categories, private brand sales are experiencing an above-average performance.</w:t>
      </w:r>
    </w:p>
    <w:p w14:paraId="75CE99B0" w14:textId="77777777" w:rsidR="009B3A61" w:rsidRPr="009B3A61" w:rsidRDefault="009B3A61" w:rsidP="009B3A61">
      <w:pPr>
        <w:pStyle w:val="NoSpacing"/>
        <w:ind w:left="360"/>
      </w:pPr>
    </w:p>
    <w:p w14:paraId="737234D5" w14:textId="4AE85878" w:rsidR="00927EAC" w:rsidRPr="00927EAC" w:rsidRDefault="007D3393" w:rsidP="00927EAC">
      <w:pPr>
        <w:pStyle w:val="Heading2"/>
        <w:rPr>
          <w:b/>
          <w:bCs/>
          <w:color w:val="ED7D31" w:themeColor="accent2"/>
        </w:rPr>
      </w:pPr>
      <w:r>
        <w:rPr>
          <w:b/>
          <w:bCs/>
          <w:color w:val="ED7D31" w:themeColor="accent2"/>
        </w:rPr>
        <w:t xml:space="preserve">Fresh Mushroom </w:t>
      </w:r>
      <w:r w:rsidR="00927EAC" w:rsidRPr="00927EAC">
        <w:rPr>
          <w:b/>
          <w:bCs/>
          <w:color w:val="ED7D31" w:themeColor="accent2"/>
        </w:rPr>
        <w:t>Dollars, Units and Volume Performance</w:t>
      </w:r>
    </w:p>
    <w:p w14:paraId="47797D03" w14:textId="397C3FA0" w:rsidR="00472B02" w:rsidRDefault="007D3393" w:rsidP="00472B02">
      <w:pPr>
        <w:pStyle w:val="NoSpacing"/>
      </w:pPr>
      <w:r>
        <w:t xml:space="preserve">After several months of inflation, retailers invested in price on the fruit side. Fresh vegetables did continue to have slight inflation, while fresh mushroom prices came down slightly, at -0.3%. Regardless, the fresh mushroom patterns followed that of the total store in the quad-week period, with unit </w:t>
      </w:r>
      <w:r w:rsidR="009B71AE">
        <w:t xml:space="preserve">and volume declines during the shorter and longer time periods. </w:t>
      </w:r>
      <w:r w:rsidR="009D6711">
        <w:t>In the latest four weeks, volume</w:t>
      </w:r>
      <w:r w:rsidR="0059588E">
        <w:t xml:space="preserve"> declines stayed </w:t>
      </w:r>
      <w:r w:rsidR="009B3A61">
        <w:t xml:space="preserve">around </w:t>
      </w:r>
      <w:r w:rsidR="00323F77">
        <w:t>4</w:t>
      </w:r>
      <w:r w:rsidR="0059588E">
        <w:t xml:space="preserve"> points</w:t>
      </w:r>
      <w:r w:rsidR="009D6711">
        <w:t xml:space="preserve"> of year ago levels.</w:t>
      </w:r>
      <w:r w:rsidR="006A1766">
        <w:t xml:space="preserve"> Importantly</w:t>
      </w:r>
      <w:r w:rsidR="009D6711">
        <w:t>, volume declines are moderating in comparison with the 52-week</w:t>
      </w:r>
      <w:r w:rsidR="00B42A49">
        <w:t xml:space="preserve"> look that shows pounds down </w:t>
      </w:r>
      <w:r w:rsidR="00323F77">
        <w:t>5.6</w:t>
      </w:r>
      <w:r w:rsidR="004C088A">
        <w:t>%</w:t>
      </w:r>
      <w:r w:rsidR="009D6711">
        <w:t xml:space="preserve">. </w:t>
      </w:r>
    </w:p>
    <w:p w14:paraId="40FAA348" w14:textId="6A56CCC2" w:rsidR="00AD7044" w:rsidRDefault="00AD7044" w:rsidP="00472B02">
      <w:pPr>
        <w:pStyle w:val="NoSpacing"/>
      </w:pPr>
    </w:p>
    <w:tbl>
      <w:tblPr>
        <w:tblStyle w:val="ListTable3-Accent2"/>
        <w:tblW w:w="10054" w:type="dxa"/>
        <w:tblLook w:val="04A0" w:firstRow="1" w:lastRow="0" w:firstColumn="1" w:lastColumn="0" w:noHBand="0" w:noVBand="1"/>
      </w:tblPr>
      <w:tblGrid>
        <w:gridCol w:w="1795"/>
        <w:gridCol w:w="1886"/>
        <w:gridCol w:w="1024"/>
        <w:gridCol w:w="1102"/>
        <w:gridCol w:w="1952"/>
        <w:gridCol w:w="1098"/>
        <w:gridCol w:w="27"/>
        <w:gridCol w:w="1170"/>
      </w:tblGrid>
      <w:tr w:rsidR="00B672D0" w:rsidRPr="00124CB7" w14:paraId="5D073D77" w14:textId="77777777" w:rsidTr="00C128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14:paraId="0624EE87" w14:textId="452C2900" w:rsidR="00B672D0" w:rsidRPr="00124CB7" w:rsidRDefault="00B672D0" w:rsidP="00B672D0">
            <w:pPr>
              <w:pStyle w:val="NoSpacing"/>
            </w:pPr>
            <w:r>
              <w:t>Fresh mushrooms</w:t>
            </w:r>
          </w:p>
        </w:tc>
        <w:tc>
          <w:tcPr>
            <w:tcW w:w="1886" w:type="dxa"/>
          </w:tcPr>
          <w:p w14:paraId="51DF6E55" w14:textId="41B93441"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CE4BEB">
              <w:t>8/13</w:t>
            </w:r>
            <w:r>
              <w:t>/2023</w:t>
            </w:r>
          </w:p>
        </w:tc>
        <w:tc>
          <w:tcPr>
            <w:tcW w:w="1024" w:type="dxa"/>
          </w:tcPr>
          <w:p w14:paraId="4B26425C"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398A30D" w14:textId="02B74031"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02" w:type="dxa"/>
            <w:tcBorders>
              <w:right w:val="single" w:sz="4" w:space="0" w:color="ED7D31" w:themeColor="accent2"/>
            </w:tcBorders>
          </w:tcPr>
          <w:p w14:paraId="66B6F0A2"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11B3D9FB" w14:textId="15CCA3DC"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c>
          <w:tcPr>
            <w:tcW w:w="1952" w:type="dxa"/>
            <w:tcBorders>
              <w:left w:val="single" w:sz="4" w:space="0" w:color="ED7D31" w:themeColor="accent2"/>
            </w:tcBorders>
          </w:tcPr>
          <w:p w14:paraId="3BBE24C3" w14:textId="6B660705"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 xml:space="preserve">. </w:t>
            </w:r>
            <w:r w:rsidR="00CE4BEB">
              <w:t>8/13</w:t>
            </w:r>
            <w:r>
              <w:t>/2023</w:t>
            </w:r>
          </w:p>
        </w:tc>
        <w:tc>
          <w:tcPr>
            <w:tcW w:w="1098" w:type="dxa"/>
          </w:tcPr>
          <w:p w14:paraId="40EE3430"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0895179F" w14:textId="133A5C28"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97" w:type="dxa"/>
            <w:gridSpan w:val="2"/>
          </w:tcPr>
          <w:p w14:paraId="0BDA0615" w14:textId="77777777" w:rsidR="00B672D0"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rPr>
                <w:b w:val="0"/>
                <w:bCs w:val="0"/>
              </w:rPr>
            </w:pPr>
          </w:p>
          <w:p w14:paraId="5AB7ECE0" w14:textId="0D54DE1F"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Vs. 2020</w:t>
            </w:r>
          </w:p>
        </w:tc>
      </w:tr>
      <w:tr w:rsidR="00B672D0" w14:paraId="22401D5B" w14:textId="77777777" w:rsidTr="00C128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14:paraId="79CDF43D" w14:textId="166854D6" w:rsidR="00B672D0" w:rsidRPr="00124CB7" w:rsidRDefault="00B672D0" w:rsidP="00B672D0">
            <w:pPr>
              <w:pStyle w:val="NoSpacing"/>
              <w:rPr>
                <w:b w:val="0"/>
                <w:bCs w:val="0"/>
              </w:rPr>
            </w:pPr>
            <w:r>
              <w:rPr>
                <w:b w:val="0"/>
                <w:bCs w:val="0"/>
              </w:rPr>
              <w:t>Dollars</w:t>
            </w:r>
          </w:p>
        </w:tc>
        <w:tc>
          <w:tcPr>
            <w:tcW w:w="1886" w:type="dxa"/>
          </w:tcPr>
          <w:p w14:paraId="6D1FCB95" w14:textId="05644F48" w:rsidR="00B672D0" w:rsidRDefault="00B42A49" w:rsidP="00C12877">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2B7DCE">
              <w:t>86.9</w:t>
            </w:r>
            <w:r w:rsidR="00B672D0">
              <w:t xml:space="preserve"> million</w:t>
            </w:r>
          </w:p>
        </w:tc>
        <w:tc>
          <w:tcPr>
            <w:tcW w:w="1024" w:type="dxa"/>
          </w:tcPr>
          <w:p w14:paraId="77D2040B" w14:textId="29A7BBE4"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2B7DCE">
              <w:t>4.2</w:t>
            </w:r>
            <w:r w:rsidR="00B672D0">
              <w:t>%</w:t>
            </w:r>
          </w:p>
        </w:tc>
        <w:tc>
          <w:tcPr>
            <w:tcW w:w="1102" w:type="dxa"/>
            <w:tcBorders>
              <w:right w:val="single" w:sz="4" w:space="0" w:color="ED7D31" w:themeColor="accent2"/>
            </w:tcBorders>
          </w:tcPr>
          <w:p w14:paraId="4EF21002" w14:textId="5220AC0B"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2B7DCE">
              <w:t>14.4</w:t>
            </w:r>
            <w:r w:rsidR="00B672D0">
              <w:t>%</w:t>
            </w:r>
          </w:p>
        </w:tc>
        <w:tc>
          <w:tcPr>
            <w:tcW w:w="1952" w:type="dxa"/>
            <w:tcBorders>
              <w:left w:val="single" w:sz="4" w:space="0" w:color="ED7D31" w:themeColor="accent2"/>
            </w:tcBorders>
          </w:tcPr>
          <w:p w14:paraId="375CF9DD" w14:textId="57EAED57" w:rsidR="00B672D0" w:rsidRDefault="00B42A49" w:rsidP="00C12877">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C12877">
              <w:t xml:space="preserve">   </w:t>
            </w:r>
            <w:r>
              <w:t xml:space="preserve">   $</w:t>
            </w:r>
            <w:r w:rsidR="00752CD4">
              <w:t>1.3</w:t>
            </w:r>
            <w:r w:rsidR="00A95B14">
              <w:t xml:space="preserve">  </w:t>
            </w:r>
            <w:r w:rsidR="00B672D0">
              <w:t>billion</w:t>
            </w:r>
          </w:p>
        </w:tc>
        <w:tc>
          <w:tcPr>
            <w:tcW w:w="1125" w:type="dxa"/>
            <w:gridSpan w:val="2"/>
          </w:tcPr>
          <w:p w14:paraId="04EA64A9" w14:textId="2BE81C0F"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752CD4">
              <w:t>1.4</w:t>
            </w:r>
            <w:r w:rsidR="00B672D0">
              <w:t>%</w:t>
            </w:r>
          </w:p>
        </w:tc>
        <w:tc>
          <w:tcPr>
            <w:tcW w:w="1170" w:type="dxa"/>
          </w:tcPr>
          <w:p w14:paraId="2F2464E9" w14:textId="24AC9F4B" w:rsidR="00B672D0" w:rsidRDefault="00916DE2"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752CD4">
              <w:t>2.9</w:t>
            </w:r>
            <w:r w:rsidR="00B672D0">
              <w:t>%</w:t>
            </w:r>
          </w:p>
        </w:tc>
      </w:tr>
      <w:tr w:rsidR="00B672D0" w14:paraId="31FB8D29" w14:textId="77777777" w:rsidTr="00C12877">
        <w:tc>
          <w:tcPr>
            <w:cnfStyle w:val="001000000000" w:firstRow="0" w:lastRow="0" w:firstColumn="1" w:lastColumn="0" w:oddVBand="0" w:evenVBand="0" w:oddHBand="0" w:evenHBand="0" w:firstRowFirstColumn="0" w:firstRowLastColumn="0" w:lastRowFirstColumn="0" w:lastRowLastColumn="0"/>
            <w:tcW w:w="1795" w:type="dxa"/>
          </w:tcPr>
          <w:p w14:paraId="10B2F651" w14:textId="48542DFC" w:rsidR="00B672D0" w:rsidRPr="00124CB7" w:rsidRDefault="00B672D0" w:rsidP="00B672D0">
            <w:pPr>
              <w:pStyle w:val="NoSpacing"/>
              <w:rPr>
                <w:b w:val="0"/>
                <w:bCs w:val="0"/>
              </w:rPr>
            </w:pPr>
            <w:r>
              <w:rPr>
                <w:b w:val="0"/>
                <w:bCs w:val="0"/>
              </w:rPr>
              <w:t>Units</w:t>
            </w:r>
          </w:p>
        </w:tc>
        <w:tc>
          <w:tcPr>
            <w:tcW w:w="1886" w:type="dxa"/>
          </w:tcPr>
          <w:p w14:paraId="3CA03520" w14:textId="1A8418DF" w:rsidR="00B672D0" w:rsidRDefault="00B42A49" w:rsidP="00C12877">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752CD4">
              <w:t>29.9</w:t>
            </w:r>
            <w:r>
              <w:t xml:space="preserve"> </w:t>
            </w:r>
            <w:r w:rsidR="00B672D0">
              <w:t>million</w:t>
            </w:r>
          </w:p>
        </w:tc>
        <w:tc>
          <w:tcPr>
            <w:tcW w:w="1024" w:type="dxa"/>
          </w:tcPr>
          <w:p w14:paraId="6922F333" w14:textId="7B6ECE10"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2B7DCE">
              <w:t>3.9</w:t>
            </w:r>
            <w:r w:rsidR="00B672D0">
              <w:t>%</w:t>
            </w:r>
          </w:p>
        </w:tc>
        <w:tc>
          <w:tcPr>
            <w:tcW w:w="1102" w:type="dxa"/>
            <w:tcBorders>
              <w:right w:val="single" w:sz="4" w:space="0" w:color="ED7D31" w:themeColor="accent2"/>
            </w:tcBorders>
          </w:tcPr>
          <w:p w14:paraId="7CD8DEEA" w14:textId="4B183669"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2B7DCE">
              <w:t>21.8</w:t>
            </w:r>
            <w:r w:rsidR="00B672D0">
              <w:t>%</w:t>
            </w:r>
          </w:p>
        </w:tc>
        <w:tc>
          <w:tcPr>
            <w:tcW w:w="1952" w:type="dxa"/>
            <w:tcBorders>
              <w:left w:val="single" w:sz="4" w:space="0" w:color="ED7D31" w:themeColor="accent2"/>
            </w:tcBorders>
          </w:tcPr>
          <w:p w14:paraId="26ECACB9" w14:textId="0F830BF7" w:rsidR="00B672D0" w:rsidRDefault="00B42A49" w:rsidP="00752CD4">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752CD4">
              <w:t>430.2</w:t>
            </w:r>
            <w:r w:rsidR="00B672D0">
              <w:t xml:space="preserve"> million</w:t>
            </w:r>
          </w:p>
        </w:tc>
        <w:tc>
          <w:tcPr>
            <w:tcW w:w="1125" w:type="dxa"/>
            <w:gridSpan w:val="2"/>
          </w:tcPr>
          <w:p w14:paraId="60AAF678" w14:textId="29E9368C"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752CD4">
              <w:t>5.9</w:t>
            </w:r>
            <w:r w:rsidR="00B672D0">
              <w:t>%</w:t>
            </w:r>
          </w:p>
        </w:tc>
        <w:tc>
          <w:tcPr>
            <w:tcW w:w="1170" w:type="dxa"/>
          </w:tcPr>
          <w:p w14:paraId="19BE3B74" w14:textId="5BDE1B87" w:rsidR="00B672D0" w:rsidRDefault="00B42A49" w:rsidP="00B672D0">
            <w:pPr>
              <w:pStyle w:val="NoSpacing"/>
              <w:jc w:val="right"/>
              <w:cnfStyle w:val="000000000000" w:firstRow="0" w:lastRow="0" w:firstColumn="0" w:lastColumn="0" w:oddVBand="0" w:evenVBand="0" w:oddHBand="0" w:evenHBand="0" w:firstRowFirstColumn="0" w:firstRowLastColumn="0" w:lastRowFirstColumn="0" w:lastRowLastColumn="0"/>
            </w:pPr>
            <w:r>
              <w:t>-</w:t>
            </w:r>
            <w:r w:rsidR="00752CD4">
              <w:t>14.2</w:t>
            </w:r>
            <w:r w:rsidR="00B672D0">
              <w:t>%</w:t>
            </w:r>
          </w:p>
        </w:tc>
      </w:tr>
      <w:tr w:rsidR="00B672D0" w14:paraId="2EB720F3" w14:textId="77777777" w:rsidTr="00C1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632454" w14:textId="04CEBBF8" w:rsidR="00B672D0" w:rsidRPr="00124CB7" w:rsidRDefault="00B672D0" w:rsidP="00B672D0">
            <w:pPr>
              <w:pStyle w:val="NoSpacing"/>
              <w:rPr>
                <w:b w:val="0"/>
                <w:bCs w:val="0"/>
              </w:rPr>
            </w:pPr>
            <w:r>
              <w:rPr>
                <w:b w:val="0"/>
                <w:bCs w:val="0"/>
              </w:rPr>
              <w:t>Volume (pounds)</w:t>
            </w:r>
          </w:p>
        </w:tc>
        <w:tc>
          <w:tcPr>
            <w:tcW w:w="1886" w:type="dxa"/>
          </w:tcPr>
          <w:p w14:paraId="68757A76" w14:textId="7DBC4EF2" w:rsidR="00B672D0" w:rsidRDefault="00B42A49" w:rsidP="00C12877">
            <w:pPr>
              <w:pStyle w:val="NoSpacing"/>
              <w:tabs>
                <w:tab w:val="center" w:pos="747"/>
                <w:tab w:val="right" w:pos="1494"/>
              </w:tabs>
              <w:jc w:val="right"/>
              <w:cnfStyle w:val="000000100000" w:firstRow="0" w:lastRow="0" w:firstColumn="0" w:lastColumn="0" w:oddVBand="0" w:evenVBand="0" w:oddHBand="1" w:evenHBand="0" w:firstRowFirstColumn="0" w:firstRowLastColumn="0" w:lastRowFirstColumn="0" w:lastRowLastColumn="0"/>
            </w:pPr>
            <w:r>
              <w:t xml:space="preserve">            </w:t>
            </w:r>
            <w:r w:rsidR="002B7DCE">
              <w:t>18.7</w:t>
            </w:r>
            <w:r w:rsidR="00B672D0">
              <w:t xml:space="preserve"> million</w:t>
            </w:r>
          </w:p>
        </w:tc>
        <w:tc>
          <w:tcPr>
            <w:tcW w:w="1024" w:type="dxa"/>
          </w:tcPr>
          <w:p w14:paraId="7DE7F9CC" w14:textId="2F3DDFD0" w:rsidR="00B672D0" w:rsidRDefault="00BF3DAE"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2B7DCE">
              <w:t>3.9</w:t>
            </w:r>
            <w:r w:rsidR="00B672D0">
              <w:t>%</w:t>
            </w:r>
          </w:p>
        </w:tc>
        <w:tc>
          <w:tcPr>
            <w:tcW w:w="1102" w:type="dxa"/>
            <w:tcBorders>
              <w:right w:val="single" w:sz="4" w:space="0" w:color="ED7D31" w:themeColor="accent2"/>
            </w:tcBorders>
          </w:tcPr>
          <w:p w14:paraId="47670DC1" w14:textId="37FF96D0"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2B7DCE">
              <w:t>21.8</w:t>
            </w:r>
            <w:r w:rsidR="00B672D0">
              <w:t>%</w:t>
            </w:r>
          </w:p>
        </w:tc>
        <w:tc>
          <w:tcPr>
            <w:tcW w:w="1952" w:type="dxa"/>
            <w:tcBorders>
              <w:left w:val="single" w:sz="4" w:space="0" w:color="ED7D31" w:themeColor="accent2"/>
            </w:tcBorders>
          </w:tcPr>
          <w:p w14:paraId="57878EB0" w14:textId="40D02077" w:rsidR="00B672D0" w:rsidRDefault="00752CD4" w:rsidP="00C128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271.3</w:t>
            </w:r>
            <w:r w:rsidR="00B672D0">
              <w:t xml:space="preserve"> million</w:t>
            </w:r>
          </w:p>
        </w:tc>
        <w:tc>
          <w:tcPr>
            <w:tcW w:w="1125" w:type="dxa"/>
            <w:gridSpan w:val="2"/>
          </w:tcPr>
          <w:p w14:paraId="0679CD28" w14:textId="38CA94BE"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752CD4">
              <w:t>5.6</w:t>
            </w:r>
            <w:r w:rsidR="00B672D0">
              <w:t>%</w:t>
            </w:r>
          </w:p>
        </w:tc>
        <w:tc>
          <w:tcPr>
            <w:tcW w:w="1170" w:type="dxa"/>
          </w:tcPr>
          <w:p w14:paraId="09C03B7F" w14:textId="12569D25" w:rsidR="00B672D0" w:rsidRDefault="00B42A49" w:rsidP="00B672D0">
            <w:pPr>
              <w:pStyle w:val="NoSpacing"/>
              <w:jc w:val="right"/>
              <w:cnfStyle w:val="000000100000" w:firstRow="0" w:lastRow="0" w:firstColumn="0" w:lastColumn="0" w:oddVBand="0" w:evenVBand="0" w:oddHBand="1" w:evenHBand="0" w:firstRowFirstColumn="0" w:firstRowLastColumn="0" w:lastRowFirstColumn="0" w:lastRowLastColumn="0"/>
            </w:pPr>
            <w:r>
              <w:t>-</w:t>
            </w:r>
            <w:r w:rsidR="00752CD4">
              <w:t>12.9</w:t>
            </w:r>
            <w:r w:rsidR="00B672D0">
              <w:t>%</w:t>
            </w:r>
          </w:p>
        </w:tc>
      </w:tr>
    </w:tbl>
    <w:p w14:paraId="5B1F1AF6" w14:textId="593A4BE8"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CE4BEB">
        <w:rPr>
          <w:color w:val="7F7F7F" w:themeColor="text1" w:themeTint="80"/>
          <w:sz w:val="16"/>
          <w:szCs w:val="16"/>
        </w:rPr>
        <w:t>8/13</w:t>
      </w:r>
      <w:r w:rsidR="00EB090C">
        <w:rPr>
          <w:color w:val="7F7F7F" w:themeColor="text1" w:themeTint="80"/>
          <w:sz w:val="16"/>
          <w:szCs w:val="16"/>
        </w:rPr>
        <w:t>/2023</w:t>
      </w:r>
    </w:p>
    <w:p w14:paraId="693975F5" w14:textId="5C6F2673" w:rsidR="000809C3" w:rsidRDefault="000809C3" w:rsidP="00472B02">
      <w:pPr>
        <w:pStyle w:val="NoSpacing"/>
      </w:pPr>
    </w:p>
    <w:p w14:paraId="73F33753" w14:textId="7867A849" w:rsidR="006A1766" w:rsidRDefault="00730897" w:rsidP="00C954F2">
      <w:pPr>
        <w:pStyle w:val="NoSpacing"/>
      </w:pPr>
      <w:r>
        <w:t>W</w:t>
      </w:r>
      <w:r w:rsidR="005547EE">
        <w:t xml:space="preserve">eekly sales </w:t>
      </w:r>
      <w:r>
        <w:t xml:space="preserve">for mushrooms </w:t>
      </w:r>
      <w:r w:rsidR="007070AC">
        <w:t>averaged</w:t>
      </w:r>
      <w:r w:rsidR="00BE7EF2">
        <w:t xml:space="preserve"> between</w:t>
      </w:r>
      <w:r w:rsidR="00445779">
        <w:t xml:space="preserve"> $</w:t>
      </w:r>
      <w:r w:rsidR="008B46B0">
        <w:t>21.3</w:t>
      </w:r>
      <w:r w:rsidR="00085508">
        <w:t xml:space="preserve"> million and</w:t>
      </w:r>
      <w:r w:rsidR="00BE7EF2">
        <w:t xml:space="preserve"> $</w:t>
      </w:r>
      <w:r w:rsidR="008B46B0">
        <w:t>22.0</w:t>
      </w:r>
      <w:r w:rsidR="003A3323">
        <w:t xml:space="preserve"> million</w:t>
      </w:r>
      <w:r w:rsidR="006A1766">
        <w:t xml:space="preserve"> in each of the four weeks</w:t>
      </w:r>
      <w:r w:rsidR="009D6711">
        <w:t>. T</w:t>
      </w:r>
      <w:r w:rsidR="00314DA1">
        <w:t>he period-over-period sales trend</w:t>
      </w:r>
      <w:r w:rsidR="009D6711">
        <w:t>s continue to follow long-established patterns</w:t>
      </w:r>
      <w:r w:rsidR="00314DA1">
        <w:t xml:space="preserve"> (as seen on the forecasting tab)</w:t>
      </w:r>
      <w:r w:rsidR="009D6711">
        <w:t>.</w:t>
      </w:r>
      <w:r w:rsidR="0059588E">
        <w:t xml:space="preserve"> </w:t>
      </w:r>
      <w:r w:rsidR="0031233D">
        <w:t xml:space="preserve">This quad-week period is traditionally the lowest sales period of the year on the retail side, after which volume gears up rapidly. </w:t>
      </w:r>
    </w:p>
    <w:p w14:paraId="280C3786" w14:textId="77777777" w:rsidR="00C954F2" w:rsidRDefault="00C954F2" w:rsidP="00C954F2">
      <w:pPr>
        <w:pStyle w:val="NoSpacing"/>
      </w:pPr>
    </w:p>
    <w:tbl>
      <w:tblPr>
        <w:tblStyle w:val="ListTable3-Accent2"/>
        <w:tblW w:w="9985" w:type="dxa"/>
        <w:tblLook w:val="04A0" w:firstRow="1" w:lastRow="0" w:firstColumn="1" w:lastColumn="0" w:noHBand="0" w:noVBand="1"/>
      </w:tblPr>
      <w:tblGrid>
        <w:gridCol w:w="2122"/>
        <w:gridCol w:w="997"/>
        <w:gridCol w:w="1291"/>
        <w:gridCol w:w="1291"/>
        <w:gridCol w:w="1134"/>
        <w:gridCol w:w="1530"/>
        <w:gridCol w:w="1620"/>
      </w:tblGrid>
      <w:tr w:rsidR="000809C3" w:rsidRPr="00DE633B" w14:paraId="5AF9AC2D" w14:textId="77777777" w:rsidTr="008B633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122" w:type="dxa"/>
          </w:tcPr>
          <w:p w14:paraId="3CBC11F7" w14:textId="1F6EAD18" w:rsidR="000809C3" w:rsidRPr="006A7A6E" w:rsidRDefault="000809C3" w:rsidP="000809C3">
            <w:pPr>
              <w:rPr>
                <w:rFonts w:cstheme="minorHAnsi"/>
              </w:rPr>
            </w:pPr>
            <w:r w:rsidRPr="006A7A6E">
              <w:rPr>
                <w:rFonts w:cstheme="minorHAnsi"/>
              </w:rPr>
              <w:t>Fresh mushrooms</w:t>
            </w:r>
          </w:p>
        </w:tc>
        <w:tc>
          <w:tcPr>
            <w:tcW w:w="997"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26DDEF19"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2022</w:t>
            </w:r>
          </w:p>
        </w:tc>
        <w:tc>
          <w:tcPr>
            <w:tcW w:w="1291" w:type="dxa"/>
            <w:tcBorders>
              <w:right w:val="single" w:sz="4" w:space="0" w:color="ED7D31" w:themeColor="accent2"/>
            </w:tcBorders>
          </w:tcPr>
          <w:p w14:paraId="3ABF0E92" w14:textId="2FF24334"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2020</w:t>
            </w:r>
          </w:p>
        </w:tc>
        <w:tc>
          <w:tcPr>
            <w:tcW w:w="1134" w:type="dxa"/>
            <w:tcBorders>
              <w:left w:val="single" w:sz="4" w:space="0" w:color="ED7D31" w:themeColor="accent2"/>
            </w:tcBorders>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1067C8DD"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2022</w:t>
            </w:r>
          </w:p>
        </w:tc>
        <w:tc>
          <w:tcPr>
            <w:tcW w:w="1620" w:type="dxa"/>
          </w:tcPr>
          <w:p w14:paraId="7A77A4C9" w14:textId="7B587886"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2020</w:t>
            </w:r>
          </w:p>
        </w:tc>
      </w:tr>
      <w:tr w:rsidR="008F2AA0" w14:paraId="69B1B691"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374F2F9C" w14:textId="1BB34BE4" w:rsidR="008F2AA0" w:rsidRPr="007F7149" w:rsidRDefault="008F2AA0" w:rsidP="008F2AA0">
            <w:pPr>
              <w:pStyle w:val="NoSpacing"/>
              <w:rPr>
                <w:rFonts w:cstheme="minorHAnsi"/>
                <w:color w:val="000000" w:themeColor="text1"/>
              </w:rPr>
            </w:pPr>
            <w:r w:rsidRPr="007F7149">
              <w:rPr>
                <w:rFonts w:cstheme="minorHAnsi"/>
                <w:color w:val="000000" w:themeColor="text1"/>
              </w:rPr>
              <w:t xml:space="preserve">4 </w:t>
            </w:r>
            <w:proofErr w:type="spellStart"/>
            <w:r w:rsidRPr="007F7149">
              <w:rPr>
                <w:rFonts w:cstheme="minorHAnsi"/>
                <w:color w:val="000000" w:themeColor="text1"/>
              </w:rPr>
              <w:t>w.e</w:t>
            </w:r>
            <w:proofErr w:type="spellEnd"/>
            <w:r w:rsidRPr="007F7149">
              <w:rPr>
                <w:rFonts w:cstheme="minorHAnsi"/>
                <w:color w:val="000000" w:themeColor="text1"/>
              </w:rPr>
              <w:t xml:space="preserve">. </w:t>
            </w:r>
            <w:r w:rsidR="00CE4BEB">
              <w:rPr>
                <w:rFonts w:cstheme="minorHAnsi"/>
                <w:color w:val="000000" w:themeColor="text1"/>
              </w:rPr>
              <w:t>8/13</w:t>
            </w:r>
            <w:r w:rsidRPr="007F7149">
              <w:rPr>
                <w:rFonts w:cstheme="minorHAnsi"/>
                <w:color w:val="000000" w:themeColor="text1"/>
              </w:rPr>
              <w:t>/2023</w:t>
            </w:r>
          </w:p>
        </w:tc>
        <w:tc>
          <w:tcPr>
            <w:tcW w:w="997" w:type="dxa"/>
          </w:tcPr>
          <w:p w14:paraId="73E257C6" w14:textId="6BC626B2"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323F77">
              <w:rPr>
                <w:rFonts w:cstheme="minorHAnsi"/>
                <w:b/>
                <w:bCs/>
                <w:color w:val="000000" w:themeColor="text1"/>
              </w:rPr>
              <w:t>86.9</w:t>
            </w:r>
            <w:r w:rsidRPr="006A7A6E">
              <w:rPr>
                <w:rFonts w:cstheme="minorHAnsi"/>
                <w:b/>
                <w:bCs/>
                <w:color w:val="000000" w:themeColor="text1"/>
              </w:rPr>
              <w:t>M</w:t>
            </w:r>
          </w:p>
        </w:tc>
        <w:tc>
          <w:tcPr>
            <w:tcW w:w="1291" w:type="dxa"/>
          </w:tcPr>
          <w:p w14:paraId="4D4E3A8B" w14:textId="2D7311C2"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2712E8">
              <w:rPr>
                <w:rFonts w:cstheme="minorHAnsi"/>
                <w:b/>
                <w:bCs/>
                <w:color w:val="000000" w:themeColor="text1"/>
              </w:rPr>
              <w:t>4.2</w:t>
            </w:r>
            <w:r w:rsidRPr="006A7A6E">
              <w:rPr>
                <w:rFonts w:cstheme="minorHAnsi"/>
                <w:b/>
                <w:bCs/>
                <w:color w:val="000000" w:themeColor="text1"/>
              </w:rPr>
              <w:t>%</w:t>
            </w:r>
          </w:p>
        </w:tc>
        <w:tc>
          <w:tcPr>
            <w:tcW w:w="1291" w:type="dxa"/>
            <w:tcBorders>
              <w:right w:val="single" w:sz="4" w:space="0" w:color="ED7D31" w:themeColor="accent2"/>
            </w:tcBorders>
          </w:tcPr>
          <w:p w14:paraId="4D28CAD3" w14:textId="5FE7FD48"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2712E8">
              <w:rPr>
                <w:rFonts w:cstheme="minorHAnsi"/>
                <w:b/>
                <w:bCs/>
                <w:color w:val="000000" w:themeColor="text1"/>
              </w:rPr>
              <w:t>14.4</w:t>
            </w:r>
            <w:r w:rsidRPr="006A7A6E">
              <w:rPr>
                <w:rFonts w:cstheme="minorHAnsi"/>
                <w:b/>
                <w:bCs/>
                <w:color w:val="000000" w:themeColor="text1"/>
              </w:rPr>
              <w:t>%</w:t>
            </w:r>
          </w:p>
        </w:tc>
        <w:tc>
          <w:tcPr>
            <w:tcW w:w="1134" w:type="dxa"/>
            <w:tcBorders>
              <w:left w:val="single" w:sz="4" w:space="0" w:color="ED7D31" w:themeColor="accent2"/>
            </w:tcBorders>
          </w:tcPr>
          <w:p w14:paraId="30F9E2CF" w14:textId="32059BF6" w:rsidR="008F2AA0" w:rsidRPr="006A7A6E" w:rsidRDefault="002712E8"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18.7</w:t>
            </w:r>
            <w:r w:rsidR="008F2AA0" w:rsidRPr="006A7A6E">
              <w:rPr>
                <w:rFonts w:cstheme="minorHAnsi"/>
                <w:b/>
                <w:bCs/>
                <w:color w:val="000000" w:themeColor="text1"/>
              </w:rPr>
              <w:t>M</w:t>
            </w:r>
          </w:p>
        </w:tc>
        <w:tc>
          <w:tcPr>
            <w:tcW w:w="1530" w:type="dxa"/>
          </w:tcPr>
          <w:p w14:paraId="7D7EF716" w14:textId="363F9B9D"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2712E8">
              <w:rPr>
                <w:rFonts w:cstheme="minorHAnsi"/>
                <w:b/>
                <w:bCs/>
                <w:color w:val="000000" w:themeColor="text1"/>
              </w:rPr>
              <w:t>3.9</w:t>
            </w:r>
            <w:r w:rsidRPr="006A7A6E">
              <w:rPr>
                <w:rFonts w:cstheme="minorHAnsi"/>
                <w:b/>
                <w:bCs/>
                <w:color w:val="000000" w:themeColor="text1"/>
              </w:rPr>
              <w:t>%</w:t>
            </w:r>
          </w:p>
        </w:tc>
        <w:tc>
          <w:tcPr>
            <w:tcW w:w="1620" w:type="dxa"/>
          </w:tcPr>
          <w:p w14:paraId="0ADA09AC" w14:textId="021D09AF" w:rsidR="008F2AA0" w:rsidRPr="006A7A6E"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2712E8">
              <w:rPr>
                <w:rFonts w:cstheme="minorHAnsi"/>
                <w:b/>
                <w:bCs/>
                <w:color w:val="000000" w:themeColor="text1"/>
              </w:rPr>
              <w:t>21.8</w:t>
            </w:r>
            <w:r w:rsidRPr="006A7A6E">
              <w:rPr>
                <w:rFonts w:cstheme="minorHAnsi"/>
                <w:b/>
                <w:bCs/>
                <w:color w:val="000000" w:themeColor="text1"/>
              </w:rPr>
              <w:t>%</w:t>
            </w:r>
          </w:p>
        </w:tc>
      </w:tr>
      <w:tr w:rsidR="008F2AA0" w14:paraId="4161B78F"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61B5C386" w14:textId="7A28505B" w:rsidR="008F2AA0" w:rsidRPr="007F7149" w:rsidRDefault="00CE4BEB" w:rsidP="008F2AA0">
            <w:pPr>
              <w:pStyle w:val="NoSpacing"/>
              <w:rPr>
                <w:rFonts w:cstheme="minorHAnsi"/>
                <w:b w:val="0"/>
                <w:color w:val="000000" w:themeColor="text1"/>
              </w:rPr>
            </w:pPr>
            <w:proofErr w:type="spellStart"/>
            <w:r>
              <w:rPr>
                <w:rFonts w:cstheme="minorHAnsi"/>
                <w:b w:val="0"/>
                <w:color w:val="000000" w:themeColor="text1"/>
              </w:rPr>
              <w:lastRenderedPageBreak/>
              <w:t>w.e</w:t>
            </w:r>
            <w:proofErr w:type="spellEnd"/>
            <w:r>
              <w:rPr>
                <w:rFonts w:cstheme="minorHAnsi"/>
                <w:b w:val="0"/>
                <w:color w:val="000000" w:themeColor="text1"/>
              </w:rPr>
              <w:t>. 7</w:t>
            </w:r>
            <w:r w:rsidR="008F2AA0" w:rsidRPr="007F7149">
              <w:rPr>
                <w:rFonts w:cstheme="minorHAnsi"/>
                <w:b w:val="0"/>
                <w:color w:val="000000" w:themeColor="text1"/>
              </w:rPr>
              <w:t>/</w:t>
            </w:r>
            <w:r>
              <w:rPr>
                <w:rFonts w:cstheme="minorHAnsi"/>
                <w:b w:val="0"/>
                <w:color w:val="000000" w:themeColor="text1"/>
              </w:rPr>
              <w:t>23</w:t>
            </w:r>
            <w:r w:rsidR="007F7149">
              <w:rPr>
                <w:rFonts w:cstheme="minorHAnsi"/>
                <w:b w:val="0"/>
                <w:color w:val="000000" w:themeColor="text1"/>
              </w:rPr>
              <w:t>/</w:t>
            </w:r>
            <w:r w:rsidR="008F2AA0" w:rsidRPr="007F7149">
              <w:rPr>
                <w:rFonts w:cstheme="minorHAnsi"/>
                <w:b w:val="0"/>
                <w:color w:val="000000" w:themeColor="text1"/>
              </w:rPr>
              <w:t>2023</w:t>
            </w:r>
          </w:p>
        </w:tc>
        <w:tc>
          <w:tcPr>
            <w:tcW w:w="997" w:type="dxa"/>
          </w:tcPr>
          <w:p w14:paraId="151AC645" w14:textId="3870CE5F"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323F77">
              <w:rPr>
                <w:rFonts w:cstheme="minorHAnsi"/>
                <w:color w:val="000000" w:themeColor="text1"/>
              </w:rPr>
              <w:t>21.6</w:t>
            </w:r>
            <w:r w:rsidRPr="0004266D">
              <w:rPr>
                <w:rFonts w:cstheme="minorHAnsi"/>
                <w:color w:val="000000" w:themeColor="text1"/>
              </w:rPr>
              <w:t>M</w:t>
            </w:r>
          </w:p>
        </w:tc>
        <w:tc>
          <w:tcPr>
            <w:tcW w:w="1291" w:type="dxa"/>
          </w:tcPr>
          <w:p w14:paraId="3F350FB2" w14:textId="0E9FE357"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4.6</w:t>
            </w:r>
            <w:r w:rsidRPr="0004266D">
              <w:rPr>
                <w:rFonts w:cstheme="minorHAnsi"/>
                <w:color w:val="000000" w:themeColor="text1"/>
              </w:rPr>
              <w:t>%</w:t>
            </w:r>
          </w:p>
        </w:tc>
        <w:tc>
          <w:tcPr>
            <w:tcW w:w="1291" w:type="dxa"/>
            <w:tcBorders>
              <w:right w:val="single" w:sz="4" w:space="0" w:color="ED7D31" w:themeColor="accent2"/>
            </w:tcBorders>
          </w:tcPr>
          <w:p w14:paraId="71A7F634" w14:textId="51E27E4B"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15.5</w:t>
            </w:r>
            <w:r w:rsidRPr="0004266D">
              <w:rPr>
                <w:rFonts w:cstheme="minorHAnsi"/>
                <w:color w:val="000000" w:themeColor="text1"/>
              </w:rPr>
              <w:t>%</w:t>
            </w:r>
          </w:p>
        </w:tc>
        <w:tc>
          <w:tcPr>
            <w:tcW w:w="1134" w:type="dxa"/>
            <w:tcBorders>
              <w:left w:val="single" w:sz="4" w:space="0" w:color="ED7D31" w:themeColor="accent2"/>
            </w:tcBorders>
          </w:tcPr>
          <w:p w14:paraId="539D2139" w14:textId="6D3C038A" w:rsidR="008F2AA0" w:rsidRPr="0004266D" w:rsidRDefault="002712E8"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4.7</w:t>
            </w:r>
            <w:r w:rsidR="008F2AA0" w:rsidRPr="0004266D">
              <w:rPr>
                <w:rFonts w:cstheme="minorHAnsi"/>
                <w:color w:val="000000" w:themeColor="text1"/>
              </w:rPr>
              <w:t>M</w:t>
            </w:r>
          </w:p>
        </w:tc>
        <w:tc>
          <w:tcPr>
            <w:tcW w:w="1530" w:type="dxa"/>
          </w:tcPr>
          <w:p w14:paraId="4E107D1E" w14:textId="1A480059"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5.3</w:t>
            </w:r>
            <w:r w:rsidRPr="0004266D">
              <w:rPr>
                <w:rFonts w:cstheme="minorHAnsi"/>
                <w:color w:val="000000" w:themeColor="text1"/>
              </w:rPr>
              <w:t>%</w:t>
            </w:r>
          </w:p>
        </w:tc>
        <w:tc>
          <w:tcPr>
            <w:tcW w:w="1620" w:type="dxa"/>
          </w:tcPr>
          <w:p w14:paraId="699CD9F0" w14:textId="7D8AC92C"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22.5</w:t>
            </w:r>
            <w:r w:rsidRPr="0004266D">
              <w:rPr>
                <w:rFonts w:cstheme="minorHAnsi"/>
                <w:color w:val="000000" w:themeColor="text1"/>
              </w:rPr>
              <w:t>%</w:t>
            </w:r>
          </w:p>
        </w:tc>
      </w:tr>
      <w:tr w:rsidR="008F2AA0" w14:paraId="46E32385"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CCBCDF3" w14:textId="41C52685"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CE4BEB">
              <w:rPr>
                <w:rFonts w:cstheme="minorHAnsi"/>
                <w:b w:val="0"/>
                <w:color w:val="000000" w:themeColor="text1"/>
              </w:rPr>
              <w:t>7/30</w:t>
            </w:r>
            <w:r w:rsidRPr="007F7149">
              <w:rPr>
                <w:rFonts w:cstheme="minorHAnsi"/>
                <w:b w:val="0"/>
                <w:color w:val="000000" w:themeColor="text1"/>
              </w:rPr>
              <w:t>/2023</w:t>
            </w:r>
          </w:p>
        </w:tc>
        <w:tc>
          <w:tcPr>
            <w:tcW w:w="997" w:type="dxa"/>
          </w:tcPr>
          <w:p w14:paraId="11A8DDCA" w14:textId="7A34CB58"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323F77">
              <w:rPr>
                <w:rFonts w:cstheme="minorHAnsi"/>
                <w:color w:val="000000" w:themeColor="text1"/>
              </w:rPr>
              <w:t>21.3</w:t>
            </w:r>
            <w:r w:rsidRPr="0004266D">
              <w:rPr>
                <w:rFonts w:cstheme="minorHAnsi"/>
                <w:color w:val="000000" w:themeColor="text1"/>
              </w:rPr>
              <w:t>M</w:t>
            </w:r>
          </w:p>
        </w:tc>
        <w:tc>
          <w:tcPr>
            <w:tcW w:w="1291" w:type="dxa"/>
          </w:tcPr>
          <w:p w14:paraId="16514130" w14:textId="5512DD98" w:rsidR="008F2AA0" w:rsidRPr="0004266D" w:rsidRDefault="00BF3DAE"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2712E8">
              <w:rPr>
                <w:rFonts w:cstheme="minorHAnsi"/>
                <w:color w:val="000000" w:themeColor="text1"/>
              </w:rPr>
              <w:t>4.7</w:t>
            </w:r>
            <w:r w:rsidR="008F2AA0" w:rsidRPr="0004266D">
              <w:rPr>
                <w:rFonts w:cstheme="minorHAnsi"/>
                <w:color w:val="000000" w:themeColor="text1"/>
              </w:rPr>
              <w:t>%</w:t>
            </w:r>
          </w:p>
        </w:tc>
        <w:tc>
          <w:tcPr>
            <w:tcW w:w="1291" w:type="dxa"/>
            <w:tcBorders>
              <w:right w:val="single" w:sz="4" w:space="0" w:color="ED7D31" w:themeColor="accent2"/>
            </w:tcBorders>
          </w:tcPr>
          <w:p w14:paraId="463E87C2" w14:textId="21775E95"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16.4</w:t>
            </w:r>
            <w:r w:rsidRPr="0004266D">
              <w:rPr>
                <w:rFonts w:cstheme="minorHAnsi"/>
                <w:color w:val="000000" w:themeColor="text1"/>
              </w:rPr>
              <w:t>%</w:t>
            </w:r>
          </w:p>
        </w:tc>
        <w:tc>
          <w:tcPr>
            <w:tcW w:w="1134" w:type="dxa"/>
            <w:tcBorders>
              <w:left w:val="single" w:sz="4" w:space="0" w:color="ED7D31" w:themeColor="accent2"/>
            </w:tcBorders>
          </w:tcPr>
          <w:p w14:paraId="67EAF597" w14:textId="007CF8EC" w:rsidR="008F2AA0" w:rsidRPr="0004266D" w:rsidRDefault="002712E8"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4.6</w:t>
            </w:r>
            <w:r w:rsidR="008F2AA0" w:rsidRPr="0004266D">
              <w:rPr>
                <w:rFonts w:cstheme="minorHAnsi"/>
                <w:color w:val="000000" w:themeColor="text1"/>
              </w:rPr>
              <w:t>M</w:t>
            </w:r>
          </w:p>
        </w:tc>
        <w:tc>
          <w:tcPr>
            <w:tcW w:w="1530" w:type="dxa"/>
          </w:tcPr>
          <w:p w14:paraId="3BDC9313" w14:textId="19920569"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4.3</w:t>
            </w:r>
            <w:r w:rsidRPr="0004266D">
              <w:rPr>
                <w:rFonts w:cstheme="minorHAnsi"/>
                <w:color w:val="000000" w:themeColor="text1"/>
              </w:rPr>
              <w:t>%</w:t>
            </w:r>
          </w:p>
        </w:tc>
        <w:tc>
          <w:tcPr>
            <w:tcW w:w="1620" w:type="dxa"/>
          </w:tcPr>
          <w:p w14:paraId="180304FD" w14:textId="12E72075"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23.4</w:t>
            </w:r>
            <w:r w:rsidRPr="0004266D">
              <w:rPr>
                <w:rFonts w:cstheme="minorHAnsi"/>
                <w:color w:val="000000" w:themeColor="text1"/>
              </w:rPr>
              <w:t>%</w:t>
            </w:r>
          </w:p>
        </w:tc>
      </w:tr>
      <w:tr w:rsidR="008F2AA0" w14:paraId="29C076C3"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12D67558" w14:textId="448CF5CD"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CE4BEB">
              <w:rPr>
                <w:rFonts w:cstheme="minorHAnsi"/>
                <w:b w:val="0"/>
                <w:color w:val="000000" w:themeColor="text1"/>
              </w:rPr>
              <w:t>8/6</w:t>
            </w:r>
            <w:r w:rsidRPr="007F7149">
              <w:rPr>
                <w:rFonts w:cstheme="minorHAnsi"/>
                <w:b w:val="0"/>
                <w:color w:val="000000" w:themeColor="text1"/>
              </w:rPr>
              <w:t>/2023</w:t>
            </w:r>
          </w:p>
        </w:tc>
        <w:tc>
          <w:tcPr>
            <w:tcW w:w="997" w:type="dxa"/>
          </w:tcPr>
          <w:p w14:paraId="48606425" w14:textId="5A06C80F"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323F77">
              <w:rPr>
                <w:rFonts w:cstheme="minorHAnsi"/>
                <w:color w:val="000000" w:themeColor="text1"/>
              </w:rPr>
              <w:t>22.0</w:t>
            </w:r>
            <w:r w:rsidRPr="0004266D">
              <w:rPr>
                <w:rFonts w:cstheme="minorHAnsi"/>
                <w:color w:val="000000" w:themeColor="text1"/>
              </w:rPr>
              <w:t>M</w:t>
            </w:r>
          </w:p>
        </w:tc>
        <w:tc>
          <w:tcPr>
            <w:tcW w:w="1291" w:type="dxa"/>
          </w:tcPr>
          <w:p w14:paraId="34EEBB9B" w14:textId="3DE8A8AC" w:rsidR="008F2AA0" w:rsidRPr="0004266D" w:rsidRDefault="00BF3DAE"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2712E8">
              <w:rPr>
                <w:rFonts w:cstheme="minorHAnsi"/>
                <w:color w:val="000000" w:themeColor="text1"/>
              </w:rPr>
              <w:t>3.8</w:t>
            </w:r>
            <w:r w:rsidR="008F2AA0" w:rsidRPr="0004266D">
              <w:rPr>
                <w:rFonts w:cstheme="minorHAnsi"/>
                <w:color w:val="000000" w:themeColor="text1"/>
              </w:rPr>
              <w:t>%</w:t>
            </w:r>
          </w:p>
        </w:tc>
        <w:tc>
          <w:tcPr>
            <w:tcW w:w="1291" w:type="dxa"/>
            <w:tcBorders>
              <w:right w:val="single" w:sz="4" w:space="0" w:color="ED7D31" w:themeColor="accent2"/>
            </w:tcBorders>
          </w:tcPr>
          <w:p w14:paraId="459FECD2" w14:textId="1FD03B6D"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13.2</w:t>
            </w:r>
            <w:r w:rsidRPr="0004266D">
              <w:rPr>
                <w:rFonts w:cstheme="minorHAnsi"/>
                <w:color w:val="000000" w:themeColor="text1"/>
              </w:rPr>
              <w:t>%</w:t>
            </w:r>
          </w:p>
        </w:tc>
        <w:tc>
          <w:tcPr>
            <w:tcW w:w="1134" w:type="dxa"/>
            <w:tcBorders>
              <w:left w:val="single" w:sz="4" w:space="0" w:color="ED7D31" w:themeColor="accent2"/>
            </w:tcBorders>
          </w:tcPr>
          <w:p w14:paraId="234D0105" w14:textId="7F0351B5" w:rsidR="008F2AA0" w:rsidRPr="0004266D" w:rsidRDefault="002712E8"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4.7</w:t>
            </w:r>
            <w:r w:rsidR="008F2AA0" w:rsidRPr="0004266D">
              <w:rPr>
                <w:rFonts w:cstheme="minorHAnsi"/>
                <w:color w:val="000000" w:themeColor="text1"/>
              </w:rPr>
              <w:t>M</w:t>
            </w:r>
          </w:p>
        </w:tc>
        <w:tc>
          <w:tcPr>
            <w:tcW w:w="1530" w:type="dxa"/>
          </w:tcPr>
          <w:p w14:paraId="5C2CD04A" w14:textId="118681AB"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3.8</w:t>
            </w:r>
            <w:r w:rsidRPr="0004266D">
              <w:rPr>
                <w:rFonts w:cstheme="minorHAnsi"/>
                <w:color w:val="000000" w:themeColor="text1"/>
              </w:rPr>
              <w:t>%</w:t>
            </w:r>
          </w:p>
        </w:tc>
        <w:tc>
          <w:tcPr>
            <w:tcW w:w="1620" w:type="dxa"/>
          </w:tcPr>
          <w:p w14:paraId="3E3F9EEB" w14:textId="21CA9830" w:rsidR="008F2AA0" w:rsidRPr="0004266D" w:rsidRDefault="008F2AA0" w:rsidP="008F2AA0">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20.9</w:t>
            </w:r>
            <w:r w:rsidRPr="0004266D">
              <w:rPr>
                <w:rFonts w:cstheme="minorHAnsi"/>
                <w:color w:val="000000" w:themeColor="text1"/>
              </w:rPr>
              <w:t>%</w:t>
            </w:r>
          </w:p>
        </w:tc>
      </w:tr>
      <w:tr w:rsidR="008F2AA0" w14:paraId="7E43EA98"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798E510" w14:textId="3619F315" w:rsidR="008F2AA0" w:rsidRPr="007F7149" w:rsidRDefault="008F2AA0" w:rsidP="008F2AA0">
            <w:pPr>
              <w:rPr>
                <w:rFonts w:cstheme="minorHAnsi"/>
                <w:color w:val="000000" w:themeColor="text1"/>
              </w:rPr>
            </w:pPr>
            <w:proofErr w:type="spellStart"/>
            <w:r w:rsidRPr="007F7149">
              <w:rPr>
                <w:rFonts w:cstheme="minorHAnsi"/>
                <w:b w:val="0"/>
                <w:color w:val="000000" w:themeColor="text1"/>
              </w:rPr>
              <w:t>w.e</w:t>
            </w:r>
            <w:proofErr w:type="spellEnd"/>
            <w:r w:rsidRPr="007F7149">
              <w:rPr>
                <w:rFonts w:cstheme="minorHAnsi"/>
                <w:b w:val="0"/>
                <w:color w:val="000000" w:themeColor="text1"/>
              </w:rPr>
              <w:t xml:space="preserve">. </w:t>
            </w:r>
            <w:r w:rsidR="00CE4BEB">
              <w:rPr>
                <w:rFonts w:cstheme="minorHAnsi"/>
                <w:b w:val="0"/>
                <w:color w:val="000000" w:themeColor="text1"/>
              </w:rPr>
              <w:t>8/13</w:t>
            </w:r>
            <w:r w:rsidRPr="007F7149">
              <w:rPr>
                <w:rFonts w:cstheme="minorHAnsi"/>
                <w:b w:val="0"/>
                <w:color w:val="000000" w:themeColor="text1"/>
              </w:rPr>
              <w:t>/2023</w:t>
            </w:r>
          </w:p>
        </w:tc>
        <w:tc>
          <w:tcPr>
            <w:tcW w:w="997" w:type="dxa"/>
          </w:tcPr>
          <w:p w14:paraId="1F9888EE" w14:textId="18AC17C3"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323F77">
              <w:rPr>
                <w:rFonts w:cstheme="minorHAnsi"/>
                <w:color w:val="000000" w:themeColor="text1"/>
              </w:rPr>
              <w:t>22.0</w:t>
            </w:r>
            <w:r w:rsidRPr="0004266D">
              <w:rPr>
                <w:rFonts w:cstheme="minorHAnsi"/>
                <w:color w:val="000000" w:themeColor="text1"/>
              </w:rPr>
              <w:t>M</w:t>
            </w:r>
          </w:p>
        </w:tc>
        <w:tc>
          <w:tcPr>
            <w:tcW w:w="1291" w:type="dxa"/>
          </w:tcPr>
          <w:p w14:paraId="39C9DE70" w14:textId="2201A12E" w:rsidR="008F2AA0" w:rsidRPr="0004266D" w:rsidRDefault="00B42A49"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2712E8">
              <w:rPr>
                <w:rFonts w:cstheme="minorHAnsi"/>
                <w:color w:val="000000" w:themeColor="text1"/>
              </w:rPr>
              <w:t>3.8</w:t>
            </w:r>
            <w:r w:rsidR="008F2AA0" w:rsidRPr="0004266D">
              <w:rPr>
                <w:rFonts w:cstheme="minorHAnsi"/>
                <w:color w:val="000000" w:themeColor="text1"/>
              </w:rPr>
              <w:t>%</w:t>
            </w:r>
          </w:p>
        </w:tc>
        <w:tc>
          <w:tcPr>
            <w:tcW w:w="1291" w:type="dxa"/>
            <w:tcBorders>
              <w:right w:val="single" w:sz="4" w:space="0" w:color="ED7D31" w:themeColor="accent2"/>
            </w:tcBorders>
          </w:tcPr>
          <w:p w14:paraId="10674F93" w14:textId="6310C865"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12.6</w:t>
            </w:r>
            <w:r w:rsidRPr="0004266D">
              <w:rPr>
                <w:rFonts w:cstheme="minorHAnsi"/>
                <w:color w:val="000000" w:themeColor="text1"/>
              </w:rPr>
              <w:t>%</w:t>
            </w:r>
          </w:p>
        </w:tc>
        <w:tc>
          <w:tcPr>
            <w:tcW w:w="1134" w:type="dxa"/>
            <w:tcBorders>
              <w:left w:val="single" w:sz="4" w:space="0" w:color="ED7D31" w:themeColor="accent2"/>
            </w:tcBorders>
          </w:tcPr>
          <w:p w14:paraId="6664688E" w14:textId="40775299" w:rsidR="008F2AA0" w:rsidRPr="0004266D" w:rsidRDefault="002712E8"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4.7</w:t>
            </w:r>
            <w:r w:rsidR="008F2AA0" w:rsidRPr="0004266D">
              <w:rPr>
                <w:rFonts w:cstheme="minorHAnsi"/>
                <w:color w:val="000000" w:themeColor="text1"/>
              </w:rPr>
              <w:t>M</w:t>
            </w:r>
          </w:p>
        </w:tc>
        <w:tc>
          <w:tcPr>
            <w:tcW w:w="1530" w:type="dxa"/>
          </w:tcPr>
          <w:p w14:paraId="350C0B98" w14:textId="2F437DBB"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2.4</w:t>
            </w:r>
            <w:r w:rsidRPr="0004266D">
              <w:rPr>
                <w:rFonts w:cstheme="minorHAnsi"/>
                <w:color w:val="000000" w:themeColor="text1"/>
              </w:rPr>
              <w:t>%</w:t>
            </w:r>
          </w:p>
        </w:tc>
        <w:tc>
          <w:tcPr>
            <w:tcW w:w="1620" w:type="dxa"/>
          </w:tcPr>
          <w:p w14:paraId="2A25914C" w14:textId="66C0DFB5" w:rsidR="008F2AA0" w:rsidRPr="0004266D" w:rsidRDefault="008F2AA0" w:rsidP="008F2AA0">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2712E8">
              <w:rPr>
                <w:rFonts w:cstheme="minorHAnsi"/>
                <w:color w:val="000000" w:themeColor="text1"/>
              </w:rPr>
              <w:t>20.4</w:t>
            </w:r>
            <w:r w:rsidRPr="0004266D">
              <w:rPr>
                <w:rFonts w:cstheme="minorHAnsi"/>
                <w:color w:val="000000" w:themeColor="text1"/>
              </w:rPr>
              <w:t>%</w:t>
            </w:r>
          </w:p>
        </w:tc>
      </w:tr>
    </w:tbl>
    <w:p w14:paraId="712DC4DB" w14:textId="392DF134" w:rsidR="00541AFF" w:rsidRDefault="00541AFF" w:rsidP="00541AFF">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CE4BEB">
        <w:rPr>
          <w:color w:val="7F7F7F" w:themeColor="text1" w:themeTint="80"/>
          <w:sz w:val="16"/>
          <w:szCs w:val="16"/>
        </w:rPr>
        <w:t>8/13</w:t>
      </w:r>
      <w:r w:rsidR="00EB090C">
        <w:rPr>
          <w:color w:val="7F7F7F" w:themeColor="text1" w:themeTint="80"/>
          <w:sz w:val="16"/>
          <w:szCs w:val="16"/>
        </w:rPr>
        <w:t>/2023</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52740165" w:rsidR="00666D40" w:rsidRDefault="006A1766" w:rsidP="00472B02">
      <w:pPr>
        <w:pStyle w:val="NoSpacing"/>
      </w:pPr>
      <w:r>
        <w:t xml:space="preserve">Inflation </w:t>
      </w:r>
      <w:r w:rsidR="0031233D">
        <w:t xml:space="preserve">across total food and beverages is slowing down and </w:t>
      </w:r>
      <w:r>
        <w:t xml:space="preserve">mushrooms are following suit. </w:t>
      </w:r>
      <w:r w:rsidR="00030ABF">
        <w:t>M</w:t>
      </w:r>
      <w:r w:rsidR="000E2A1D">
        <w:t xml:space="preserve">ushroom prices </w:t>
      </w:r>
      <w:r w:rsidR="00C9550B">
        <w:t xml:space="preserve">per unit </w:t>
      </w:r>
      <w:r w:rsidR="00070F7C">
        <w:t>decreased</w:t>
      </w:r>
      <w:r w:rsidR="000E2A1D">
        <w:t xml:space="preserve"> </w:t>
      </w:r>
      <w:r w:rsidR="00A14586">
        <w:t xml:space="preserve">by </w:t>
      </w:r>
      <w:r w:rsidR="00070F7C">
        <w:t>0.4</w:t>
      </w:r>
      <w:r w:rsidR="00322039">
        <w:t xml:space="preserve">% versus year ago </w:t>
      </w:r>
      <w:r w:rsidR="000E2A1D">
        <w:t>in the latest quad-week period</w:t>
      </w:r>
      <w:r w:rsidR="00030ABF">
        <w:t xml:space="preserve">. </w:t>
      </w:r>
      <w:r w:rsidR="00B42A49">
        <w:t xml:space="preserve">This is down from </w:t>
      </w:r>
      <w:r w:rsidR="00070F7C">
        <w:t>4.8</w:t>
      </w:r>
      <w:r>
        <w:t xml:space="preserve">% in the 52-week view. </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3256"/>
        <w:gridCol w:w="299"/>
        <w:gridCol w:w="1146"/>
        <w:gridCol w:w="973"/>
        <w:gridCol w:w="909"/>
        <w:gridCol w:w="1776"/>
        <w:gridCol w:w="817"/>
        <w:gridCol w:w="899"/>
      </w:tblGrid>
      <w:tr w:rsidR="000C3CC4" w:rsidRPr="00124CB7" w14:paraId="6E9D1AEF" w14:textId="162D7E86" w:rsidTr="006778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74759AF7" w14:textId="77777777" w:rsidR="000C3CC4" w:rsidRPr="00124CB7" w:rsidRDefault="000C3CC4" w:rsidP="000C3CC4">
            <w:pPr>
              <w:pStyle w:val="NoSpacing"/>
            </w:pPr>
            <w:r w:rsidRPr="00124CB7">
              <w:t>Fresh mushrooms</w:t>
            </w:r>
          </w:p>
        </w:tc>
        <w:tc>
          <w:tcPr>
            <w:tcW w:w="1445" w:type="dxa"/>
            <w:gridSpan w:val="2"/>
          </w:tcPr>
          <w:p w14:paraId="5EC6EFF0" w14:textId="1F929508"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CE4BEB">
              <w:t>8/13</w:t>
            </w:r>
            <w:r w:rsidR="00EB090C">
              <w:t>/2023</w:t>
            </w:r>
          </w:p>
        </w:tc>
        <w:tc>
          <w:tcPr>
            <w:tcW w:w="973" w:type="dxa"/>
          </w:tcPr>
          <w:p w14:paraId="10EFADEC" w14:textId="03181B9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909" w:type="dxa"/>
            <w:tcBorders>
              <w:right w:val="single" w:sz="4" w:space="0" w:color="ED7D31"/>
            </w:tcBorders>
          </w:tcPr>
          <w:p w14:paraId="55EFE125" w14:textId="0D14501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c>
          <w:tcPr>
            <w:tcW w:w="1776" w:type="dxa"/>
            <w:tcBorders>
              <w:left w:val="single" w:sz="4" w:space="0" w:color="ED7D31"/>
            </w:tcBorders>
          </w:tcPr>
          <w:p w14:paraId="6A5B944C" w14:textId="30048281"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0C3CC4">
              <w:t xml:space="preserve"> </w:t>
            </w:r>
            <w:r w:rsidR="00CE4BEB">
              <w:t>8/13</w:t>
            </w:r>
            <w:r w:rsidR="00EB090C">
              <w:t>/2023</w:t>
            </w:r>
          </w:p>
        </w:tc>
        <w:tc>
          <w:tcPr>
            <w:tcW w:w="817" w:type="dxa"/>
          </w:tcPr>
          <w:p w14:paraId="56551B99" w14:textId="71D2CC9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899" w:type="dxa"/>
          </w:tcPr>
          <w:p w14:paraId="1A109D51" w14:textId="22B9DD2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r>
      <w:tr w:rsidR="000C3CC4" w14:paraId="2B35BE12" w14:textId="0A6FF303" w:rsidTr="0067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102038BB"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2B7DCE">
              <w:t>2.91</w:t>
            </w:r>
          </w:p>
        </w:tc>
        <w:tc>
          <w:tcPr>
            <w:tcW w:w="973" w:type="dxa"/>
          </w:tcPr>
          <w:p w14:paraId="3E0967AB" w14:textId="26EA06E0" w:rsidR="000C3CC4" w:rsidRDefault="002B7DCE" w:rsidP="000C3CC4">
            <w:pPr>
              <w:pStyle w:val="NoSpacing"/>
              <w:jc w:val="right"/>
              <w:cnfStyle w:val="000000100000" w:firstRow="0" w:lastRow="0" w:firstColumn="0" w:lastColumn="0" w:oddVBand="0" w:evenVBand="0" w:oddHBand="1" w:evenHBand="0" w:firstRowFirstColumn="0" w:firstRowLastColumn="0" w:lastRowFirstColumn="0" w:lastRowLastColumn="0"/>
            </w:pPr>
            <w:r>
              <w:t>-0.4</w:t>
            </w:r>
            <w:r w:rsidR="000C3CC4">
              <w:t>%</w:t>
            </w:r>
          </w:p>
        </w:tc>
        <w:tc>
          <w:tcPr>
            <w:tcW w:w="909" w:type="dxa"/>
            <w:tcBorders>
              <w:right w:val="single" w:sz="4" w:space="0" w:color="ED7D31"/>
            </w:tcBorders>
          </w:tcPr>
          <w:p w14:paraId="09DAD54E" w14:textId="7D352886"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14991">
              <w:t>9.4</w:t>
            </w:r>
            <w:r>
              <w:t>%</w:t>
            </w:r>
          </w:p>
        </w:tc>
        <w:tc>
          <w:tcPr>
            <w:tcW w:w="1776" w:type="dxa"/>
            <w:tcBorders>
              <w:left w:val="single" w:sz="4" w:space="0" w:color="ED7D31"/>
            </w:tcBorders>
          </w:tcPr>
          <w:p w14:paraId="03CA719E" w14:textId="55535123"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14991">
              <w:t>2.96</w:t>
            </w:r>
          </w:p>
        </w:tc>
        <w:tc>
          <w:tcPr>
            <w:tcW w:w="817" w:type="dxa"/>
          </w:tcPr>
          <w:p w14:paraId="08755E5E" w14:textId="5AB9601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14991">
              <w:t>4.8</w:t>
            </w:r>
            <w:r>
              <w:t>%</w:t>
            </w:r>
          </w:p>
        </w:tc>
        <w:tc>
          <w:tcPr>
            <w:tcW w:w="899" w:type="dxa"/>
          </w:tcPr>
          <w:p w14:paraId="19B1F6D2" w14:textId="401F1D4A" w:rsidR="000C3CC4" w:rsidRDefault="000C3CC4" w:rsidP="00677889">
            <w:pPr>
              <w:pStyle w:val="NoSpacing"/>
              <w:jc w:val="right"/>
              <w:cnfStyle w:val="000000100000" w:firstRow="0" w:lastRow="0" w:firstColumn="0" w:lastColumn="0" w:oddVBand="0" w:evenVBand="0" w:oddHBand="1" w:evenHBand="0" w:firstRowFirstColumn="0" w:firstRowLastColumn="0" w:lastRowFirstColumn="0" w:lastRowLastColumn="0"/>
            </w:pPr>
            <w:r>
              <w:t>+</w:t>
            </w:r>
            <w:r w:rsidR="00D14991">
              <w:t>13.1</w:t>
            </w:r>
            <w:r>
              <w:t>%</w:t>
            </w:r>
          </w:p>
        </w:tc>
      </w:tr>
      <w:tr w:rsidR="0004266D" w14:paraId="7C18640F" w14:textId="5B569261" w:rsidTr="00677889">
        <w:tc>
          <w:tcPr>
            <w:cnfStyle w:val="001000000000" w:firstRow="0" w:lastRow="0" w:firstColumn="1" w:lastColumn="0" w:oddVBand="0" w:evenVBand="0" w:oddHBand="0" w:evenHBand="0" w:firstRowFirstColumn="0" w:firstRowLastColumn="0" w:lastRowFirstColumn="0" w:lastRowLastColumn="0"/>
            <w:tcW w:w="3555"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49A6A463"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2B7DCE">
              <w:t>4.65</w:t>
            </w:r>
          </w:p>
        </w:tc>
        <w:tc>
          <w:tcPr>
            <w:tcW w:w="973" w:type="dxa"/>
          </w:tcPr>
          <w:p w14:paraId="7E986169" w14:textId="37BCC306" w:rsidR="0004266D" w:rsidRDefault="002B7DCE" w:rsidP="0004266D">
            <w:pPr>
              <w:pStyle w:val="NoSpacing"/>
              <w:jc w:val="right"/>
              <w:cnfStyle w:val="000000000000" w:firstRow="0" w:lastRow="0" w:firstColumn="0" w:lastColumn="0" w:oddVBand="0" w:evenVBand="0" w:oddHBand="0" w:evenHBand="0" w:firstRowFirstColumn="0" w:firstRowLastColumn="0" w:lastRowFirstColumn="0" w:lastRowLastColumn="0"/>
            </w:pPr>
            <w:r>
              <w:t>-0.3</w:t>
            </w:r>
            <w:r w:rsidR="0004266D">
              <w:t>%</w:t>
            </w:r>
          </w:p>
        </w:tc>
        <w:tc>
          <w:tcPr>
            <w:tcW w:w="909" w:type="dxa"/>
            <w:tcBorders>
              <w:right w:val="single" w:sz="4" w:space="0" w:color="ED7D31"/>
            </w:tcBorders>
          </w:tcPr>
          <w:p w14:paraId="36DDF54D" w14:textId="2499C1C9"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D14991">
              <w:t>9.4</w:t>
            </w:r>
            <w:r>
              <w:t>%</w:t>
            </w:r>
          </w:p>
        </w:tc>
        <w:tc>
          <w:tcPr>
            <w:tcW w:w="1776" w:type="dxa"/>
            <w:tcBorders>
              <w:left w:val="single" w:sz="4" w:space="0" w:color="ED7D31"/>
            </w:tcBorders>
          </w:tcPr>
          <w:p w14:paraId="233A8701" w14:textId="06E50B0F"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14991">
              <w:t>4.69</w:t>
            </w:r>
          </w:p>
        </w:tc>
        <w:tc>
          <w:tcPr>
            <w:tcW w:w="817" w:type="dxa"/>
          </w:tcPr>
          <w:p w14:paraId="1759FD32" w14:textId="0311B9E1"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14991">
              <w:t>4.5</w:t>
            </w:r>
            <w:r>
              <w:t>%</w:t>
            </w:r>
          </w:p>
        </w:tc>
        <w:tc>
          <w:tcPr>
            <w:tcW w:w="899" w:type="dxa"/>
          </w:tcPr>
          <w:p w14:paraId="725313BE" w14:textId="7A930B20"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14991">
              <w:t>11.5</w:t>
            </w:r>
            <w:r w:rsidR="00483711">
              <w:t>%</w:t>
            </w:r>
          </w:p>
        </w:tc>
      </w:tr>
    </w:tbl>
    <w:p w14:paraId="5CF68DB9" w14:textId="77777777" w:rsidR="00170260" w:rsidRDefault="00170260" w:rsidP="00170260">
      <w:pPr>
        <w:pStyle w:val="NoSpacing"/>
      </w:pPr>
    </w:p>
    <w:p w14:paraId="611C2D9A" w14:textId="7949B57C" w:rsidR="00170260" w:rsidRDefault="00B672D0" w:rsidP="00170260">
      <w:pPr>
        <w:pStyle w:val="NoSpacing"/>
      </w:pPr>
      <w:r>
        <w:t xml:space="preserve">Moderation in price increases </w:t>
      </w:r>
      <w:r w:rsidR="0009067E">
        <w:t xml:space="preserve">went </w:t>
      </w:r>
      <w:r>
        <w:t>hand-in-hand with an increase in p</w:t>
      </w:r>
      <w:r w:rsidR="006636C7">
        <w:t>romotional activity</w:t>
      </w:r>
      <w:r w:rsidR="0009067E">
        <w:t xml:space="preserve"> in the 52-week view</w:t>
      </w:r>
      <w:r>
        <w:t xml:space="preserve">. </w:t>
      </w:r>
      <w:r w:rsidR="0009067E">
        <w:t xml:space="preserve">During </w:t>
      </w:r>
      <w:r w:rsidR="006636C7">
        <w:t>the latest quad-week period</w:t>
      </w:r>
      <w:r w:rsidR="00916DE2">
        <w:t xml:space="preserve"> </w:t>
      </w:r>
      <w:r w:rsidR="008B46B0">
        <w:t>20.3</w:t>
      </w:r>
      <w:r w:rsidR="00FF2D4A">
        <w:t xml:space="preserve">% of total </w:t>
      </w:r>
      <w:r w:rsidR="00085508">
        <w:t xml:space="preserve">fresh mushroom </w:t>
      </w:r>
      <w:r w:rsidR="00FF2D4A">
        <w:t>dollars</w:t>
      </w:r>
      <w:r w:rsidR="004C1DB1">
        <w:t xml:space="preserve"> sold</w:t>
      </w:r>
      <w:r>
        <w:t xml:space="preserve"> while on promotion</w:t>
      </w:r>
      <w:r w:rsidR="008B46B0">
        <w:t>, which was up 4.5</w:t>
      </w:r>
      <w:r w:rsidR="0009067E">
        <w:t>%</w:t>
      </w:r>
      <w:r w:rsidR="00E508BB">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3E1D2202"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CE4BEB">
              <w:t>8/13</w:t>
            </w:r>
            <w:r w:rsidR="00EB090C">
              <w:t>/2023</w:t>
            </w:r>
          </w:p>
        </w:tc>
        <w:tc>
          <w:tcPr>
            <w:tcW w:w="1369" w:type="dxa"/>
            <w:tcBorders>
              <w:right w:val="single" w:sz="4" w:space="0" w:color="ED7D31"/>
            </w:tcBorders>
          </w:tcPr>
          <w:p w14:paraId="5CF9736D" w14:textId="00DD2640"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2054" w:type="dxa"/>
            <w:tcBorders>
              <w:left w:val="single" w:sz="4" w:space="0" w:color="ED7D31"/>
            </w:tcBorders>
          </w:tcPr>
          <w:p w14:paraId="413A4F70" w14:textId="076D2D84"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972570">
              <w:t xml:space="preserve"> </w:t>
            </w:r>
            <w:r w:rsidR="00CE4BEB">
              <w:t>8/13</w:t>
            </w:r>
            <w:r w:rsidR="00EB090C">
              <w:t>/2023</w:t>
            </w:r>
          </w:p>
        </w:tc>
        <w:tc>
          <w:tcPr>
            <w:tcW w:w="1369" w:type="dxa"/>
          </w:tcPr>
          <w:p w14:paraId="75064544" w14:textId="0F8976C1"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65D81D67" w:rsidR="004A50D2" w:rsidRPr="006617FB" w:rsidRDefault="00E23359" w:rsidP="004A50D2">
            <w:pPr>
              <w:pStyle w:val="NoSpacing"/>
              <w:jc w:val="right"/>
              <w:cnfStyle w:val="000000100000" w:firstRow="0" w:lastRow="0" w:firstColumn="0" w:lastColumn="0" w:oddVBand="0" w:evenVBand="0" w:oddHBand="1" w:evenHBand="0" w:firstRowFirstColumn="0" w:firstRowLastColumn="0" w:lastRowFirstColumn="0" w:lastRowLastColumn="0"/>
            </w:pPr>
            <w:r>
              <w:t>20.3</w:t>
            </w:r>
            <w:r w:rsidR="004A50D2" w:rsidRPr="006617FB">
              <w:t>%</w:t>
            </w:r>
          </w:p>
        </w:tc>
        <w:tc>
          <w:tcPr>
            <w:tcW w:w="1369" w:type="dxa"/>
            <w:tcBorders>
              <w:right w:val="single" w:sz="4" w:space="0" w:color="ED7D31"/>
            </w:tcBorders>
          </w:tcPr>
          <w:p w14:paraId="586FECBD" w14:textId="5F66CB09" w:rsidR="004A50D2" w:rsidRPr="009B0330" w:rsidRDefault="00E23359" w:rsidP="004A50D2">
            <w:pPr>
              <w:pStyle w:val="NoSpacing"/>
              <w:jc w:val="right"/>
              <w:cnfStyle w:val="000000100000" w:firstRow="0" w:lastRow="0" w:firstColumn="0" w:lastColumn="0" w:oddVBand="0" w:evenVBand="0" w:oddHBand="1" w:evenHBand="0" w:firstRowFirstColumn="0" w:firstRowLastColumn="0" w:lastRowFirstColumn="0" w:lastRowLastColumn="0"/>
            </w:pPr>
            <w:r>
              <w:t>+4.5</w:t>
            </w:r>
            <w:r w:rsidR="004A50D2" w:rsidRPr="009B0330">
              <w:t>%</w:t>
            </w:r>
          </w:p>
        </w:tc>
        <w:tc>
          <w:tcPr>
            <w:tcW w:w="2054" w:type="dxa"/>
            <w:tcBorders>
              <w:left w:val="single" w:sz="4" w:space="0" w:color="ED7D31"/>
            </w:tcBorders>
          </w:tcPr>
          <w:p w14:paraId="66CD7DD9" w14:textId="32B0383B" w:rsidR="004A50D2" w:rsidRPr="009B0330" w:rsidRDefault="00E23359" w:rsidP="00916DE2">
            <w:pPr>
              <w:pStyle w:val="NoSpacing"/>
              <w:jc w:val="right"/>
              <w:cnfStyle w:val="000000100000" w:firstRow="0" w:lastRow="0" w:firstColumn="0" w:lastColumn="0" w:oddVBand="0" w:evenVBand="0" w:oddHBand="1" w:evenHBand="0" w:firstRowFirstColumn="0" w:firstRowLastColumn="0" w:lastRowFirstColumn="0" w:lastRowLastColumn="0"/>
            </w:pPr>
            <w:r>
              <w:t>16.7</w:t>
            </w:r>
            <w:r w:rsidR="004A50D2" w:rsidRPr="009B0330">
              <w:t>%</w:t>
            </w:r>
          </w:p>
        </w:tc>
        <w:tc>
          <w:tcPr>
            <w:tcW w:w="1369" w:type="dxa"/>
            <w:shd w:val="clear" w:color="auto" w:fill="auto"/>
          </w:tcPr>
          <w:p w14:paraId="7461CDF6" w14:textId="43610CD7" w:rsidR="004A50D2" w:rsidRPr="00314DA1" w:rsidRDefault="00B42A49" w:rsidP="00145E27">
            <w:pPr>
              <w:pStyle w:val="NoSpacing"/>
              <w:jc w:val="right"/>
              <w:cnfStyle w:val="000000100000" w:firstRow="0" w:lastRow="0" w:firstColumn="0" w:lastColumn="0" w:oddVBand="0" w:evenVBand="0" w:oddHBand="1" w:evenHBand="0" w:firstRowFirstColumn="0" w:firstRowLastColumn="0" w:lastRowFirstColumn="0" w:lastRowLastColumn="0"/>
            </w:pPr>
            <w:r>
              <w:t>+</w:t>
            </w:r>
            <w:r w:rsidR="00E23359">
              <w:t>2.2</w:t>
            </w:r>
            <w:r w:rsidR="004A50D2" w:rsidRPr="00314DA1">
              <w:t>%</w:t>
            </w:r>
          </w:p>
        </w:tc>
      </w:tr>
    </w:tbl>
    <w:p w14:paraId="23606064" w14:textId="49DE147A"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004C5B27">
        <w:rPr>
          <w:color w:val="7F7F7F" w:themeColor="text1" w:themeTint="80"/>
          <w:sz w:val="16"/>
          <w:szCs w:val="16"/>
        </w:rPr>
        <w:t xml:space="preserve">, </w:t>
      </w:r>
      <w:r w:rsidRPr="00555250">
        <w:rPr>
          <w:color w:val="7F7F7F" w:themeColor="text1" w:themeTint="80"/>
          <w:sz w:val="16"/>
          <w:szCs w:val="16"/>
        </w:rPr>
        <w:t xml:space="preserve">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CE4BEB">
        <w:rPr>
          <w:color w:val="7F7F7F" w:themeColor="text1" w:themeTint="80"/>
          <w:sz w:val="16"/>
          <w:szCs w:val="16"/>
        </w:rPr>
        <w:t>8/13</w:t>
      </w:r>
      <w:r w:rsidR="00EB090C">
        <w:rPr>
          <w:color w:val="7F7F7F" w:themeColor="text1" w:themeTint="80"/>
          <w:sz w:val="16"/>
          <w:szCs w:val="16"/>
        </w:rPr>
        <w:t>/2023</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2D690E5D" w:rsidR="00927EAC" w:rsidRDefault="004B7951" w:rsidP="00927EAC">
      <w:pPr>
        <w:pStyle w:val="NoSpacing"/>
      </w:pPr>
      <w:r>
        <w:t>W</w:t>
      </w:r>
      <w:r w:rsidR="00927EAC">
        <w:t>hite mushrooms represent</w:t>
      </w:r>
      <w:r w:rsidR="00461D8C">
        <w:t>ed</w:t>
      </w:r>
      <w:r w:rsidR="00927EAC">
        <w:t xml:space="preserve"> </w:t>
      </w:r>
      <w:r w:rsidR="00070F7C">
        <w:t>52.8</w:t>
      </w:r>
      <w:r w:rsidR="00927EAC">
        <w:t xml:space="preserve">% of </w:t>
      </w:r>
      <w:r w:rsidR="004C1DB1">
        <w:t>mushroom dollars</w:t>
      </w:r>
      <w:r w:rsidR="00927EAC">
        <w:t xml:space="preserve"> and </w:t>
      </w:r>
      <w:r w:rsidR="00070F7C">
        <w:t>60.3</w:t>
      </w:r>
      <w:r w:rsidR="00927EAC">
        <w:t>% of pounds</w:t>
      </w:r>
      <w:r w:rsidR="00AC2C09">
        <w:t xml:space="preserve"> in</w:t>
      </w:r>
      <w:r>
        <w:t xml:space="preserve"> the four</w:t>
      </w:r>
      <w:r w:rsidR="00461D8C">
        <w:t>-week period</w:t>
      </w:r>
      <w:r w:rsidR="00927EAC">
        <w:t xml:space="preserve">. </w:t>
      </w:r>
      <w:r w:rsidR="00904C5C">
        <w:t>Brown mushrooms</w:t>
      </w:r>
      <w:r>
        <w:t xml:space="preserve">, the combination of </w:t>
      </w:r>
      <w:proofErr w:type="spellStart"/>
      <w:r>
        <w:t>cr</w:t>
      </w:r>
      <w:r w:rsidR="002437CE">
        <w:t>i</w:t>
      </w:r>
      <w:r>
        <w:t>minis</w:t>
      </w:r>
      <w:proofErr w:type="spellEnd"/>
      <w:r>
        <w:t xml:space="preserve"> and portabellas,</w:t>
      </w:r>
      <w:r w:rsidR="00B25DFD">
        <w:t xml:space="preserve"> </w:t>
      </w:r>
      <w:r w:rsidR="0031233D">
        <w:t>had similar results</w:t>
      </w:r>
      <w:r w:rsidR="00300A5F">
        <w:t xml:space="preserve">. </w:t>
      </w:r>
      <w:r w:rsidR="0031233D">
        <w:t xml:space="preserve">Specialty mushrooms, that include shiitake and oyster mushrooms, was the only area that increased dollar and pound sales. </w:t>
      </w:r>
    </w:p>
    <w:p w14:paraId="29B3DB23" w14:textId="73EA9AE3" w:rsidR="00B25DFD" w:rsidRDefault="00B25DFD" w:rsidP="00927EAC">
      <w:pPr>
        <w:pStyle w:val="NoSpacing"/>
      </w:pPr>
    </w:p>
    <w:tbl>
      <w:tblPr>
        <w:tblStyle w:val="ListTable3-Accent2"/>
        <w:tblW w:w="10615" w:type="dxa"/>
        <w:tblLayout w:type="fixed"/>
        <w:tblLook w:val="0400" w:firstRow="0" w:lastRow="0" w:firstColumn="0" w:lastColumn="0" w:noHBand="0" w:noVBand="1"/>
      </w:tblPr>
      <w:tblGrid>
        <w:gridCol w:w="2699"/>
        <w:gridCol w:w="1016"/>
        <w:gridCol w:w="882"/>
        <w:gridCol w:w="991"/>
        <w:gridCol w:w="972"/>
        <w:gridCol w:w="927"/>
        <w:gridCol w:w="1117"/>
        <w:gridCol w:w="1047"/>
        <w:gridCol w:w="964"/>
      </w:tblGrid>
      <w:tr w:rsidR="00A43A45" w:rsidRPr="00B25DFD" w14:paraId="66036A96" w14:textId="09558220"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shd w:val="clear" w:color="auto" w:fill="ED7D31" w:themeFill="accent2"/>
            <w:vAlign w:val="center"/>
            <w:hideMark/>
          </w:tcPr>
          <w:p w14:paraId="4B138C18" w14:textId="7695844A"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CE4BEB">
              <w:rPr>
                <w:rFonts w:cstheme="minorHAnsi"/>
                <w:b/>
                <w:bCs/>
                <w:color w:val="FFFFFF" w:themeColor="background1"/>
              </w:rPr>
              <w:t>8/13</w:t>
            </w:r>
            <w:r w:rsidR="00EB090C">
              <w:rPr>
                <w:rFonts w:cstheme="minorHAnsi"/>
                <w:b/>
                <w:bCs/>
                <w:color w:val="FFFFFF" w:themeColor="background1"/>
              </w:rPr>
              <w:t>/2023</w:t>
            </w:r>
          </w:p>
        </w:tc>
        <w:tc>
          <w:tcPr>
            <w:tcW w:w="1016"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991" w:type="dxa"/>
            <w:shd w:val="clear" w:color="auto" w:fill="ED7D31" w:themeFill="accent2"/>
            <w:hideMark/>
          </w:tcPr>
          <w:p w14:paraId="3685CC92" w14:textId="5F7AA071"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72" w:type="dxa"/>
            <w:tcBorders>
              <w:right w:val="single" w:sz="4" w:space="0" w:color="ED7D31"/>
            </w:tcBorders>
            <w:shd w:val="clear" w:color="auto" w:fill="ED7D31" w:themeFill="accent2"/>
            <w:hideMark/>
          </w:tcPr>
          <w:p w14:paraId="4605C27F" w14:textId="0095037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w:t>
            </w:r>
            <w:proofErr w:type="spellStart"/>
            <w:r w:rsidR="00D8225F">
              <w:rPr>
                <w:rFonts w:cstheme="minorHAnsi"/>
                <w:b/>
                <w:bCs/>
                <w:color w:val="FFFFFF" w:themeColor="background1"/>
              </w:rPr>
              <w:t>lbs</w:t>
            </w:r>
            <w:proofErr w:type="spellEnd"/>
            <w:r w:rsidR="00D8225F">
              <w:rPr>
                <w:rFonts w:cstheme="minorHAnsi"/>
                <w:b/>
                <w:bCs/>
                <w:color w:val="FFFFFF" w:themeColor="background1"/>
              </w:rPr>
              <w:t>)</w:t>
            </w:r>
          </w:p>
        </w:tc>
        <w:tc>
          <w:tcPr>
            <w:tcW w:w="1117"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47" w:type="dxa"/>
            <w:shd w:val="clear" w:color="auto" w:fill="ED7D31" w:themeFill="accent2"/>
          </w:tcPr>
          <w:p w14:paraId="7DE6FAA8" w14:textId="407FBFD8"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w:t>
            </w:r>
            <w:r>
              <w:rPr>
                <w:rFonts w:cstheme="minorHAnsi"/>
                <w:b/>
                <w:bCs/>
                <w:color w:val="FFFFFF" w:themeColor="background1"/>
              </w:rPr>
              <w:br/>
              <w:t>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64" w:type="dxa"/>
            <w:shd w:val="clear" w:color="auto" w:fill="ED7D31" w:themeFill="accent2"/>
          </w:tcPr>
          <w:p w14:paraId="212AEB88" w14:textId="5FC08CEC"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r>
      <w:tr w:rsidR="008F2AA0" w:rsidRPr="00B25DFD" w14:paraId="69D4AA5B" w14:textId="069A747C" w:rsidTr="00A43A45">
        <w:trPr>
          <w:trHeight w:val="20"/>
        </w:trPr>
        <w:tc>
          <w:tcPr>
            <w:tcW w:w="2699" w:type="dxa"/>
            <w:vAlign w:val="center"/>
            <w:hideMark/>
          </w:tcPr>
          <w:p w14:paraId="2C1CDE46" w14:textId="178D4679" w:rsidR="008F2AA0" w:rsidRPr="006A7A6E" w:rsidRDefault="008F2AA0" w:rsidP="008F2AA0">
            <w:pPr>
              <w:rPr>
                <w:rFonts w:cstheme="minorHAnsi"/>
                <w:b/>
                <w:bCs/>
              </w:rPr>
            </w:pPr>
            <w:r>
              <w:rPr>
                <w:rFonts w:cstheme="minorHAnsi"/>
                <w:b/>
                <w:bCs/>
              </w:rPr>
              <w:t>Total f</w:t>
            </w:r>
            <w:r w:rsidRPr="006A7A6E">
              <w:rPr>
                <w:rFonts w:cstheme="minorHAnsi"/>
                <w:b/>
                <w:bCs/>
              </w:rPr>
              <w:t>resh mushrooms</w:t>
            </w:r>
          </w:p>
        </w:tc>
        <w:tc>
          <w:tcPr>
            <w:tcW w:w="1016" w:type="dxa"/>
            <w:hideMark/>
          </w:tcPr>
          <w:p w14:paraId="6A87FED7" w14:textId="3667AC2A" w:rsidR="008F2AA0" w:rsidRPr="006A7A6E" w:rsidRDefault="008F2AA0" w:rsidP="008F2AA0">
            <w:pPr>
              <w:pStyle w:val="NoSpacing"/>
              <w:jc w:val="right"/>
              <w:rPr>
                <w:rFonts w:cstheme="minorHAnsi"/>
                <w:b/>
                <w:bCs/>
              </w:rPr>
            </w:pPr>
            <w:r w:rsidRPr="006A7A6E">
              <w:rPr>
                <w:rFonts w:cstheme="minorHAnsi"/>
                <w:b/>
                <w:bCs/>
                <w:color w:val="000000" w:themeColor="text1"/>
              </w:rPr>
              <w:t>$</w:t>
            </w:r>
            <w:r w:rsidR="00E23359">
              <w:rPr>
                <w:rFonts w:cstheme="minorHAnsi"/>
                <w:b/>
                <w:bCs/>
                <w:color w:val="000000" w:themeColor="text1"/>
              </w:rPr>
              <w:t>86.9</w:t>
            </w:r>
            <w:r w:rsidRPr="006A7A6E">
              <w:rPr>
                <w:rFonts w:cstheme="minorHAnsi"/>
                <w:b/>
                <w:bCs/>
                <w:color w:val="000000" w:themeColor="text1"/>
              </w:rPr>
              <w:t>M</w:t>
            </w:r>
          </w:p>
        </w:tc>
        <w:tc>
          <w:tcPr>
            <w:tcW w:w="882" w:type="dxa"/>
          </w:tcPr>
          <w:p w14:paraId="3A01C257" w14:textId="5BC053CF" w:rsidR="008F2AA0" w:rsidRPr="006A7A6E" w:rsidRDefault="008F2AA0" w:rsidP="008F2AA0">
            <w:pPr>
              <w:pStyle w:val="NoSpacing"/>
              <w:jc w:val="right"/>
              <w:rPr>
                <w:rFonts w:cstheme="minorHAnsi"/>
                <w:b/>
                <w:bCs/>
                <w:color w:val="000000" w:themeColor="text1"/>
              </w:rPr>
            </w:pPr>
            <w:r>
              <w:rPr>
                <w:rFonts w:cstheme="minorHAnsi"/>
                <w:b/>
                <w:bCs/>
                <w:color w:val="000000" w:themeColor="text1"/>
              </w:rPr>
              <w:t>100.0%</w:t>
            </w:r>
          </w:p>
        </w:tc>
        <w:tc>
          <w:tcPr>
            <w:tcW w:w="991" w:type="dxa"/>
            <w:hideMark/>
          </w:tcPr>
          <w:p w14:paraId="7E486F05" w14:textId="32E3C046" w:rsidR="008F2AA0" w:rsidRPr="006A7A6E" w:rsidRDefault="008F2AA0" w:rsidP="008F2AA0">
            <w:pPr>
              <w:pStyle w:val="NoSpacing"/>
              <w:jc w:val="right"/>
              <w:rPr>
                <w:rFonts w:cstheme="minorHAnsi"/>
                <w:b/>
                <w:bCs/>
              </w:rPr>
            </w:pPr>
            <w:r>
              <w:rPr>
                <w:rFonts w:cstheme="minorHAnsi"/>
                <w:b/>
                <w:bCs/>
                <w:color w:val="000000" w:themeColor="text1"/>
              </w:rPr>
              <w:t>-</w:t>
            </w:r>
            <w:r w:rsidR="00E23359">
              <w:rPr>
                <w:rFonts w:cstheme="minorHAnsi"/>
                <w:b/>
                <w:bCs/>
                <w:color w:val="000000" w:themeColor="text1"/>
              </w:rPr>
              <w:t>4.2</w:t>
            </w:r>
            <w:r w:rsidRPr="006A7A6E">
              <w:rPr>
                <w:rFonts w:cstheme="minorHAnsi"/>
                <w:b/>
                <w:bCs/>
                <w:color w:val="000000" w:themeColor="text1"/>
              </w:rPr>
              <w:t>%</w:t>
            </w:r>
          </w:p>
        </w:tc>
        <w:tc>
          <w:tcPr>
            <w:tcW w:w="972" w:type="dxa"/>
            <w:tcBorders>
              <w:right w:val="single" w:sz="4" w:space="0" w:color="ED7D31"/>
            </w:tcBorders>
            <w:hideMark/>
          </w:tcPr>
          <w:p w14:paraId="3BD808C1" w14:textId="5DD4855E" w:rsidR="008F2AA0" w:rsidRPr="006A7A6E" w:rsidRDefault="008F2AA0" w:rsidP="008F2AA0">
            <w:pPr>
              <w:pStyle w:val="NoSpacing"/>
              <w:jc w:val="right"/>
              <w:rPr>
                <w:rFonts w:cstheme="minorHAnsi"/>
                <w:b/>
                <w:bCs/>
              </w:rPr>
            </w:pPr>
            <w:r>
              <w:rPr>
                <w:rFonts w:cstheme="minorHAnsi"/>
                <w:b/>
                <w:bCs/>
                <w:color w:val="000000" w:themeColor="text1"/>
              </w:rPr>
              <w:t>-</w:t>
            </w:r>
            <w:r w:rsidR="00E23359">
              <w:rPr>
                <w:rFonts w:cstheme="minorHAnsi"/>
                <w:b/>
                <w:bCs/>
                <w:color w:val="000000" w:themeColor="text1"/>
              </w:rPr>
              <w:t>14.4</w:t>
            </w:r>
            <w:r w:rsidRPr="006A7A6E">
              <w:rPr>
                <w:rFonts w:cstheme="minorHAnsi"/>
                <w:b/>
                <w:bCs/>
                <w:color w:val="000000" w:themeColor="text1"/>
              </w:rPr>
              <w:t>%</w:t>
            </w:r>
          </w:p>
        </w:tc>
        <w:tc>
          <w:tcPr>
            <w:tcW w:w="927" w:type="dxa"/>
            <w:tcBorders>
              <w:left w:val="single" w:sz="4" w:space="0" w:color="ED7D31"/>
            </w:tcBorders>
          </w:tcPr>
          <w:p w14:paraId="6E7375BC" w14:textId="2D85F8F8" w:rsidR="008F2AA0" w:rsidRPr="006A7A6E" w:rsidRDefault="00E23359" w:rsidP="008F2AA0">
            <w:pPr>
              <w:pStyle w:val="NoSpacing"/>
              <w:jc w:val="right"/>
              <w:rPr>
                <w:rFonts w:cstheme="minorHAnsi"/>
                <w:b/>
                <w:bCs/>
              </w:rPr>
            </w:pPr>
            <w:r>
              <w:rPr>
                <w:rFonts w:cstheme="minorHAnsi"/>
                <w:b/>
                <w:bCs/>
                <w:color w:val="000000" w:themeColor="text1"/>
              </w:rPr>
              <w:t>18.7</w:t>
            </w:r>
            <w:r w:rsidR="008F2AA0" w:rsidRPr="006A7A6E">
              <w:rPr>
                <w:rFonts w:cstheme="minorHAnsi"/>
                <w:b/>
                <w:bCs/>
                <w:color w:val="000000" w:themeColor="text1"/>
              </w:rPr>
              <w:t>M</w:t>
            </w:r>
          </w:p>
        </w:tc>
        <w:tc>
          <w:tcPr>
            <w:tcW w:w="1117" w:type="dxa"/>
          </w:tcPr>
          <w:p w14:paraId="62317D86" w14:textId="48F99B3E" w:rsidR="008F2AA0" w:rsidRPr="006A7A6E" w:rsidRDefault="008F2AA0" w:rsidP="008F2AA0">
            <w:pPr>
              <w:pStyle w:val="NoSpacing"/>
              <w:jc w:val="right"/>
              <w:rPr>
                <w:rFonts w:cstheme="minorHAnsi"/>
                <w:b/>
                <w:bCs/>
                <w:color w:val="000000" w:themeColor="text1"/>
              </w:rPr>
            </w:pPr>
            <w:r>
              <w:rPr>
                <w:rFonts w:cstheme="minorHAnsi"/>
                <w:b/>
                <w:bCs/>
                <w:color w:val="000000" w:themeColor="text1"/>
              </w:rPr>
              <w:t>100.0%</w:t>
            </w:r>
          </w:p>
        </w:tc>
        <w:tc>
          <w:tcPr>
            <w:tcW w:w="1047" w:type="dxa"/>
          </w:tcPr>
          <w:p w14:paraId="5E78B271" w14:textId="30C10D76" w:rsidR="008F2AA0" w:rsidRPr="006A7A6E" w:rsidRDefault="008F2AA0" w:rsidP="008F2AA0">
            <w:pPr>
              <w:pStyle w:val="NoSpacing"/>
              <w:jc w:val="right"/>
              <w:rPr>
                <w:rFonts w:cstheme="minorHAnsi"/>
                <w:b/>
                <w:bCs/>
              </w:rPr>
            </w:pPr>
            <w:r>
              <w:rPr>
                <w:rFonts w:cstheme="minorHAnsi"/>
                <w:b/>
                <w:bCs/>
                <w:color w:val="000000" w:themeColor="text1"/>
              </w:rPr>
              <w:t>-</w:t>
            </w:r>
            <w:r w:rsidR="00E23359">
              <w:rPr>
                <w:rFonts w:cstheme="minorHAnsi"/>
                <w:b/>
                <w:bCs/>
                <w:color w:val="000000" w:themeColor="text1"/>
              </w:rPr>
              <w:t>3.9</w:t>
            </w:r>
            <w:r w:rsidRPr="006A7A6E">
              <w:rPr>
                <w:rFonts w:cstheme="minorHAnsi"/>
                <w:b/>
                <w:bCs/>
                <w:color w:val="000000" w:themeColor="text1"/>
              </w:rPr>
              <w:t>%</w:t>
            </w:r>
          </w:p>
        </w:tc>
        <w:tc>
          <w:tcPr>
            <w:tcW w:w="964" w:type="dxa"/>
          </w:tcPr>
          <w:p w14:paraId="576290B6" w14:textId="0B764552" w:rsidR="008F2AA0" w:rsidRPr="006A7A6E" w:rsidRDefault="008F2AA0" w:rsidP="008F2AA0">
            <w:pPr>
              <w:pStyle w:val="NoSpacing"/>
              <w:jc w:val="right"/>
              <w:rPr>
                <w:rFonts w:cstheme="minorHAnsi"/>
                <w:b/>
                <w:bCs/>
              </w:rPr>
            </w:pPr>
            <w:r>
              <w:rPr>
                <w:rFonts w:cstheme="minorHAnsi"/>
                <w:b/>
                <w:bCs/>
                <w:color w:val="000000" w:themeColor="text1"/>
              </w:rPr>
              <w:t>-</w:t>
            </w:r>
            <w:r w:rsidR="00E23359">
              <w:rPr>
                <w:rFonts w:cstheme="minorHAnsi"/>
                <w:b/>
                <w:bCs/>
                <w:color w:val="000000" w:themeColor="text1"/>
              </w:rPr>
              <w:t>21.8</w:t>
            </w:r>
            <w:r w:rsidRPr="006A7A6E">
              <w:rPr>
                <w:rFonts w:cstheme="minorHAnsi"/>
                <w:b/>
                <w:bCs/>
                <w:color w:val="000000" w:themeColor="text1"/>
              </w:rPr>
              <w:t>%</w:t>
            </w:r>
          </w:p>
        </w:tc>
      </w:tr>
      <w:tr w:rsidR="008F2AA0" w:rsidRPr="00B25DFD" w14:paraId="20B4A675" w14:textId="7B567306"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0674F69D" w14:textId="21733F06" w:rsidR="008F2AA0" w:rsidRPr="006A7A6E" w:rsidRDefault="008F2AA0" w:rsidP="008F2AA0">
            <w:pPr>
              <w:rPr>
                <w:rFonts w:cstheme="minorHAnsi"/>
              </w:rPr>
            </w:pPr>
            <w:r w:rsidRPr="006A7A6E">
              <w:rPr>
                <w:rFonts w:cstheme="minorHAnsi"/>
              </w:rPr>
              <w:t>White mushrooms</w:t>
            </w:r>
          </w:p>
        </w:tc>
        <w:tc>
          <w:tcPr>
            <w:tcW w:w="1016" w:type="dxa"/>
            <w:hideMark/>
          </w:tcPr>
          <w:p w14:paraId="502595AA" w14:textId="00820D10" w:rsidR="008F2AA0" w:rsidRPr="002F23A1" w:rsidRDefault="008F2AA0" w:rsidP="008F2AA0">
            <w:pPr>
              <w:pStyle w:val="NoSpacing"/>
              <w:jc w:val="right"/>
              <w:rPr>
                <w:rFonts w:cstheme="minorHAnsi"/>
              </w:rPr>
            </w:pPr>
            <w:r w:rsidRPr="002F23A1">
              <w:rPr>
                <w:rFonts w:cstheme="minorHAnsi"/>
                <w:color w:val="000000" w:themeColor="text1"/>
              </w:rPr>
              <w:t>$</w:t>
            </w:r>
            <w:r w:rsidR="00E23359">
              <w:rPr>
                <w:rFonts w:cstheme="minorHAnsi"/>
                <w:color w:val="000000" w:themeColor="text1"/>
              </w:rPr>
              <w:t>45.9</w:t>
            </w:r>
            <w:r w:rsidRPr="002F23A1">
              <w:rPr>
                <w:rFonts w:cstheme="minorHAnsi"/>
                <w:color w:val="000000" w:themeColor="text1"/>
              </w:rPr>
              <w:t>M</w:t>
            </w:r>
          </w:p>
        </w:tc>
        <w:tc>
          <w:tcPr>
            <w:tcW w:w="882" w:type="dxa"/>
          </w:tcPr>
          <w:p w14:paraId="5E770B3E" w14:textId="3CA7B5EE" w:rsidR="008F2AA0" w:rsidRPr="00D96AEE" w:rsidRDefault="00E23359" w:rsidP="00A43A45">
            <w:pPr>
              <w:pStyle w:val="NoSpacing"/>
              <w:jc w:val="right"/>
              <w:rPr>
                <w:rFonts w:cstheme="minorHAnsi"/>
              </w:rPr>
            </w:pPr>
            <w:r>
              <w:rPr>
                <w:rFonts w:cstheme="minorHAnsi"/>
              </w:rPr>
              <w:t>52.8</w:t>
            </w:r>
            <w:r w:rsidR="008F2AA0" w:rsidRPr="00D96AEE">
              <w:rPr>
                <w:rFonts w:cstheme="minorHAnsi"/>
              </w:rPr>
              <w:t>%</w:t>
            </w:r>
          </w:p>
        </w:tc>
        <w:tc>
          <w:tcPr>
            <w:tcW w:w="991" w:type="dxa"/>
            <w:hideMark/>
          </w:tcPr>
          <w:p w14:paraId="4CEB702D" w14:textId="5329B2C4" w:rsidR="008F2AA0" w:rsidRPr="00D96AEE"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4.5</w:t>
            </w:r>
            <w:r w:rsidRPr="0004266D">
              <w:rPr>
                <w:rFonts w:cstheme="minorHAnsi"/>
                <w:color w:val="000000" w:themeColor="text1"/>
              </w:rPr>
              <w:t>%</w:t>
            </w:r>
          </w:p>
        </w:tc>
        <w:tc>
          <w:tcPr>
            <w:tcW w:w="972" w:type="dxa"/>
            <w:tcBorders>
              <w:right w:val="single" w:sz="4" w:space="0" w:color="ED7D31"/>
            </w:tcBorders>
            <w:hideMark/>
          </w:tcPr>
          <w:p w14:paraId="7F3B4AE1" w14:textId="726362DD" w:rsidR="008F2AA0" w:rsidRPr="0004266D"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17.6</w:t>
            </w:r>
            <w:r w:rsidRPr="0004266D">
              <w:rPr>
                <w:rFonts w:cstheme="minorHAnsi"/>
                <w:color w:val="000000" w:themeColor="text1"/>
              </w:rPr>
              <w:t>%</w:t>
            </w:r>
          </w:p>
        </w:tc>
        <w:tc>
          <w:tcPr>
            <w:tcW w:w="927" w:type="dxa"/>
            <w:tcBorders>
              <w:left w:val="single" w:sz="4" w:space="0" w:color="ED7D31"/>
            </w:tcBorders>
          </w:tcPr>
          <w:p w14:paraId="3E87B660" w14:textId="5EDF2EFD" w:rsidR="008F2AA0" w:rsidRPr="0004266D" w:rsidRDefault="00E23359" w:rsidP="008F2AA0">
            <w:pPr>
              <w:pStyle w:val="NoSpacing"/>
              <w:jc w:val="right"/>
              <w:rPr>
                <w:rFonts w:cstheme="minorHAnsi"/>
              </w:rPr>
            </w:pPr>
            <w:r>
              <w:rPr>
                <w:rFonts w:cstheme="minorHAnsi"/>
                <w:color w:val="000000" w:themeColor="text1"/>
              </w:rPr>
              <w:t>11.3</w:t>
            </w:r>
            <w:r w:rsidR="008F2AA0" w:rsidRPr="0004266D">
              <w:rPr>
                <w:rFonts w:cstheme="minorHAnsi"/>
                <w:color w:val="000000" w:themeColor="text1"/>
              </w:rPr>
              <w:t>M</w:t>
            </w:r>
          </w:p>
        </w:tc>
        <w:tc>
          <w:tcPr>
            <w:tcW w:w="1117" w:type="dxa"/>
          </w:tcPr>
          <w:p w14:paraId="4385ED4A" w14:textId="2C8E4DB5" w:rsidR="008F2AA0" w:rsidRPr="00337F18" w:rsidRDefault="00E23359" w:rsidP="00A43A45">
            <w:pPr>
              <w:pStyle w:val="NoSpacing"/>
              <w:tabs>
                <w:tab w:val="left" w:pos="510"/>
                <w:tab w:val="right" w:pos="674"/>
              </w:tabs>
              <w:jc w:val="right"/>
              <w:rPr>
                <w:rFonts w:cstheme="minorHAnsi"/>
              </w:rPr>
            </w:pPr>
            <w:r>
              <w:rPr>
                <w:rFonts w:cstheme="minorHAnsi"/>
              </w:rPr>
              <w:t>60.3</w:t>
            </w:r>
            <w:r w:rsidR="008F2AA0" w:rsidRPr="00D96AEE">
              <w:rPr>
                <w:rFonts w:cstheme="minorHAnsi"/>
              </w:rPr>
              <w:t>%</w:t>
            </w:r>
          </w:p>
        </w:tc>
        <w:tc>
          <w:tcPr>
            <w:tcW w:w="1047" w:type="dxa"/>
          </w:tcPr>
          <w:p w14:paraId="776C4AD3" w14:textId="38D59705" w:rsidR="008F2AA0" w:rsidRPr="0004266D"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3.8</w:t>
            </w:r>
            <w:r w:rsidRPr="0004266D">
              <w:rPr>
                <w:rFonts w:cstheme="minorHAnsi"/>
                <w:color w:val="000000" w:themeColor="text1"/>
              </w:rPr>
              <w:t>%</w:t>
            </w:r>
          </w:p>
        </w:tc>
        <w:tc>
          <w:tcPr>
            <w:tcW w:w="964" w:type="dxa"/>
          </w:tcPr>
          <w:p w14:paraId="107F8B93" w14:textId="770E4C3C" w:rsidR="008F2AA0" w:rsidRPr="00D96AEE"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23.6</w:t>
            </w:r>
            <w:r w:rsidRPr="0004266D">
              <w:rPr>
                <w:rFonts w:cstheme="minorHAnsi"/>
                <w:color w:val="000000" w:themeColor="text1"/>
              </w:rPr>
              <w:t>%</w:t>
            </w:r>
          </w:p>
        </w:tc>
      </w:tr>
      <w:tr w:rsidR="008F2AA0" w:rsidRPr="00B25DFD" w14:paraId="6060C93B" w14:textId="081A30E4" w:rsidTr="00A43A45">
        <w:trPr>
          <w:trHeight w:val="20"/>
        </w:trPr>
        <w:tc>
          <w:tcPr>
            <w:tcW w:w="2699" w:type="dxa"/>
            <w:vAlign w:val="center"/>
            <w:hideMark/>
          </w:tcPr>
          <w:p w14:paraId="4D628EC6" w14:textId="7F1F9492" w:rsidR="008F2AA0" w:rsidRPr="006A7A6E" w:rsidRDefault="008F2AA0" w:rsidP="008F2AA0">
            <w:pPr>
              <w:rPr>
                <w:rFonts w:cstheme="minorHAnsi"/>
              </w:rPr>
            </w:pPr>
            <w:r w:rsidRPr="006A7A6E">
              <w:rPr>
                <w:rFonts w:cstheme="minorHAnsi"/>
              </w:rPr>
              <w:t>Brown mushrooms</w:t>
            </w:r>
          </w:p>
        </w:tc>
        <w:tc>
          <w:tcPr>
            <w:tcW w:w="1016" w:type="dxa"/>
            <w:hideMark/>
          </w:tcPr>
          <w:p w14:paraId="590C2B94" w14:textId="6F6F9493" w:rsidR="008F2AA0" w:rsidRPr="002F23A1" w:rsidRDefault="008F2AA0" w:rsidP="008F2AA0">
            <w:pPr>
              <w:pStyle w:val="NoSpacing"/>
              <w:jc w:val="right"/>
              <w:rPr>
                <w:rFonts w:cstheme="minorHAnsi"/>
              </w:rPr>
            </w:pPr>
            <w:r w:rsidRPr="002F23A1">
              <w:rPr>
                <w:rFonts w:cstheme="minorHAnsi"/>
                <w:color w:val="000000" w:themeColor="text1"/>
              </w:rPr>
              <w:t>$</w:t>
            </w:r>
            <w:r w:rsidR="00E23359">
              <w:rPr>
                <w:rFonts w:cstheme="minorHAnsi"/>
                <w:color w:val="000000" w:themeColor="text1"/>
              </w:rPr>
              <w:t>36.2</w:t>
            </w:r>
            <w:r w:rsidRPr="002F23A1">
              <w:rPr>
                <w:rFonts w:cstheme="minorHAnsi"/>
                <w:color w:val="000000" w:themeColor="text1"/>
              </w:rPr>
              <w:t>M</w:t>
            </w:r>
          </w:p>
        </w:tc>
        <w:tc>
          <w:tcPr>
            <w:tcW w:w="882" w:type="dxa"/>
          </w:tcPr>
          <w:p w14:paraId="02395440" w14:textId="3931A9DE" w:rsidR="008F2AA0" w:rsidRPr="00337F18" w:rsidRDefault="00E23359" w:rsidP="008F2AA0">
            <w:pPr>
              <w:pStyle w:val="NoSpacing"/>
              <w:jc w:val="right"/>
              <w:rPr>
                <w:rFonts w:cstheme="minorHAnsi"/>
              </w:rPr>
            </w:pPr>
            <w:r>
              <w:rPr>
                <w:rFonts w:cstheme="minorHAnsi"/>
              </w:rPr>
              <w:t>41.7</w:t>
            </w:r>
            <w:r w:rsidR="008F2AA0" w:rsidRPr="00337F18">
              <w:rPr>
                <w:rFonts w:cstheme="minorHAnsi"/>
              </w:rPr>
              <w:t>%</w:t>
            </w:r>
          </w:p>
        </w:tc>
        <w:tc>
          <w:tcPr>
            <w:tcW w:w="991" w:type="dxa"/>
            <w:hideMark/>
          </w:tcPr>
          <w:p w14:paraId="42F0AAF3" w14:textId="129D4912" w:rsidR="008F2AA0" w:rsidRPr="0004266D" w:rsidRDefault="00BF3DAE" w:rsidP="008F2AA0">
            <w:pPr>
              <w:pStyle w:val="NoSpacing"/>
              <w:jc w:val="right"/>
              <w:rPr>
                <w:rFonts w:cstheme="minorHAnsi"/>
              </w:rPr>
            </w:pPr>
            <w:r>
              <w:rPr>
                <w:rFonts w:cstheme="minorHAnsi"/>
                <w:color w:val="000000" w:themeColor="text1"/>
              </w:rPr>
              <w:t>-</w:t>
            </w:r>
            <w:r w:rsidR="00E23359">
              <w:rPr>
                <w:rFonts w:cstheme="minorHAnsi"/>
                <w:color w:val="000000" w:themeColor="text1"/>
              </w:rPr>
              <w:t>4.7</w:t>
            </w:r>
            <w:r w:rsidR="008F2AA0" w:rsidRPr="0004266D">
              <w:rPr>
                <w:rFonts w:cstheme="minorHAnsi"/>
                <w:color w:val="000000" w:themeColor="text1"/>
              </w:rPr>
              <w:t>%</w:t>
            </w:r>
          </w:p>
        </w:tc>
        <w:tc>
          <w:tcPr>
            <w:tcW w:w="972" w:type="dxa"/>
            <w:tcBorders>
              <w:right w:val="single" w:sz="4" w:space="0" w:color="ED7D31"/>
            </w:tcBorders>
            <w:hideMark/>
          </w:tcPr>
          <w:p w14:paraId="25DB127B" w14:textId="2F241534" w:rsidR="008F2AA0" w:rsidRPr="0004266D"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10.7</w:t>
            </w:r>
            <w:r w:rsidRPr="0004266D">
              <w:rPr>
                <w:rFonts w:cstheme="minorHAnsi"/>
                <w:color w:val="000000" w:themeColor="text1"/>
              </w:rPr>
              <w:t>%</w:t>
            </w:r>
          </w:p>
        </w:tc>
        <w:tc>
          <w:tcPr>
            <w:tcW w:w="927" w:type="dxa"/>
            <w:tcBorders>
              <w:left w:val="single" w:sz="4" w:space="0" w:color="ED7D31"/>
            </w:tcBorders>
          </w:tcPr>
          <w:p w14:paraId="6FD24DED" w14:textId="20E601A0" w:rsidR="008F2AA0" w:rsidRPr="0004266D" w:rsidRDefault="00E23359" w:rsidP="008F2AA0">
            <w:pPr>
              <w:pStyle w:val="NoSpacing"/>
              <w:jc w:val="right"/>
              <w:rPr>
                <w:rFonts w:cstheme="minorHAnsi"/>
              </w:rPr>
            </w:pPr>
            <w:r>
              <w:rPr>
                <w:rFonts w:cstheme="minorHAnsi"/>
                <w:color w:val="000000" w:themeColor="text1"/>
              </w:rPr>
              <w:t>7.1</w:t>
            </w:r>
            <w:r w:rsidR="008F2AA0" w:rsidRPr="0004266D">
              <w:rPr>
                <w:rFonts w:cstheme="minorHAnsi"/>
                <w:color w:val="000000" w:themeColor="text1"/>
              </w:rPr>
              <w:t>M</w:t>
            </w:r>
          </w:p>
        </w:tc>
        <w:tc>
          <w:tcPr>
            <w:tcW w:w="1117" w:type="dxa"/>
          </w:tcPr>
          <w:p w14:paraId="39529C18" w14:textId="6265FB12" w:rsidR="008F2AA0" w:rsidRPr="00337F18" w:rsidRDefault="00E23359" w:rsidP="008F2AA0">
            <w:pPr>
              <w:pStyle w:val="NoSpacing"/>
              <w:jc w:val="right"/>
              <w:rPr>
                <w:rFonts w:cstheme="minorHAnsi"/>
              </w:rPr>
            </w:pPr>
            <w:r>
              <w:rPr>
                <w:rFonts w:cstheme="minorHAnsi"/>
              </w:rPr>
              <w:t>37.8</w:t>
            </w:r>
            <w:r w:rsidR="008F2AA0" w:rsidRPr="00337F18">
              <w:rPr>
                <w:rFonts w:cstheme="minorHAnsi"/>
              </w:rPr>
              <w:t>%</w:t>
            </w:r>
          </w:p>
        </w:tc>
        <w:tc>
          <w:tcPr>
            <w:tcW w:w="1047" w:type="dxa"/>
          </w:tcPr>
          <w:p w14:paraId="720478A7" w14:textId="549FD129" w:rsidR="008F2AA0" w:rsidRPr="0004266D" w:rsidRDefault="00916DE2" w:rsidP="008F2AA0">
            <w:pPr>
              <w:pStyle w:val="NoSpacing"/>
              <w:jc w:val="right"/>
              <w:rPr>
                <w:rFonts w:cstheme="minorHAnsi"/>
              </w:rPr>
            </w:pPr>
            <w:r>
              <w:rPr>
                <w:rFonts w:cstheme="minorHAnsi"/>
                <w:color w:val="000000" w:themeColor="text1"/>
              </w:rPr>
              <w:t>-</w:t>
            </w:r>
            <w:r w:rsidR="00E23359">
              <w:rPr>
                <w:rFonts w:cstheme="minorHAnsi"/>
                <w:color w:val="000000" w:themeColor="text1"/>
              </w:rPr>
              <w:t>4.5</w:t>
            </w:r>
            <w:r w:rsidR="008F2AA0" w:rsidRPr="0004266D">
              <w:rPr>
                <w:rFonts w:cstheme="minorHAnsi"/>
                <w:color w:val="000000" w:themeColor="text1"/>
              </w:rPr>
              <w:t>%</w:t>
            </w:r>
          </w:p>
        </w:tc>
        <w:tc>
          <w:tcPr>
            <w:tcW w:w="964" w:type="dxa"/>
          </w:tcPr>
          <w:p w14:paraId="30958CBD" w14:textId="7B48BE3F" w:rsidR="008F2AA0" w:rsidRPr="00D96AEE"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18.9</w:t>
            </w:r>
            <w:r w:rsidRPr="0004266D">
              <w:rPr>
                <w:rFonts w:cstheme="minorHAnsi"/>
                <w:color w:val="000000" w:themeColor="text1"/>
              </w:rPr>
              <w:t>%</w:t>
            </w:r>
          </w:p>
        </w:tc>
      </w:tr>
      <w:tr w:rsidR="008F2AA0" w:rsidRPr="00B25DFD" w14:paraId="2B6B448E" w14:textId="7445020D" w:rsidTr="00A43A45">
        <w:trPr>
          <w:cnfStyle w:val="000000100000" w:firstRow="0" w:lastRow="0" w:firstColumn="0" w:lastColumn="0" w:oddVBand="0" w:evenVBand="0" w:oddHBand="1" w:evenHBand="0" w:firstRowFirstColumn="0" w:firstRowLastColumn="0" w:lastRowFirstColumn="0" w:lastRowLastColumn="0"/>
          <w:trHeight w:val="20"/>
        </w:trPr>
        <w:tc>
          <w:tcPr>
            <w:tcW w:w="2699" w:type="dxa"/>
            <w:vAlign w:val="center"/>
            <w:hideMark/>
          </w:tcPr>
          <w:p w14:paraId="7C14C062" w14:textId="0BCE1D26" w:rsidR="008F2AA0" w:rsidRPr="006A7A6E" w:rsidRDefault="008F2AA0" w:rsidP="008F2AA0">
            <w:pPr>
              <w:rPr>
                <w:rFonts w:cstheme="minorHAnsi"/>
              </w:rPr>
            </w:pPr>
            <w:r>
              <w:rPr>
                <w:rFonts w:cstheme="minorHAnsi"/>
              </w:rPr>
              <w:t xml:space="preserve">Specialty </w:t>
            </w:r>
            <w:r w:rsidRPr="006A7A6E">
              <w:rPr>
                <w:rFonts w:cstheme="minorHAnsi"/>
              </w:rPr>
              <w:t>mushrooms</w:t>
            </w:r>
          </w:p>
        </w:tc>
        <w:tc>
          <w:tcPr>
            <w:tcW w:w="1016" w:type="dxa"/>
            <w:hideMark/>
          </w:tcPr>
          <w:p w14:paraId="43257BA5" w14:textId="7257CD76" w:rsidR="008F2AA0" w:rsidRPr="002F23A1" w:rsidRDefault="008F2AA0" w:rsidP="008F2AA0">
            <w:pPr>
              <w:pStyle w:val="NoSpacing"/>
              <w:jc w:val="right"/>
              <w:rPr>
                <w:rFonts w:cstheme="minorHAnsi"/>
              </w:rPr>
            </w:pPr>
            <w:r w:rsidRPr="002F23A1">
              <w:rPr>
                <w:rFonts w:cstheme="minorHAnsi"/>
                <w:color w:val="000000" w:themeColor="text1"/>
              </w:rPr>
              <w:t>$</w:t>
            </w:r>
            <w:r w:rsidR="00E23359">
              <w:rPr>
                <w:rFonts w:cstheme="minorHAnsi"/>
                <w:color w:val="000000" w:themeColor="text1"/>
              </w:rPr>
              <w:t>4.8</w:t>
            </w:r>
            <w:r w:rsidRPr="002F23A1">
              <w:rPr>
                <w:rFonts w:cstheme="minorHAnsi"/>
                <w:color w:val="000000" w:themeColor="text1"/>
              </w:rPr>
              <w:t>M</w:t>
            </w:r>
          </w:p>
        </w:tc>
        <w:tc>
          <w:tcPr>
            <w:tcW w:w="882" w:type="dxa"/>
          </w:tcPr>
          <w:p w14:paraId="7EC04D31" w14:textId="48E010FF" w:rsidR="008F2AA0" w:rsidRPr="00337F18" w:rsidRDefault="00E23359" w:rsidP="008F2AA0">
            <w:pPr>
              <w:pStyle w:val="NoSpacing"/>
              <w:jc w:val="right"/>
              <w:rPr>
                <w:rFonts w:cstheme="minorHAnsi"/>
              </w:rPr>
            </w:pPr>
            <w:r>
              <w:rPr>
                <w:rFonts w:cstheme="minorHAnsi"/>
              </w:rPr>
              <w:t>5.5</w:t>
            </w:r>
            <w:r w:rsidR="008F2AA0" w:rsidRPr="00337F18">
              <w:rPr>
                <w:rFonts w:cstheme="minorHAnsi"/>
              </w:rPr>
              <w:t>%</w:t>
            </w:r>
          </w:p>
        </w:tc>
        <w:tc>
          <w:tcPr>
            <w:tcW w:w="991" w:type="dxa"/>
            <w:hideMark/>
          </w:tcPr>
          <w:p w14:paraId="10052F27" w14:textId="30A71621" w:rsidR="008F2AA0" w:rsidRPr="0004266D" w:rsidRDefault="00916DE2" w:rsidP="008F2AA0">
            <w:pPr>
              <w:pStyle w:val="NoSpacing"/>
              <w:jc w:val="right"/>
              <w:rPr>
                <w:rFonts w:cstheme="minorHAnsi"/>
              </w:rPr>
            </w:pPr>
            <w:r>
              <w:rPr>
                <w:rFonts w:cstheme="minorHAnsi"/>
                <w:color w:val="000000" w:themeColor="text1"/>
              </w:rPr>
              <w:t>+</w:t>
            </w:r>
            <w:r w:rsidR="00E23359">
              <w:rPr>
                <w:rFonts w:cstheme="minorHAnsi"/>
                <w:color w:val="000000" w:themeColor="text1"/>
              </w:rPr>
              <w:t>2.7</w:t>
            </w:r>
            <w:r w:rsidR="008F2AA0" w:rsidRPr="0004266D">
              <w:rPr>
                <w:rFonts w:cstheme="minorHAnsi"/>
                <w:color w:val="000000" w:themeColor="text1"/>
              </w:rPr>
              <w:t>%</w:t>
            </w:r>
          </w:p>
        </w:tc>
        <w:tc>
          <w:tcPr>
            <w:tcW w:w="972" w:type="dxa"/>
            <w:tcBorders>
              <w:right w:val="single" w:sz="4" w:space="0" w:color="ED7D31"/>
            </w:tcBorders>
            <w:hideMark/>
          </w:tcPr>
          <w:p w14:paraId="31EEA636" w14:textId="6BC3A057" w:rsidR="008F2AA0" w:rsidRPr="0004266D"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9.0</w:t>
            </w:r>
            <w:r w:rsidRPr="0004266D">
              <w:rPr>
                <w:rFonts w:cstheme="minorHAnsi"/>
                <w:color w:val="000000" w:themeColor="text1"/>
              </w:rPr>
              <w:t>%</w:t>
            </w:r>
          </w:p>
        </w:tc>
        <w:tc>
          <w:tcPr>
            <w:tcW w:w="927" w:type="dxa"/>
            <w:tcBorders>
              <w:left w:val="single" w:sz="4" w:space="0" w:color="ED7D31"/>
            </w:tcBorders>
          </w:tcPr>
          <w:p w14:paraId="166CB34C" w14:textId="2C93ADAC" w:rsidR="008F2AA0" w:rsidRPr="0004266D" w:rsidRDefault="00E23359" w:rsidP="008F2AA0">
            <w:pPr>
              <w:pStyle w:val="NoSpacing"/>
              <w:jc w:val="right"/>
              <w:rPr>
                <w:rFonts w:cstheme="minorHAnsi"/>
              </w:rPr>
            </w:pPr>
            <w:r>
              <w:rPr>
                <w:rFonts w:cstheme="minorHAnsi"/>
                <w:color w:val="000000" w:themeColor="text1"/>
              </w:rPr>
              <w:t>0.4</w:t>
            </w:r>
            <w:r w:rsidR="008F2AA0" w:rsidRPr="0004266D">
              <w:rPr>
                <w:rFonts w:cstheme="minorHAnsi"/>
                <w:color w:val="000000" w:themeColor="text1"/>
              </w:rPr>
              <w:t>M</w:t>
            </w:r>
          </w:p>
        </w:tc>
        <w:tc>
          <w:tcPr>
            <w:tcW w:w="1117" w:type="dxa"/>
          </w:tcPr>
          <w:p w14:paraId="417DE33D" w14:textId="62DE9959" w:rsidR="008F2AA0" w:rsidRPr="00337F18" w:rsidRDefault="00E23359" w:rsidP="008F2AA0">
            <w:pPr>
              <w:pStyle w:val="NoSpacing"/>
              <w:jc w:val="right"/>
              <w:rPr>
                <w:rFonts w:cstheme="minorHAnsi"/>
              </w:rPr>
            </w:pPr>
            <w:r>
              <w:rPr>
                <w:rFonts w:cstheme="minorHAnsi"/>
              </w:rPr>
              <w:t>1.9</w:t>
            </w:r>
            <w:r w:rsidR="008F2AA0" w:rsidRPr="00337F18">
              <w:rPr>
                <w:rFonts w:cstheme="minorHAnsi"/>
              </w:rPr>
              <w:t>%</w:t>
            </w:r>
          </w:p>
        </w:tc>
        <w:tc>
          <w:tcPr>
            <w:tcW w:w="1047" w:type="dxa"/>
          </w:tcPr>
          <w:p w14:paraId="632726C6" w14:textId="0A75FC65" w:rsidR="008F2AA0" w:rsidRPr="0004266D" w:rsidRDefault="00040942" w:rsidP="008F2AA0">
            <w:pPr>
              <w:pStyle w:val="NoSpacing"/>
              <w:jc w:val="right"/>
              <w:rPr>
                <w:rFonts w:cstheme="minorHAnsi"/>
              </w:rPr>
            </w:pPr>
            <w:r>
              <w:rPr>
                <w:rFonts w:cstheme="minorHAnsi"/>
                <w:color w:val="000000" w:themeColor="text1"/>
              </w:rPr>
              <w:t>+</w:t>
            </w:r>
            <w:r w:rsidR="00E23359">
              <w:rPr>
                <w:rFonts w:cstheme="minorHAnsi"/>
                <w:color w:val="000000" w:themeColor="text1"/>
              </w:rPr>
              <w:t>5.3</w:t>
            </w:r>
            <w:r w:rsidR="008F2AA0" w:rsidRPr="0004266D">
              <w:rPr>
                <w:rFonts w:cstheme="minorHAnsi"/>
                <w:color w:val="000000" w:themeColor="text1"/>
              </w:rPr>
              <w:t>%</w:t>
            </w:r>
          </w:p>
        </w:tc>
        <w:tc>
          <w:tcPr>
            <w:tcW w:w="964" w:type="dxa"/>
          </w:tcPr>
          <w:p w14:paraId="700774A9" w14:textId="35694863" w:rsidR="008F2AA0" w:rsidRPr="0004266D" w:rsidRDefault="008F2AA0" w:rsidP="008F2AA0">
            <w:pPr>
              <w:pStyle w:val="NoSpacing"/>
              <w:jc w:val="right"/>
              <w:rPr>
                <w:rFonts w:cstheme="minorHAnsi"/>
              </w:rPr>
            </w:pPr>
            <w:r>
              <w:rPr>
                <w:rFonts w:cstheme="minorHAnsi"/>
                <w:color w:val="000000" w:themeColor="text1"/>
              </w:rPr>
              <w:t>-</w:t>
            </w:r>
            <w:r w:rsidR="00E23359">
              <w:rPr>
                <w:rFonts w:cstheme="minorHAnsi"/>
                <w:color w:val="000000" w:themeColor="text1"/>
              </w:rPr>
              <w:t>16.7</w:t>
            </w:r>
            <w:r w:rsidRPr="0004266D">
              <w:rPr>
                <w:rFonts w:cstheme="minorHAnsi"/>
                <w:color w:val="000000" w:themeColor="text1"/>
              </w:rPr>
              <w:t>%</w:t>
            </w:r>
          </w:p>
        </w:tc>
      </w:tr>
    </w:tbl>
    <w:bookmarkEnd w:id="0"/>
    <w:p w14:paraId="45617577" w14:textId="7CB7A354"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CE4BEB">
        <w:rPr>
          <w:color w:val="7F7F7F" w:themeColor="text1" w:themeTint="80"/>
          <w:sz w:val="16"/>
          <w:szCs w:val="16"/>
        </w:rPr>
        <w:t>8/13</w:t>
      </w:r>
      <w:r w:rsidR="00EB090C">
        <w:rPr>
          <w:color w:val="7F7F7F" w:themeColor="text1" w:themeTint="80"/>
          <w:sz w:val="16"/>
          <w:szCs w:val="16"/>
        </w:rPr>
        <w:t>/2023</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5BE4E2A5" w:rsidR="00C9550B" w:rsidRDefault="00C9550B" w:rsidP="00174F0E">
      <w:pPr>
        <w:pStyle w:val="NoSpacing"/>
        <w:numPr>
          <w:ilvl w:val="0"/>
          <w:numId w:val="2"/>
        </w:numPr>
      </w:pPr>
      <w:r w:rsidRPr="00C9550B">
        <w:rPr>
          <w:u w:val="single"/>
        </w:rPr>
        <w:t>Package size</w:t>
      </w:r>
      <w:r w:rsidRPr="003045B7">
        <w:t>:</w:t>
      </w:r>
      <w:r>
        <w:t xml:space="preserve"> </w:t>
      </w:r>
      <w:r w:rsidR="00B672D0">
        <w:t>8</w:t>
      </w:r>
      <w:r>
        <w:t xml:space="preserve">-ounce packages </w:t>
      </w:r>
      <w:r w:rsidR="00B42A49">
        <w:t xml:space="preserve">generated </w:t>
      </w:r>
      <w:r w:rsidR="00070F7C">
        <w:t>53.3</w:t>
      </w:r>
      <w:r w:rsidR="00B672D0">
        <w:t xml:space="preserve">% of total sales in the four-week period, </w:t>
      </w:r>
      <w:r w:rsidR="00B42A49">
        <w:t xml:space="preserve">but dollar sales declined </w:t>
      </w:r>
      <w:r w:rsidR="00070F7C">
        <w:t>4.6</w:t>
      </w:r>
      <w:r w:rsidR="00B672D0">
        <w:t>% versus the same four weeks in 2022. 16-ounce packages repre</w:t>
      </w:r>
      <w:r w:rsidR="00B42A49">
        <w:t xml:space="preserve">sented </w:t>
      </w:r>
      <w:r w:rsidR="00070F7C">
        <w:t>18.7</w:t>
      </w:r>
      <w:r w:rsidR="00B42A49">
        <w:t xml:space="preserve">% of sales and </w:t>
      </w:r>
      <w:r w:rsidR="00C0288B">
        <w:t>declined</w:t>
      </w:r>
      <w:r w:rsidR="00B42A49">
        <w:t xml:space="preserve"> </w:t>
      </w:r>
      <w:r w:rsidR="00070F7C">
        <w:t>6.8</w:t>
      </w:r>
      <w:r w:rsidR="00B672D0">
        <w:t>% in dollars</w:t>
      </w:r>
      <w:r>
        <w:t>.</w:t>
      </w:r>
    </w:p>
    <w:p w14:paraId="0C66834A" w14:textId="299E49B0" w:rsidR="00EB30C7" w:rsidRDefault="004462C1" w:rsidP="00174F0E">
      <w:pPr>
        <w:pStyle w:val="NoSpacing"/>
        <w:numPr>
          <w:ilvl w:val="0"/>
          <w:numId w:val="2"/>
        </w:numPr>
      </w:pPr>
      <w:r w:rsidRPr="00C9550B">
        <w:rPr>
          <w:u w:val="single"/>
        </w:rPr>
        <w:t>Organic vs</w:t>
      </w:r>
      <w:r w:rsidR="005B6968" w:rsidRPr="00C9550B">
        <w:rPr>
          <w:u w:val="single"/>
        </w:rPr>
        <w:t>.</w:t>
      </w:r>
      <w:r w:rsidRPr="00C9550B">
        <w:rPr>
          <w:u w:val="single"/>
        </w:rPr>
        <w:t xml:space="preserve"> conventional</w:t>
      </w:r>
      <w:r w:rsidRPr="004462C1">
        <w:t>:</w:t>
      </w:r>
      <w:r>
        <w:t xml:space="preserve"> </w:t>
      </w:r>
      <w:r w:rsidR="0009067E">
        <w:t xml:space="preserve">For total produce, organic sales are underperforming in comparison to conventional. Mushrooms are the opposite. </w:t>
      </w:r>
      <w:r>
        <w:t xml:space="preserve">Organic </w:t>
      </w:r>
      <w:r w:rsidR="005B6968">
        <w:t xml:space="preserve">mushrooms </w:t>
      </w:r>
      <w:r>
        <w:t xml:space="preserve">made up </w:t>
      </w:r>
      <w:r w:rsidR="00A542DA">
        <w:t>10.1</w:t>
      </w:r>
      <w:r>
        <w:t xml:space="preserve">% of </w:t>
      </w:r>
      <w:r w:rsidR="00BE7EF2">
        <w:t xml:space="preserve">pounds </w:t>
      </w:r>
      <w:r w:rsidR="004C1DB1">
        <w:t xml:space="preserve">and </w:t>
      </w:r>
      <w:r w:rsidR="00B672D0">
        <w:t>have been an above-average perfo</w:t>
      </w:r>
      <w:r w:rsidR="00B42A49">
        <w:t>rmer</w:t>
      </w:r>
      <w:r w:rsidR="0009067E">
        <w:t xml:space="preserve"> for months</w:t>
      </w:r>
      <w:r w:rsidR="00B42A49">
        <w:t xml:space="preserve">. </w:t>
      </w:r>
      <w:r w:rsidR="0009067E">
        <w:t>Over the past 52 weeks, d</w:t>
      </w:r>
      <w:r w:rsidR="00B42A49">
        <w:t xml:space="preserve">ollar sales increased </w:t>
      </w:r>
      <w:r w:rsidR="00A542DA">
        <w:t>1.2</w:t>
      </w:r>
      <w:r w:rsidR="00B42A49">
        <w:t xml:space="preserve">% </w:t>
      </w:r>
      <w:r w:rsidR="0009067E">
        <w:t>fo</w:t>
      </w:r>
      <w:r w:rsidR="00916DE2">
        <w:t xml:space="preserve">r organic mushrooms versus a </w:t>
      </w:r>
      <w:r w:rsidR="00A542DA">
        <w:t>5.0</w:t>
      </w:r>
      <w:r w:rsidR="0009067E">
        <w:t>% decline for conventional. Organic also grew units and volume over the past four and 13 weeks</w:t>
      </w:r>
      <w:r w:rsidR="00B672D0">
        <w:t xml:space="preserve">. </w:t>
      </w:r>
      <w:r w:rsidR="005B6968">
        <w:t xml:space="preserve"> </w:t>
      </w:r>
    </w:p>
    <w:p w14:paraId="5CC8E748" w14:textId="77777777" w:rsidR="00300A5F" w:rsidRDefault="00300A5F" w:rsidP="00C9550B">
      <w:pPr>
        <w:pStyle w:val="NoSpacing"/>
        <w:rPr>
          <w:color w:val="7F7F7F" w:themeColor="text1" w:themeTint="80"/>
          <w:sz w:val="16"/>
          <w:szCs w:val="16"/>
        </w:rPr>
      </w:pPr>
    </w:p>
    <w:p w14:paraId="5DBFDF80" w14:textId="5CDBF68D" w:rsidR="00B34EF7" w:rsidRPr="00B34EF7" w:rsidRDefault="00782D09" w:rsidP="00C9550B">
      <w:pPr>
        <w:pStyle w:val="NoSpacing"/>
      </w:pPr>
      <w:r w:rsidRPr="00EB30C7">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EB30C7">
        <w:rPr>
          <w:color w:val="7F7F7F" w:themeColor="text1" w:themeTint="80"/>
          <w:sz w:val="16"/>
          <w:szCs w:val="16"/>
        </w:rPr>
        <w:t xml:space="preserve">, Integrated Fresh, MULO, </w:t>
      </w:r>
      <w:r w:rsidR="004B7951" w:rsidRPr="00EB30C7">
        <w:rPr>
          <w:color w:val="7F7F7F" w:themeColor="text1" w:themeTint="80"/>
          <w:sz w:val="16"/>
          <w:szCs w:val="16"/>
        </w:rPr>
        <w:t>4</w:t>
      </w:r>
      <w:r w:rsidR="0009067E">
        <w:rPr>
          <w:color w:val="7F7F7F" w:themeColor="text1" w:themeTint="80"/>
          <w:sz w:val="16"/>
          <w:szCs w:val="16"/>
        </w:rPr>
        <w:t xml:space="preserve"> or 52</w:t>
      </w:r>
      <w:r w:rsidRPr="00EB30C7">
        <w:rPr>
          <w:color w:val="7F7F7F" w:themeColor="text1" w:themeTint="80"/>
          <w:sz w:val="16"/>
          <w:szCs w:val="16"/>
        </w:rPr>
        <w:t xml:space="preserve"> weeks ending </w:t>
      </w:r>
      <w:r w:rsidR="00CE4BEB">
        <w:rPr>
          <w:color w:val="7F7F7F" w:themeColor="text1" w:themeTint="80"/>
          <w:sz w:val="16"/>
          <w:szCs w:val="16"/>
        </w:rPr>
        <w:t>8/13</w:t>
      </w:r>
      <w:r w:rsidR="00EB090C">
        <w:rPr>
          <w:color w:val="7F7F7F" w:themeColor="text1" w:themeTint="80"/>
          <w:sz w:val="16"/>
          <w:szCs w:val="16"/>
        </w:rPr>
        <w:t>/2023</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409" w14:textId="77777777" w:rsidR="00866A7D" w:rsidRDefault="00866A7D" w:rsidP="004E49DD">
      <w:pPr>
        <w:spacing w:after="0" w:line="240" w:lineRule="auto"/>
      </w:pPr>
      <w:r>
        <w:separator/>
      </w:r>
    </w:p>
  </w:endnote>
  <w:endnote w:type="continuationSeparator" w:id="0">
    <w:p w14:paraId="16A04D72" w14:textId="77777777" w:rsidR="00866A7D" w:rsidRDefault="00866A7D" w:rsidP="004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E334" w14:textId="77777777" w:rsidR="00866A7D" w:rsidRDefault="00866A7D" w:rsidP="004E49DD">
      <w:pPr>
        <w:spacing w:after="0" w:line="240" w:lineRule="auto"/>
      </w:pPr>
      <w:r>
        <w:separator/>
      </w:r>
    </w:p>
  </w:footnote>
  <w:footnote w:type="continuationSeparator" w:id="0">
    <w:p w14:paraId="104F95F1" w14:textId="77777777" w:rsidR="00866A7D" w:rsidRDefault="00866A7D" w:rsidP="004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B0"/>
    <w:multiLevelType w:val="hybridMultilevel"/>
    <w:tmpl w:val="4F1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32060"/>
    <w:multiLevelType w:val="hybridMultilevel"/>
    <w:tmpl w:val="727C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92F24"/>
    <w:multiLevelType w:val="hybridMultilevel"/>
    <w:tmpl w:val="B5BC8C1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DD128A"/>
    <w:multiLevelType w:val="hybridMultilevel"/>
    <w:tmpl w:val="E18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D39AD"/>
    <w:multiLevelType w:val="hybridMultilevel"/>
    <w:tmpl w:val="3A285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3043044">
    <w:abstractNumId w:val="8"/>
  </w:num>
  <w:num w:numId="2" w16cid:durableId="1392385306">
    <w:abstractNumId w:val="10"/>
  </w:num>
  <w:num w:numId="3" w16cid:durableId="1717847485">
    <w:abstractNumId w:val="12"/>
  </w:num>
  <w:num w:numId="4" w16cid:durableId="1656371548">
    <w:abstractNumId w:val="4"/>
  </w:num>
  <w:num w:numId="5" w16cid:durableId="511649742">
    <w:abstractNumId w:val="15"/>
  </w:num>
  <w:num w:numId="6" w16cid:durableId="139269702">
    <w:abstractNumId w:val="11"/>
  </w:num>
  <w:num w:numId="7" w16cid:durableId="9652168">
    <w:abstractNumId w:val="6"/>
  </w:num>
  <w:num w:numId="8" w16cid:durableId="328366235">
    <w:abstractNumId w:val="3"/>
  </w:num>
  <w:num w:numId="9" w16cid:durableId="1118719032">
    <w:abstractNumId w:val="1"/>
  </w:num>
  <w:num w:numId="10" w16cid:durableId="85152496">
    <w:abstractNumId w:val="14"/>
  </w:num>
  <w:num w:numId="11" w16cid:durableId="2092584261">
    <w:abstractNumId w:val="2"/>
  </w:num>
  <w:num w:numId="12" w16cid:durableId="1794058639">
    <w:abstractNumId w:val="13"/>
  </w:num>
  <w:num w:numId="13" w16cid:durableId="1053234532">
    <w:abstractNumId w:val="5"/>
  </w:num>
  <w:num w:numId="14" w16cid:durableId="1213083467">
    <w:abstractNumId w:val="7"/>
  </w:num>
  <w:num w:numId="15" w16cid:durableId="1487431923">
    <w:abstractNumId w:val="17"/>
  </w:num>
  <w:num w:numId="16" w16cid:durableId="161052259">
    <w:abstractNumId w:val="0"/>
  </w:num>
  <w:num w:numId="17" w16cid:durableId="140848931">
    <w:abstractNumId w:val="9"/>
  </w:num>
  <w:num w:numId="18" w16cid:durableId="12034029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15E7B"/>
    <w:rsid w:val="00026928"/>
    <w:rsid w:val="00030ABF"/>
    <w:rsid w:val="00035D16"/>
    <w:rsid w:val="00040942"/>
    <w:rsid w:val="0004266D"/>
    <w:rsid w:val="0005390A"/>
    <w:rsid w:val="00057984"/>
    <w:rsid w:val="00070F7C"/>
    <w:rsid w:val="0007328F"/>
    <w:rsid w:val="00074705"/>
    <w:rsid w:val="000809C3"/>
    <w:rsid w:val="00085508"/>
    <w:rsid w:val="00085F10"/>
    <w:rsid w:val="0009067E"/>
    <w:rsid w:val="000A4146"/>
    <w:rsid w:val="000C1DF9"/>
    <w:rsid w:val="000C29FA"/>
    <w:rsid w:val="000C3CC4"/>
    <w:rsid w:val="000D5A69"/>
    <w:rsid w:val="000D7A79"/>
    <w:rsid w:val="000E2A1D"/>
    <w:rsid w:val="000E537C"/>
    <w:rsid w:val="000E61FF"/>
    <w:rsid w:val="001055A7"/>
    <w:rsid w:val="001119BD"/>
    <w:rsid w:val="00113A33"/>
    <w:rsid w:val="0011683C"/>
    <w:rsid w:val="00117FE8"/>
    <w:rsid w:val="00124C8B"/>
    <w:rsid w:val="00124CB7"/>
    <w:rsid w:val="00133971"/>
    <w:rsid w:val="00137C12"/>
    <w:rsid w:val="00142A42"/>
    <w:rsid w:val="00145E27"/>
    <w:rsid w:val="00164656"/>
    <w:rsid w:val="00170260"/>
    <w:rsid w:val="00184281"/>
    <w:rsid w:val="001A4D44"/>
    <w:rsid w:val="001A601E"/>
    <w:rsid w:val="001B1351"/>
    <w:rsid w:val="001B18A2"/>
    <w:rsid w:val="001B762B"/>
    <w:rsid w:val="001D16CA"/>
    <w:rsid w:val="001D2675"/>
    <w:rsid w:val="001D4C76"/>
    <w:rsid w:val="00200AD1"/>
    <w:rsid w:val="00221F2D"/>
    <w:rsid w:val="002225C6"/>
    <w:rsid w:val="00224A21"/>
    <w:rsid w:val="00240137"/>
    <w:rsid w:val="002437CE"/>
    <w:rsid w:val="00251BBC"/>
    <w:rsid w:val="00264EDA"/>
    <w:rsid w:val="002712E8"/>
    <w:rsid w:val="00276C09"/>
    <w:rsid w:val="00277D7C"/>
    <w:rsid w:val="00281498"/>
    <w:rsid w:val="00283DB2"/>
    <w:rsid w:val="00291F75"/>
    <w:rsid w:val="00292678"/>
    <w:rsid w:val="002B3879"/>
    <w:rsid w:val="002B7DCE"/>
    <w:rsid w:val="002B7E48"/>
    <w:rsid w:val="002E2CD2"/>
    <w:rsid w:val="002F23A1"/>
    <w:rsid w:val="00300A5F"/>
    <w:rsid w:val="003045B7"/>
    <w:rsid w:val="003070A2"/>
    <w:rsid w:val="0031233D"/>
    <w:rsid w:val="00312734"/>
    <w:rsid w:val="00314DA1"/>
    <w:rsid w:val="00322039"/>
    <w:rsid w:val="003223C7"/>
    <w:rsid w:val="00323F77"/>
    <w:rsid w:val="00337F18"/>
    <w:rsid w:val="00347118"/>
    <w:rsid w:val="00347E3A"/>
    <w:rsid w:val="003534A1"/>
    <w:rsid w:val="00362BB1"/>
    <w:rsid w:val="003648C5"/>
    <w:rsid w:val="00396448"/>
    <w:rsid w:val="003A3323"/>
    <w:rsid w:val="003C1DD2"/>
    <w:rsid w:val="003C4CCE"/>
    <w:rsid w:val="003C72DD"/>
    <w:rsid w:val="003D3BDA"/>
    <w:rsid w:val="003D6A0F"/>
    <w:rsid w:val="003E61D0"/>
    <w:rsid w:val="003F77CF"/>
    <w:rsid w:val="00403666"/>
    <w:rsid w:val="00417945"/>
    <w:rsid w:val="00421D7D"/>
    <w:rsid w:val="00445779"/>
    <w:rsid w:val="004462C1"/>
    <w:rsid w:val="00451263"/>
    <w:rsid w:val="00455F77"/>
    <w:rsid w:val="0045625B"/>
    <w:rsid w:val="00461D8C"/>
    <w:rsid w:val="00467FB5"/>
    <w:rsid w:val="00471DC7"/>
    <w:rsid w:val="00472B02"/>
    <w:rsid w:val="0047570E"/>
    <w:rsid w:val="00476A3C"/>
    <w:rsid w:val="00476C12"/>
    <w:rsid w:val="00483711"/>
    <w:rsid w:val="00485429"/>
    <w:rsid w:val="004A3A95"/>
    <w:rsid w:val="004A50D2"/>
    <w:rsid w:val="004B6371"/>
    <w:rsid w:val="004B7951"/>
    <w:rsid w:val="004C088A"/>
    <w:rsid w:val="004C1DB1"/>
    <w:rsid w:val="004C2808"/>
    <w:rsid w:val="004C5B27"/>
    <w:rsid w:val="004E1EE4"/>
    <w:rsid w:val="004E49DD"/>
    <w:rsid w:val="004E4F69"/>
    <w:rsid w:val="004E6889"/>
    <w:rsid w:val="004F4C4D"/>
    <w:rsid w:val="00504377"/>
    <w:rsid w:val="00504861"/>
    <w:rsid w:val="005049A9"/>
    <w:rsid w:val="00525F06"/>
    <w:rsid w:val="00526E95"/>
    <w:rsid w:val="00527BE9"/>
    <w:rsid w:val="00535D22"/>
    <w:rsid w:val="0054182D"/>
    <w:rsid w:val="00541AFF"/>
    <w:rsid w:val="00543607"/>
    <w:rsid w:val="0055095F"/>
    <w:rsid w:val="00552C5D"/>
    <w:rsid w:val="005547EE"/>
    <w:rsid w:val="00555250"/>
    <w:rsid w:val="005571F3"/>
    <w:rsid w:val="00562346"/>
    <w:rsid w:val="0056284A"/>
    <w:rsid w:val="0059588E"/>
    <w:rsid w:val="005A3316"/>
    <w:rsid w:val="005A54F2"/>
    <w:rsid w:val="005B6968"/>
    <w:rsid w:val="005C6AEE"/>
    <w:rsid w:val="005C75C7"/>
    <w:rsid w:val="005E1A66"/>
    <w:rsid w:val="005E5127"/>
    <w:rsid w:val="005F1173"/>
    <w:rsid w:val="006035CB"/>
    <w:rsid w:val="00606FA3"/>
    <w:rsid w:val="00615709"/>
    <w:rsid w:val="00620ED9"/>
    <w:rsid w:val="00621E2A"/>
    <w:rsid w:val="00632993"/>
    <w:rsid w:val="00645A58"/>
    <w:rsid w:val="006617FB"/>
    <w:rsid w:val="006636C7"/>
    <w:rsid w:val="00666D40"/>
    <w:rsid w:val="00677889"/>
    <w:rsid w:val="00684918"/>
    <w:rsid w:val="00694050"/>
    <w:rsid w:val="00697E4D"/>
    <w:rsid w:val="006A1766"/>
    <w:rsid w:val="006A7A6E"/>
    <w:rsid w:val="006C6780"/>
    <w:rsid w:val="006E50F3"/>
    <w:rsid w:val="006F1F55"/>
    <w:rsid w:val="006F64AE"/>
    <w:rsid w:val="006F765A"/>
    <w:rsid w:val="00706FA9"/>
    <w:rsid w:val="007070AC"/>
    <w:rsid w:val="0071051A"/>
    <w:rsid w:val="007106F4"/>
    <w:rsid w:val="00730897"/>
    <w:rsid w:val="00731BCD"/>
    <w:rsid w:val="00734289"/>
    <w:rsid w:val="007501A6"/>
    <w:rsid w:val="00752CD4"/>
    <w:rsid w:val="007764C7"/>
    <w:rsid w:val="00782D09"/>
    <w:rsid w:val="00787BBD"/>
    <w:rsid w:val="007A01C9"/>
    <w:rsid w:val="007A0B40"/>
    <w:rsid w:val="007A67D7"/>
    <w:rsid w:val="007B4A25"/>
    <w:rsid w:val="007D30DA"/>
    <w:rsid w:val="007D3393"/>
    <w:rsid w:val="007D33D8"/>
    <w:rsid w:val="007D3D1C"/>
    <w:rsid w:val="007F098A"/>
    <w:rsid w:val="007F1F55"/>
    <w:rsid w:val="007F35D3"/>
    <w:rsid w:val="007F7149"/>
    <w:rsid w:val="007F7823"/>
    <w:rsid w:val="00802E32"/>
    <w:rsid w:val="00826014"/>
    <w:rsid w:val="00832F0A"/>
    <w:rsid w:val="00837283"/>
    <w:rsid w:val="00851AC9"/>
    <w:rsid w:val="0086198D"/>
    <w:rsid w:val="0086536E"/>
    <w:rsid w:val="00866A7D"/>
    <w:rsid w:val="00873884"/>
    <w:rsid w:val="008815E3"/>
    <w:rsid w:val="008857EE"/>
    <w:rsid w:val="008A084A"/>
    <w:rsid w:val="008A1DBB"/>
    <w:rsid w:val="008A56E2"/>
    <w:rsid w:val="008B128D"/>
    <w:rsid w:val="008B46B0"/>
    <w:rsid w:val="008B633D"/>
    <w:rsid w:val="008B6971"/>
    <w:rsid w:val="008B7FFD"/>
    <w:rsid w:val="008C7975"/>
    <w:rsid w:val="008D2A88"/>
    <w:rsid w:val="008E48B1"/>
    <w:rsid w:val="008F2AA0"/>
    <w:rsid w:val="008F5801"/>
    <w:rsid w:val="009040DB"/>
    <w:rsid w:val="0090410F"/>
    <w:rsid w:val="00904C5C"/>
    <w:rsid w:val="00910CD7"/>
    <w:rsid w:val="00911960"/>
    <w:rsid w:val="009169B9"/>
    <w:rsid w:val="00916DE2"/>
    <w:rsid w:val="0092088E"/>
    <w:rsid w:val="00920FBD"/>
    <w:rsid w:val="009232D4"/>
    <w:rsid w:val="00926E8A"/>
    <w:rsid w:val="00927EAC"/>
    <w:rsid w:val="00941C01"/>
    <w:rsid w:val="0094219B"/>
    <w:rsid w:val="00956FE2"/>
    <w:rsid w:val="00957F25"/>
    <w:rsid w:val="00972570"/>
    <w:rsid w:val="00975AF5"/>
    <w:rsid w:val="00977F7F"/>
    <w:rsid w:val="009B0330"/>
    <w:rsid w:val="009B3A61"/>
    <w:rsid w:val="009B71AE"/>
    <w:rsid w:val="009B7AC3"/>
    <w:rsid w:val="009D5574"/>
    <w:rsid w:val="009D6711"/>
    <w:rsid w:val="00A00697"/>
    <w:rsid w:val="00A050F9"/>
    <w:rsid w:val="00A13601"/>
    <w:rsid w:val="00A142BB"/>
    <w:rsid w:val="00A14586"/>
    <w:rsid w:val="00A43A45"/>
    <w:rsid w:val="00A45D51"/>
    <w:rsid w:val="00A50806"/>
    <w:rsid w:val="00A5084B"/>
    <w:rsid w:val="00A51F5B"/>
    <w:rsid w:val="00A52411"/>
    <w:rsid w:val="00A52B14"/>
    <w:rsid w:val="00A52EB4"/>
    <w:rsid w:val="00A53BAA"/>
    <w:rsid w:val="00A542DA"/>
    <w:rsid w:val="00A657C4"/>
    <w:rsid w:val="00A668C3"/>
    <w:rsid w:val="00A70428"/>
    <w:rsid w:val="00A72B72"/>
    <w:rsid w:val="00A94A88"/>
    <w:rsid w:val="00A95B14"/>
    <w:rsid w:val="00A96E20"/>
    <w:rsid w:val="00AA721E"/>
    <w:rsid w:val="00AB06EA"/>
    <w:rsid w:val="00AC2BFD"/>
    <w:rsid w:val="00AC2C09"/>
    <w:rsid w:val="00AC5D3F"/>
    <w:rsid w:val="00AD30B8"/>
    <w:rsid w:val="00AD7044"/>
    <w:rsid w:val="00AE0F54"/>
    <w:rsid w:val="00AE32A2"/>
    <w:rsid w:val="00AF14BD"/>
    <w:rsid w:val="00AF55E3"/>
    <w:rsid w:val="00AF5F52"/>
    <w:rsid w:val="00B01FA0"/>
    <w:rsid w:val="00B03343"/>
    <w:rsid w:val="00B0627A"/>
    <w:rsid w:val="00B13706"/>
    <w:rsid w:val="00B24BBD"/>
    <w:rsid w:val="00B25DFD"/>
    <w:rsid w:val="00B33A73"/>
    <w:rsid w:val="00B34EF7"/>
    <w:rsid w:val="00B362B8"/>
    <w:rsid w:val="00B40C43"/>
    <w:rsid w:val="00B42A49"/>
    <w:rsid w:val="00B42A84"/>
    <w:rsid w:val="00B542D1"/>
    <w:rsid w:val="00B562D5"/>
    <w:rsid w:val="00B672D0"/>
    <w:rsid w:val="00B8232B"/>
    <w:rsid w:val="00B9392A"/>
    <w:rsid w:val="00B96FC1"/>
    <w:rsid w:val="00B979CF"/>
    <w:rsid w:val="00BB03F4"/>
    <w:rsid w:val="00BB197D"/>
    <w:rsid w:val="00BC1A46"/>
    <w:rsid w:val="00BC34B2"/>
    <w:rsid w:val="00BE7EF2"/>
    <w:rsid w:val="00BF3DAE"/>
    <w:rsid w:val="00BF5D9C"/>
    <w:rsid w:val="00BF713B"/>
    <w:rsid w:val="00C0288B"/>
    <w:rsid w:val="00C12877"/>
    <w:rsid w:val="00C12E18"/>
    <w:rsid w:val="00C329D7"/>
    <w:rsid w:val="00C3770B"/>
    <w:rsid w:val="00C422D1"/>
    <w:rsid w:val="00C469D3"/>
    <w:rsid w:val="00C71FDD"/>
    <w:rsid w:val="00C81CBF"/>
    <w:rsid w:val="00C8545B"/>
    <w:rsid w:val="00C92074"/>
    <w:rsid w:val="00C954F2"/>
    <w:rsid w:val="00C9550B"/>
    <w:rsid w:val="00CB0BBD"/>
    <w:rsid w:val="00CB4067"/>
    <w:rsid w:val="00CB592A"/>
    <w:rsid w:val="00CB6109"/>
    <w:rsid w:val="00CE27CF"/>
    <w:rsid w:val="00CE4BEB"/>
    <w:rsid w:val="00CE621C"/>
    <w:rsid w:val="00D03B05"/>
    <w:rsid w:val="00D1241B"/>
    <w:rsid w:val="00D131C5"/>
    <w:rsid w:val="00D14991"/>
    <w:rsid w:val="00D2073F"/>
    <w:rsid w:val="00D22E21"/>
    <w:rsid w:val="00D26DE8"/>
    <w:rsid w:val="00D305A5"/>
    <w:rsid w:val="00D31C81"/>
    <w:rsid w:val="00D44344"/>
    <w:rsid w:val="00D4752E"/>
    <w:rsid w:val="00D55AB1"/>
    <w:rsid w:val="00D66EF8"/>
    <w:rsid w:val="00D81FBA"/>
    <w:rsid w:val="00D8225F"/>
    <w:rsid w:val="00D8798E"/>
    <w:rsid w:val="00D9097A"/>
    <w:rsid w:val="00D96AEE"/>
    <w:rsid w:val="00D97BC7"/>
    <w:rsid w:val="00DB764D"/>
    <w:rsid w:val="00DD58ED"/>
    <w:rsid w:val="00DE4C4C"/>
    <w:rsid w:val="00E20285"/>
    <w:rsid w:val="00E20E22"/>
    <w:rsid w:val="00E229C8"/>
    <w:rsid w:val="00E23359"/>
    <w:rsid w:val="00E34CF4"/>
    <w:rsid w:val="00E37DF5"/>
    <w:rsid w:val="00E4438B"/>
    <w:rsid w:val="00E477C3"/>
    <w:rsid w:val="00E508BB"/>
    <w:rsid w:val="00E57C49"/>
    <w:rsid w:val="00E629E0"/>
    <w:rsid w:val="00E65269"/>
    <w:rsid w:val="00E65A4C"/>
    <w:rsid w:val="00E758A0"/>
    <w:rsid w:val="00E81634"/>
    <w:rsid w:val="00E85C62"/>
    <w:rsid w:val="00EB090C"/>
    <w:rsid w:val="00EB30C7"/>
    <w:rsid w:val="00ED0859"/>
    <w:rsid w:val="00EE6AB6"/>
    <w:rsid w:val="00EF1E09"/>
    <w:rsid w:val="00EF25E4"/>
    <w:rsid w:val="00F02776"/>
    <w:rsid w:val="00F0742E"/>
    <w:rsid w:val="00F16E5F"/>
    <w:rsid w:val="00F24969"/>
    <w:rsid w:val="00F26DD2"/>
    <w:rsid w:val="00F4460A"/>
    <w:rsid w:val="00F47EA1"/>
    <w:rsid w:val="00F55228"/>
    <w:rsid w:val="00F57DFC"/>
    <w:rsid w:val="00F71485"/>
    <w:rsid w:val="00F86B08"/>
    <w:rsid w:val="00F93404"/>
    <w:rsid w:val="00F96C98"/>
    <w:rsid w:val="00FA1CDF"/>
    <w:rsid w:val="00FB15C0"/>
    <w:rsid w:val="00FC53C7"/>
    <w:rsid w:val="00FE6030"/>
    <w:rsid w:val="00FF2D4A"/>
    <w:rsid w:val="00FF42F9"/>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table" w:styleId="GridTable4-Accent2">
    <w:name w:val="Grid Table 4 Accent 2"/>
    <w:basedOn w:val="TableNormal"/>
    <w:uiPriority w:val="49"/>
    <w:rsid w:val="00EE6A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E4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DD"/>
  </w:style>
  <w:style w:type="paragraph" w:styleId="Footer">
    <w:name w:val="footer"/>
    <w:basedOn w:val="Normal"/>
    <w:link w:val="FooterChar"/>
    <w:uiPriority w:val="99"/>
    <w:unhideWhenUsed/>
    <w:rsid w:val="004E4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DD"/>
  </w:style>
  <w:style w:type="table" w:styleId="ListTable6Colorful-Accent2">
    <w:name w:val="List Table 6 Colorful Accent 2"/>
    <w:basedOn w:val="TableNormal"/>
    <w:uiPriority w:val="51"/>
    <w:rsid w:val="0018428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7764C7"/>
    <w:pPr>
      <w:ind w:left="720"/>
      <w:contextualSpacing/>
    </w:pPr>
  </w:style>
  <w:style w:type="character" w:customStyle="1" w:styleId="Heading1Char">
    <w:name w:val="Heading 1 Char"/>
    <w:basedOn w:val="DefaultParagraphFont"/>
    <w:link w:val="Heading1"/>
    <w:uiPriority w:val="9"/>
    <w:rsid w:val="00620E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241">
      <w:bodyDiv w:val="1"/>
      <w:marLeft w:val="0"/>
      <w:marRight w:val="0"/>
      <w:marTop w:val="0"/>
      <w:marBottom w:val="0"/>
      <w:divBdr>
        <w:top w:val="none" w:sz="0" w:space="0" w:color="auto"/>
        <w:left w:val="none" w:sz="0" w:space="0" w:color="auto"/>
        <w:bottom w:val="none" w:sz="0" w:space="0" w:color="auto"/>
        <w:right w:val="none" w:sz="0" w:space="0" w:color="auto"/>
      </w:divBdr>
    </w:div>
    <w:div w:id="1223562806">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21997458">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4B90F-70E5-47E2-B86D-1B566B264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9</cp:revision>
  <dcterms:created xsi:type="dcterms:W3CDTF">2023-08-21T15:20:00Z</dcterms:created>
  <dcterms:modified xsi:type="dcterms:W3CDTF">2023-08-22T12:40:00Z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