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25C2B396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E229C8">
        <w:rPr>
          <w:sz w:val="44"/>
          <w:szCs w:val="44"/>
        </w:rPr>
        <w:t>7.16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1C563AAF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601989E1" w14:textId="65A9A10F" w:rsidR="00C469D3" w:rsidRPr="00526E95" w:rsidRDefault="00620ED9" w:rsidP="00526E95">
      <w:pPr>
        <w:pStyle w:val="NoSpacing"/>
      </w:pPr>
      <w:r w:rsidRPr="00526E95">
        <w:t xml:space="preserve">Special occasions and celebrations are the number one reason for consumers to splurge a little. This resulted in noticeable sales spikes for many departments </w:t>
      </w:r>
      <w:r w:rsidR="00526E95" w:rsidRPr="00526E95">
        <w:t xml:space="preserve">during </w:t>
      </w:r>
      <w:r w:rsidRPr="00526E95">
        <w:t xml:space="preserve">the holiday weeks </w:t>
      </w:r>
      <w:r w:rsidR="00526E95" w:rsidRPr="00526E95">
        <w:t xml:space="preserve">leading up to </w:t>
      </w:r>
      <w:r w:rsidRPr="00526E95">
        <w:t xml:space="preserve">Memorial Day and the Fourth of July. During regular weeks, the consumer focus </w:t>
      </w:r>
      <w:r w:rsidR="00526E95" w:rsidRPr="00526E95">
        <w:t xml:space="preserve">remains </w:t>
      </w:r>
      <w:r w:rsidRPr="00526E95">
        <w:t>on saving</w:t>
      </w:r>
      <w:r w:rsidR="00526E95" w:rsidRPr="00526E95">
        <w:t xml:space="preserve"> money</w:t>
      </w:r>
      <w:r w:rsidRPr="00526E95">
        <w:t xml:space="preserve"> by buying less. </w:t>
      </w:r>
      <w:r w:rsidR="008815E3">
        <w:t xml:space="preserve">Per </w:t>
      </w:r>
      <w:proofErr w:type="spellStart"/>
      <w:r w:rsidR="008815E3">
        <w:t>Circana</w:t>
      </w:r>
      <w:proofErr w:type="spellEnd"/>
      <w:r w:rsidR="008815E3">
        <w:t>:</w:t>
      </w:r>
    </w:p>
    <w:p w14:paraId="2CE907C2" w14:textId="77777777" w:rsidR="00620ED9" w:rsidRPr="00526E95" w:rsidRDefault="00620ED9" w:rsidP="00526E95">
      <w:pPr>
        <w:pStyle w:val="NoSpacing"/>
        <w:numPr>
          <w:ilvl w:val="0"/>
          <w:numId w:val="17"/>
        </w:numPr>
      </w:pPr>
      <w:r w:rsidRPr="00526E95">
        <w:t xml:space="preserve">While the rate of inflation has moderated in the past three months, 86% of consumers still perceive grocery prices as much higher (59%) or somewhat higher (27%) when compared to last year. </w:t>
      </w:r>
    </w:p>
    <w:p w14:paraId="494A36E9" w14:textId="6EC594C4" w:rsidR="00EE6AB6" w:rsidRPr="00526E95" w:rsidRDefault="00620ED9" w:rsidP="00526E95">
      <w:pPr>
        <w:pStyle w:val="NoSpacing"/>
        <w:numPr>
          <w:ilvl w:val="0"/>
          <w:numId w:val="17"/>
        </w:numPr>
      </w:pPr>
      <w:r w:rsidRPr="00526E95">
        <w:t>The sustained increases in prices of groceries and beyond have 93% of consumers concerned.</w:t>
      </w:r>
    </w:p>
    <w:p w14:paraId="1F3E5D11" w14:textId="77777777" w:rsidR="00526E95" w:rsidRPr="00526E95" w:rsidRDefault="00526E95" w:rsidP="00526E95">
      <w:pPr>
        <w:pStyle w:val="NoSpacing"/>
        <w:numPr>
          <w:ilvl w:val="0"/>
          <w:numId w:val="17"/>
        </w:numPr>
      </w:pPr>
      <w:r w:rsidRPr="00526E95">
        <w:t xml:space="preserve">In response, 82% continue to make changes to what, how much, which brand and where they are shopping for groceries. Money-saving measures continue to be focused on capitalizing on sales promotions (51%) and cutting back on non-essentials (45%). One-third also looks for coupons more often. </w:t>
      </w:r>
    </w:p>
    <w:p w14:paraId="37243F9E" w14:textId="69DE1183" w:rsidR="00620ED9" w:rsidRPr="00526E95" w:rsidRDefault="00526E95" w:rsidP="00526E95">
      <w:pPr>
        <w:pStyle w:val="NoSpacing"/>
        <w:numPr>
          <w:ilvl w:val="0"/>
          <w:numId w:val="17"/>
        </w:numPr>
      </w:pPr>
      <w:r w:rsidRPr="00526E95">
        <w:t>Outside of in-store signage, the grocery store app has become the number one way in which shoppers research promotions, followed by the printed circular (29%) and emails (27%).</w:t>
      </w:r>
    </w:p>
    <w:p w14:paraId="407AD3A1" w14:textId="713B9B23" w:rsidR="00526E95" w:rsidRDefault="00526E95" w:rsidP="00526E95">
      <w:pPr>
        <w:pStyle w:val="NoSpacing"/>
        <w:numPr>
          <w:ilvl w:val="0"/>
          <w:numId w:val="17"/>
        </w:numPr>
      </w:pPr>
      <w:r w:rsidRPr="00526E95">
        <w:t xml:space="preserve">Sales specials are increasingly driving the meal lineup: 36% check what is on sales before making the shopping list and 27% check deals across more than one retailer. </w:t>
      </w:r>
    </w:p>
    <w:p w14:paraId="71AB56DA" w14:textId="0F9E639F" w:rsidR="00620ED9" w:rsidRDefault="009B3A61" w:rsidP="00927EAC">
      <w:pPr>
        <w:pStyle w:val="NoSpacing"/>
        <w:numPr>
          <w:ilvl w:val="0"/>
          <w:numId w:val="17"/>
        </w:numPr>
      </w:pPr>
      <w:r>
        <w:t>For the four weeks ending July 16</w:t>
      </w:r>
      <w:r>
        <w:rPr>
          <w:vertAlign w:val="superscript"/>
        </w:rPr>
        <w:t>th</w:t>
      </w:r>
      <w:r>
        <w:t xml:space="preserve"> 2023, total food and beverage dollar sales increased 3.7% over the quad-week period, but units were down 2.0%. </w:t>
      </w:r>
    </w:p>
    <w:p w14:paraId="75CE99B0" w14:textId="77777777" w:rsidR="009B3A61" w:rsidRPr="009B3A61" w:rsidRDefault="009B3A61" w:rsidP="009B3A61">
      <w:pPr>
        <w:pStyle w:val="NoSpacing"/>
        <w:ind w:left="360"/>
      </w:pPr>
    </w:p>
    <w:p w14:paraId="737234D5" w14:textId="04A96599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47797D03" w14:textId="3BB21674" w:rsidR="00472B02" w:rsidRDefault="009B3A61" w:rsidP="00472B02">
      <w:pPr>
        <w:pStyle w:val="NoSpacing"/>
      </w:pPr>
      <w:r>
        <w:t>Fruit inflation increas</w:t>
      </w:r>
      <w:r>
        <w:t>ed once more</w:t>
      </w:r>
      <w:r>
        <w:t xml:space="preserve"> after several months of deflation. Vegetable prices continue</w:t>
      </w:r>
      <w:r>
        <w:t>d</w:t>
      </w:r>
      <w:r>
        <w:t xml:space="preserve"> to rise though at a slower rate. When regarding the latest 52 weeks, inflation boosted dollar sales by 3.2% but units and volume trailed behind the year-ago levels, at -1.0% and -1.9%, respectively.  </w:t>
      </w:r>
      <w:r w:rsidR="009B71AE">
        <w:t>F</w:t>
      </w:r>
      <w:r w:rsidR="00124C8B">
        <w:t>resh mushroom</w:t>
      </w:r>
      <w:r w:rsidR="009B71AE">
        <w:t xml:space="preserve">s experienced unit and volume declines during the shorter and longer time periods. </w:t>
      </w:r>
      <w:r w:rsidR="009D6711">
        <w:t>In the latest four weeks, volume</w:t>
      </w:r>
      <w:r w:rsidR="0059588E">
        <w:t xml:space="preserve"> declines stayed </w:t>
      </w:r>
      <w:r>
        <w:t xml:space="preserve">around </w:t>
      </w:r>
      <w:r w:rsidR="0059588E">
        <w:t>3 points</w:t>
      </w:r>
      <w:r w:rsidR="009D6711">
        <w:t xml:space="preserve"> of year ago levels.</w:t>
      </w:r>
      <w:r w:rsidR="006A1766">
        <w:t xml:space="preserve"> Importantly</w:t>
      </w:r>
      <w:r w:rsidR="009D6711">
        <w:t>, volume declines are moderating in comparison with the 52-week</w:t>
      </w:r>
      <w:r w:rsidR="00B42A49">
        <w:t xml:space="preserve"> look that shows pounds down </w:t>
      </w:r>
      <w:r w:rsidR="00C422D1">
        <w:t>5.9</w:t>
      </w:r>
      <w:r w:rsidR="004C088A">
        <w:t>%</w:t>
      </w:r>
      <w:r w:rsidR="009D6711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886"/>
        <w:gridCol w:w="1024"/>
        <w:gridCol w:w="1102"/>
        <w:gridCol w:w="1952"/>
        <w:gridCol w:w="1098"/>
        <w:gridCol w:w="27"/>
        <w:gridCol w:w="1170"/>
      </w:tblGrid>
      <w:tr w:rsidR="00B672D0" w:rsidRPr="00124CB7" w14:paraId="5D073D77" w14:textId="77777777" w:rsidTr="00C12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1886" w:type="dxa"/>
          </w:tcPr>
          <w:p w14:paraId="51DF6E55" w14:textId="35CBC56E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7F7149">
              <w:t>7/16</w:t>
            </w:r>
            <w:r>
              <w:t>/2023</w:t>
            </w:r>
          </w:p>
        </w:tc>
        <w:tc>
          <w:tcPr>
            <w:tcW w:w="1024" w:type="dxa"/>
          </w:tcPr>
          <w:p w14:paraId="4B26425C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98A30D" w14:textId="02B7403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66B6F0A2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B3D9FB" w14:textId="15CCA3DC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BBE24C3" w14:textId="74D51B30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7F7149">
              <w:t>7/16</w:t>
            </w:r>
            <w:r>
              <w:t>/2023</w:t>
            </w:r>
          </w:p>
        </w:tc>
        <w:tc>
          <w:tcPr>
            <w:tcW w:w="1098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133A5C2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  <w:gridSpan w:val="2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0D54DE1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B672D0" w14:paraId="22401D5B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166854D6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0401A569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</w:t>
            </w:r>
            <w:r w:rsidR="00A95B14">
              <w:t>90.2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7D2040B" w14:textId="275261B5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2.2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24638A45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14.0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75CF9DD" w14:textId="66058F65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C12877">
              <w:t xml:space="preserve">   </w:t>
            </w:r>
            <w:r>
              <w:t xml:space="preserve">   $</w:t>
            </w:r>
            <w:r w:rsidR="00A95B14">
              <w:t>1.</w:t>
            </w:r>
            <w:proofErr w:type="gramStart"/>
            <w:r w:rsidR="00A95B14">
              <w:t xml:space="preserve">3  </w:t>
            </w:r>
            <w:r w:rsidR="00B672D0">
              <w:t>billion</w:t>
            </w:r>
            <w:proofErr w:type="gramEnd"/>
          </w:p>
        </w:tc>
        <w:tc>
          <w:tcPr>
            <w:tcW w:w="1125" w:type="dxa"/>
            <w:gridSpan w:val="2"/>
          </w:tcPr>
          <w:p w14:paraId="04EA64A9" w14:textId="58162AB3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1.2</w:t>
            </w:r>
            <w:r w:rsidR="00B672D0">
              <w:t>%</w:t>
            </w:r>
          </w:p>
        </w:tc>
        <w:tc>
          <w:tcPr>
            <w:tcW w:w="1170" w:type="dxa"/>
          </w:tcPr>
          <w:p w14:paraId="2F2464E9" w14:textId="01558808" w:rsidR="00B672D0" w:rsidRDefault="00A95B14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-1.2</w:t>
            </w:r>
            <w:r w:rsidR="00B672D0">
              <w:t>%</w:t>
            </w:r>
          </w:p>
        </w:tc>
      </w:tr>
      <w:tr w:rsidR="00B672D0" w14:paraId="31FB8D29" w14:textId="77777777" w:rsidTr="00C1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48542DFC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31281147" w:rsidR="00B672D0" w:rsidRDefault="00B42A49" w:rsidP="00C1287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A95B14">
              <w:t>30.7</w:t>
            </w:r>
            <w:r>
              <w:t xml:space="preserve"> </w:t>
            </w:r>
            <w:r w:rsidR="00B672D0">
              <w:t>million</w:t>
            </w:r>
          </w:p>
        </w:tc>
        <w:tc>
          <w:tcPr>
            <w:tcW w:w="1024" w:type="dxa"/>
          </w:tcPr>
          <w:p w14:paraId="6922F333" w14:textId="4EE9AAA2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95B14">
              <w:t>3.5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4AD1D8C3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95B14">
              <w:t>21.8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26ECACB9" w14:textId="31D2ED5E" w:rsidR="00B672D0" w:rsidRDefault="00B42A49" w:rsidP="00C1287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00A95B14">
              <w:t>421.3</w:t>
            </w:r>
            <w:r w:rsidR="00B672D0">
              <w:t xml:space="preserve"> million</w:t>
            </w:r>
          </w:p>
        </w:tc>
        <w:tc>
          <w:tcPr>
            <w:tcW w:w="1125" w:type="dxa"/>
            <w:gridSpan w:val="2"/>
          </w:tcPr>
          <w:p w14:paraId="60AAF678" w14:textId="4ABA610D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95B14">
              <w:t>6.2</w:t>
            </w:r>
            <w:r w:rsidR="00B672D0">
              <w:t>%</w:t>
            </w:r>
          </w:p>
        </w:tc>
        <w:tc>
          <w:tcPr>
            <w:tcW w:w="1170" w:type="dxa"/>
          </w:tcPr>
          <w:p w14:paraId="19BE3B74" w14:textId="3CA7C388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95B14">
              <w:t>12.9</w:t>
            </w:r>
            <w:r w:rsidR="00B672D0">
              <w:t>%</w:t>
            </w:r>
          </w:p>
        </w:tc>
      </w:tr>
      <w:tr w:rsidR="00B672D0" w14:paraId="2EB720F3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04CEBBF8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1886" w:type="dxa"/>
          </w:tcPr>
          <w:p w14:paraId="68757A76" w14:textId="47E87026" w:rsidR="00B672D0" w:rsidRDefault="00B42A49" w:rsidP="00C12877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A95B14">
              <w:t>19.2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DE7F9CC" w14:textId="5ACBADB7" w:rsidR="00B672D0" w:rsidRDefault="00BF3DAE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3.2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33C48E44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21.7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57878EB0" w14:textId="66C8C466" w:rsidR="00B672D0" w:rsidRDefault="00A95B14" w:rsidP="00C1287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272.0</w:t>
            </w:r>
            <w:r w:rsidR="00B672D0">
              <w:t xml:space="preserve"> million</w:t>
            </w:r>
          </w:p>
        </w:tc>
        <w:tc>
          <w:tcPr>
            <w:tcW w:w="1125" w:type="dxa"/>
            <w:gridSpan w:val="2"/>
          </w:tcPr>
          <w:p w14:paraId="0679CD28" w14:textId="25F78C02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5.9</w:t>
            </w:r>
            <w:r w:rsidR="00B672D0">
              <w:t>%</w:t>
            </w:r>
          </w:p>
        </w:tc>
        <w:tc>
          <w:tcPr>
            <w:tcW w:w="1170" w:type="dxa"/>
          </w:tcPr>
          <w:p w14:paraId="09C03B7F" w14:textId="46FB67EA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95B14">
              <w:t>11.5</w:t>
            </w:r>
            <w:r w:rsidR="00B672D0">
              <w:t>%</w:t>
            </w:r>
          </w:p>
        </w:tc>
      </w:tr>
    </w:tbl>
    <w:p w14:paraId="5B1F1AF6" w14:textId="2694FECE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F7149">
        <w:rPr>
          <w:color w:val="7F7F7F" w:themeColor="text1" w:themeTint="80"/>
          <w:sz w:val="16"/>
          <w:szCs w:val="16"/>
        </w:rPr>
        <w:t>7/16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73F33753" w14:textId="3B01D068" w:rsidR="006A1766" w:rsidRDefault="00730897" w:rsidP="00C954F2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7070AC">
        <w:t>averaged</w:t>
      </w:r>
      <w:r w:rsidR="00BE7EF2">
        <w:t xml:space="preserve"> between</w:t>
      </w:r>
      <w:r w:rsidR="00445779">
        <w:t xml:space="preserve"> $</w:t>
      </w:r>
      <w:r w:rsidR="006F64AE">
        <w:t>22.0</w:t>
      </w:r>
      <w:r w:rsidR="00085508">
        <w:t xml:space="preserve"> million and</w:t>
      </w:r>
      <w:r w:rsidR="00BE7EF2">
        <w:t xml:space="preserve"> $</w:t>
      </w:r>
      <w:r w:rsidR="006F64AE">
        <w:t>23.0</w:t>
      </w:r>
      <w:r w:rsidR="003A3323">
        <w:t xml:space="preserve"> million</w:t>
      </w:r>
      <w:r w:rsidR="006A1766">
        <w:t xml:space="preserve"> in each of the four weeks</w:t>
      </w:r>
      <w:r w:rsidR="009D6711">
        <w:t xml:space="preserve">. </w:t>
      </w:r>
      <w:r w:rsidR="007070AC">
        <w:t>Sales we</w:t>
      </w:r>
      <w:r w:rsidR="006F64AE">
        <w:t>re slightly higher the week of</w:t>
      </w:r>
      <w:r w:rsidR="009B3A61">
        <w:t xml:space="preserve"> July Fourth</w:t>
      </w:r>
      <w:r w:rsidR="006F64AE">
        <w:t xml:space="preserve"> </w:t>
      </w:r>
      <w:r w:rsidR="007070AC">
        <w:t xml:space="preserve">— demonstrating that special occasions and holidays still drive slightly higher spending across categories, including mushrooms. </w:t>
      </w:r>
      <w:r w:rsidR="009D6711">
        <w:t>T</w:t>
      </w:r>
      <w:r w:rsidR="00314DA1">
        <w:t>he period-over-period sales trend</w:t>
      </w:r>
      <w:r w:rsidR="009D6711">
        <w:t>s continue to follow long-established patterns</w:t>
      </w:r>
      <w:r w:rsidR="00314DA1">
        <w:t xml:space="preserve"> (as seen on the forecasting tab)</w:t>
      </w:r>
      <w:r w:rsidR="009D6711">
        <w:t>.</w:t>
      </w:r>
      <w:r w:rsidR="0059588E">
        <w:t xml:space="preserve"> </w:t>
      </w:r>
      <w:r w:rsidR="007070AC">
        <w:t xml:space="preserve">During the summer months, sales tend to decrease quad week over quad-week period, and pounds start to gear back up after the back-to-school season. </w:t>
      </w:r>
    </w:p>
    <w:p w14:paraId="280C3786" w14:textId="77777777" w:rsidR="00C954F2" w:rsidRDefault="00C954F2" w:rsidP="00C954F2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122"/>
        <w:gridCol w:w="997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8B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3CBC11F7" w14:textId="1F6EAD18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997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26DDEF19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2FF24334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1067C8D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620" w:type="dxa"/>
          </w:tcPr>
          <w:p w14:paraId="7A77A4C9" w14:textId="7B587886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2020</w:t>
            </w:r>
          </w:p>
        </w:tc>
      </w:tr>
      <w:tr w:rsidR="008F2AA0" w14:paraId="69B1B691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2F9C" w14:textId="665E3E99" w:rsidR="008F2AA0" w:rsidRPr="007F7149" w:rsidRDefault="008F2AA0" w:rsidP="008F2AA0">
            <w:pPr>
              <w:pStyle w:val="NoSpacing"/>
              <w:rPr>
                <w:rFonts w:cstheme="minorHAnsi"/>
                <w:color w:val="000000" w:themeColor="text1"/>
              </w:rPr>
            </w:pPr>
            <w:r w:rsidRPr="007F7149">
              <w:rPr>
                <w:rFonts w:cstheme="minorHAnsi"/>
                <w:color w:val="000000" w:themeColor="text1"/>
              </w:rPr>
              <w:t xml:space="preserve">4 </w:t>
            </w:r>
            <w:proofErr w:type="spellStart"/>
            <w:r w:rsidRPr="007F7149">
              <w:rPr>
                <w:rFonts w:cstheme="minorHAnsi"/>
                <w:color w:val="000000" w:themeColor="text1"/>
              </w:rPr>
              <w:t>w.e</w:t>
            </w:r>
            <w:proofErr w:type="spellEnd"/>
            <w:r w:rsidRPr="007F7149">
              <w:rPr>
                <w:rFonts w:cstheme="minorHAnsi"/>
                <w:color w:val="000000" w:themeColor="text1"/>
              </w:rPr>
              <w:t xml:space="preserve">. </w:t>
            </w:r>
            <w:r w:rsidR="007F7149">
              <w:rPr>
                <w:rFonts w:cstheme="minorHAnsi"/>
                <w:color w:val="000000" w:themeColor="text1"/>
              </w:rPr>
              <w:t>7/16</w:t>
            </w:r>
            <w:r w:rsidRPr="007F7149">
              <w:rPr>
                <w:rFonts w:cstheme="minorHAnsi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73E257C6" w14:textId="4055B1BD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7F7149">
              <w:rPr>
                <w:rFonts w:cstheme="minorHAnsi"/>
                <w:b/>
                <w:bCs/>
                <w:color w:val="000000" w:themeColor="text1"/>
              </w:rPr>
              <w:t>90.2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41127E29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7F7149">
              <w:rPr>
                <w:rFonts w:cstheme="minorHAnsi"/>
                <w:b/>
                <w:bCs/>
                <w:color w:val="000000" w:themeColor="text1"/>
              </w:rPr>
              <w:t>2.2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0DE9E14A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7F7149">
              <w:rPr>
                <w:rFonts w:cstheme="minorHAnsi"/>
                <w:b/>
                <w:bCs/>
                <w:color w:val="000000" w:themeColor="text1"/>
              </w:rPr>
              <w:t>14.0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51218647" w:rsidR="008F2AA0" w:rsidRPr="006A7A6E" w:rsidRDefault="007F7149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19.2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7596BF00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857EE">
              <w:rPr>
                <w:rFonts w:cstheme="minorHAnsi"/>
                <w:b/>
                <w:bCs/>
                <w:color w:val="000000" w:themeColor="text1"/>
              </w:rPr>
              <w:t>3.2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42094534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A95B14">
              <w:rPr>
                <w:rFonts w:cstheme="minorHAnsi"/>
                <w:b/>
                <w:bCs/>
                <w:color w:val="000000" w:themeColor="text1"/>
              </w:rPr>
              <w:t>21.7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14:paraId="4161B78F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B5C386" w14:textId="385914EC" w:rsidR="008F2AA0" w:rsidRPr="007F7149" w:rsidRDefault="007F7149" w:rsidP="008F2AA0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proofErr w:type="spellStart"/>
            <w:r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>
              <w:rPr>
                <w:rFonts w:cstheme="minorHAnsi"/>
                <w:b w:val="0"/>
                <w:color w:val="000000" w:themeColor="text1"/>
              </w:rPr>
              <w:t>. 6</w:t>
            </w:r>
            <w:r w:rsidR="008F2AA0" w:rsidRPr="007F7149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25/</w:t>
            </w:r>
            <w:r w:rsidR="008F2AA0" w:rsidRPr="007F7149">
              <w:rPr>
                <w:rFonts w:cstheme="minorHAnsi"/>
                <w:b w:val="0"/>
                <w:color w:val="000000" w:themeColor="text1"/>
              </w:rPr>
              <w:t>2023</w:t>
            </w:r>
          </w:p>
        </w:tc>
        <w:tc>
          <w:tcPr>
            <w:tcW w:w="997" w:type="dxa"/>
          </w:tcPr>
          <w:p w14:paraId="151AC645" w14:textId="3FF5A1AA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7F7149">
              <w:rPr>
                <w:rFonts w:cstheme="minorHAnsi"/>
                <w:color w:val="000000" w:themeColor="text1"/>
              </w:rPr>
              <w:t>22.6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7130F9C0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0.2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02D80EF2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12.4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7D005D5C" w:rsidR="008F2AA0" w:rsidRPr="0004266D" w:rsidRDefault="007F7149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3583507C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857EE">
              <w:rPr>
                <w:rFonts w:cstheme="minorHAnsi"/>
                <w:color w:val="000000" w:themeColor="text1"/>
              </w:rPr>
              <w:t>1.8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71A38A63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95B14">
              <w:rPr>
                <w:rFonts w:cstheme="minorHAnsi"/>
                <w:color w:val="000000" w:themeColor="text1"/>
              </w:rPr>
              <w:t>19.3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46E32385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CBCDF3" w14:textId="62E13E67" w:rsidR="008F2AA0" w:rsidRPr="007F7149" w:rsidRDefault="008F2AA0" w:rsidP="008F2AA0">
            <w:pPr>
              <w:rPr>
                <w:rFonts w:cstheme="minorHAnsi"/>
                <w:color w:val="000000" w:themeColor="text1"/>
              </w:rPr>
            </w:pPr>
            <w:proofErr w:type="spellStart"/>
            <w:r w:rsidRPr="007F7149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7F7149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7F7149">
              <w:rPr>
                <w:rFonts w:cstheme="minorHAnsi"/>
                <w:b w:val="0"/>
                <w:color w:val="000000" w:themeColor="text1"/>
              </w:rPr>
              <w:t>7/2</w:t>
            </w:r>
            <w:r w:rsidRPr="007F7149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1A8DDCA" w14:textId="75DBF78A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7F7149">
              <w:rPr>
                <w:rFonts w:cstheme="minorHAnsi"/>
                <w:color w:val="000000" w:themeColor="text1"/>
              </w:rPr>
              <w:t>23.0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3575E16C" w:rsidR="008F2AA0" w:rsidRPr="0004266D" w:rsidRDefault="00BF3DAE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3.7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459CB003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16.4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6560FA75" w:rsidR="008F2AA0" w:rsidRPr="0004266D" w:rsidRDefault="007F7149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4.9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71FC2A97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857EE">
              <w:rPr>
                <w:rFonts w:cstheme="minorHAnsi"/>
                <w:color w:val="000000" w:themeColor="text1"/>
              </w:rPr>
              <w:t>2.4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3059FACC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95B14">
              <w:rPr>
                <w:rFonts w:cstheme="minorHAnsi"/>
                <w:color w:val="000000" w:themeColor="text1"/>
              </w:rPr>
              <w:t>23.3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29C076C3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67558" w14:textId="027311EA" w:rsidR="008F2AA0" w:rsidRPr="007F7149" w:rsidRDefault="008F2AA0" w:rsidP="008F2AA0">
            <w:pPr>
              <w:rPr>
                <w:rFonts w:cstheme="minorHAnsi"/>
                <w:color w:val="000000" w:themeColor="text1"/>
              </w:rPr>
            </w:pPr>
            <w:proofErr w:type="spellStart"/>
            <w:r w:rsidRPr="007F7149">
              <w:rPr>
                <w:rFonts w:cstheme="minorHAnsi"/>
                <w:b w:val="0"/>
                <w:color w:val="000000" w:themeColor="text1"/>
              </w:rPr>
              <w:lastRenderedPageBreak/>
              <w:t>w.e</w:t>
            </w:r>
            <w:proofErr w:type="spellEnd"/>
            <w:r w:rsidRPr="007F7149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7F7149">
              <w:rPr>
                <w:rFonts w:cstheme="minorHAnsi"/>
                <w:b w:val="0"/>
                <w:color w:val="000000" w:themeColor="text1"/>
              </w:rPr>
              <w:t>7/9</w:t>
            </w:r>
            <w:r w:rsidRPr="007F7149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48606425" w14:textId="356AB037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7F7149">
              <w:rPr>
                <w:rFonts w:cstheme="minorHAnsi"/>
                <w:color w:val="000000" w:themeColor="text1"/>
              </w:rPr>
              <w:t>22.7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2809D0A4" w:rsidR="008F2AA0" w:rsidRPr="0004266D" w:rsidRDefault="00BF3DAE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0.5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1254E1F3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10.8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444EF747" w:rsidR="008F2AA0" w:rsidRPr="0004266D" w:rsidRDefault="007F7149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7E652229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857EE">
              <w:rPr>
                <w:rFonts w:cstheme="minorHAnsi"/>
                <w:color w:val="000000" w:themeColor="text1"/>
              </w:rPr>
              <w:t>2.3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57F12186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95B14">
              <w:rPr>
                <w:rFonts w:cstheme="minorHAnsi"/>
                <w:color w:val="000000" w:themeColor="text1"/>
              </w:rPr>
              <w:t>19.1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7E43EA98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8E510" w14:textId="4938F511" w:rsidR="008F2AA0" w:rsidRPr="007F7149" w:rsidRDefault="008F2AA0" w:rsidP="008F2AA0">
            <w:pPr>
              <w:rPr>
                <w:rFonts w:cstheme="minorHAnsi"/>
                <w:color w:val="000000" w:themeColor="text1"/>
              </w:rPr>
            </w:pPr>
            <w:proofErr w:type="spellStart"/>
            <w:r w:rsidRPr="007F7149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7F7149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7F7149">
              <w:rPr>
                <w:rFonts w:cstheme="minorHAnsi"/>
                <w:b w:val="0"/>
                <w:color w:val="000000" w:themeColor="text1"/>
              </w:rPr>
              <w:t>7/16</w:t>
            </w:r>
            <w:r w:rsidRPr="007F7149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F9888EE" w14:textId="24E8D7DB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7F7149">
              <w:rPr>
                <w:rFonts w:cstheme="minorHAnsi"/>
                <w:color w:val="000000" w:themeColor="text1"/>
              </w:rPr>
              <w:t>22.0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6B523709" w:rsidR="008F2AA0" w:rsidRPr="0004266D" w:rsidRDefault="00B42A49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4.2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4D5CE5B3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7F7149">
              <w:rPr>
                <w:rFonts w:cstheme="minorHAnsi"/>
                <w:color w:val="000000" w:themeColor="text1"/>
              </w:rPr>
              <w:t>16.1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32410C3C" w:rsidR="008F2AA0" w:rsidRPr="0004266D" w:rsidRDefault="007F7149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4.7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187E304C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857EE">
              <w:rPr>
                <w:rFonts w:cstheme="minorHAnsi"/>
                <w:color w:val="000000" w:themeColor="text1"/>
              </w:rPr>
              <w:t>6.3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2E385209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95B14">
              <w:rPr>
                <w:rFonts w:cstheme="minorHAnsi"/>
                <w:color w:val="000000" w:themeColor="text1"/>
              </w:rPr>
              <w:t>24.9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431F2CED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F7149">
        <w:rPr>
          <w:color w:val="7F7F7F" w:themeColor="text1" w:themeTint="80"/>
          <w:sz w:val="16"/>
          <w:szCs w:val="16"/>
        </w:rPr>
        <w:t>7/16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097EE9C3" w:rsidR="00666D40" w:rsidRDefault="006A1766" w:rsidP="00472B02">
      <w:pPr>
        <w:pStyle w:val="NoSpacing"/>
      </w:pPr>
      <w:r>
        <w:t xml:space="preserve">Inflation in vegetables is moderating and mushrooms are following suit. </w:t>
      </w:r>
      <w:r w:rsidR="00030ABF"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941C01">
        <w:t>1.4</w:t>
      </w:r>
      <w:r w:rsidR="00322039">
        <w:t xml:space="preserve">% versus year ago </w:t>
      </w:r>
      <w:r w:rsidR="000E2A1D">
        <w:t>in the latest quad-week period</w:t>
      </w:r>
      <w:r w:rsidR="00030ABF">
        <w:t xml:space="preserve">. </w:t>
      </w:r>
      <w:r w:rsidR="00B42A49">
        <w:t xml:space="preserve">This is down from </w:t>
      </w:r>
      <w:r w:rsidR="00941C01">
        <w:t>5.3</w:t>
      </w:r>
      <w:r>
        <w:t xml:space="preserve">% in the 52-week view.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345AFFCD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7F7149">
              <w:t>7/16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7A00CA3E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0C3CC4">
              <w:t xml:space="preserve"> </w:t>
            </w:r>
            <w:r w:rsidR="007F7149">
              <w:t>7/16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115781EC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26E8A">
              <w:t>2.94</w:t>
            </w:r>
          </w:p>
        </w:tc>
        <w:tc>
          <w:tcPr>
            <w:tcW w:w="973" w:type="dxa"/>
          </w:tcPr>
          <w:p w14:paraId="3E0967AB" w14:textId="4C5962CF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926E8A">
              <w:t>1.4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2B0F7526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926E8A">
              <w:t>10.0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4CA4D88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26E8A">
              <w:t>2.96</w:t>
            </w:r>
          </w:p>
        </w:tc>
        <w:tc>
          <w:tcPr>
            <w:tcW w:w="817" w:type="dxa"/>
          </w:tcPr>
          <w:p w14:paraId="08755E5E" w14:textId="4B3BA29C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926E8A">
              <w:t>5.3</w:t>
            </w:r>
            <w:r>
              <w:t>%</w:t>
            </w:r>
          </w:p>
        </w:tc>
        <w:tc>
          <w:tcPr>
            <w:tcW w:w="899" w:type="dxa"/>
          </w:tcPr>
          <w:p w14:paraId="19B1F6D2" w14:textId="1A21AFB1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926E8A">
              <w:t>13.5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540BDB7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26E8A">
              <w:t>4.69</w:t>
            </w:r>
          </w:p>
        </w:tc>
        <w:tc>
          <w:tcPr>
            <w:tcW w:w="973" w:type="dxa"/>
          </w:tcPr>
          <w:p w14:paraId="7E986169" w14:textId="5411057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26E8A">
              <w:t>1.1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3E7B5869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26E8A">
              <w:t>9.8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59D29CD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26E8A">
              <w:t>4.69</w:t>
            </w:r>
          </w:p>
        </w:tc>
        <w:tc>
          <w:tcPr>
            <w:tcW w:w="817" w:type="dxa"/>
          </w:tcPr>
          <w:p w14:paraId="1759FD32" w14:textId="6849D75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26E8A">
              <w:t>5.0</w:t>
            </w:r>
            <w:r>
              <w:t>%</w:t>
            </w:r>
          </w:p>
        </w:tc>
        <w:tc>
          <w:tcPr>
            <w:tcW w:w="899" w:type="dxa"/>
          </w:tcPr>
          <w:p w14:paraId="725313BE" w14:textId="6ED4A95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926E8A">
              <w:t>11.7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3AB2B30B" w:rsidR="00170260" w:rsidRDefault="00B672D0" w:rsidP="00170260">
      <w:pPr>
        <w:pStyle w:val="NoSpacing"/>
      </w:pPr>
      <w:r>
        <w:t xml:space="preserve">Moderation in price increases </w:t>
      </w:r>
      <w:r w:rsidR="0009067E">
        <w:t xml:space="preserve">went </w:t>
      </w:r>
      <w:r>
        <w:t>hand-in-hand with an increase in p</w:t>
      </w:r>
      <w:r w:rsidR="006636C7">
        <w:t>romotional activity</w:t>
      </w:r>
      <w:r w:rsidR="0009067E">
        <w:t xml:space="preserve"> in the 52-week view</w:t>
      </w:r>
      <w:r>
        <w:t xml:space="preserve">. </w:t>
      </w:r>
      <w:r w:rsidR="0009067E">
        <w:t xml:space="preserve">During </w:t>
      </w:r>
      <w:r w:rsidR="006636C7">
        <w:t>the latest quad-week period</w:t>
      </w:r>
      <w:r w:rsidR="00FF2D4A">
        <w:t xml:space="preserve"> </w:t>
      </w:r>
      <w:r w:rsidR="00A50806">
        <w:t>17.4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09067E">
        <w:t>, which was down about 6%</w:t>
      </w:r>
      <w:r w:rsidR="00E508BB"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570C8C98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7F7149">
              <w:t>7/16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53B47C3F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972570">
              <w:t xml:space="preserve"> </w:t>
            </w:r>
            <w:r w:rsidR="007F7149">
              <w:t>7/16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67B71464" w:rsidR="004A50D2" w:rsidRPr="006617FB" w:rsidRDefault="00A50806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17.4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6695CA54" w:rsidR="004A50D2" w:rsidRPr="009B0330" w:rsidRDefault="00A50806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-6.1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5415CBE6" w:rsidR="004A50D2" w:rsidRPr="009B0330" w:rsidRDefault="00A50806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16.4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77C11CBE" w:rsidR="004A50D2" w:rsidRPr="00314DA1" w:rsidRDefault="00B42A4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50806">
              <w:t>13.2</w:t>
            </w:r>
            <w:r w:rsidR="004A50D2" w:rsidRPr="00314DA1">
              <w:t>%</w:t>
            </w:r>
          </w:p>
        </w:tc>
      </w:tr>
    </w:tbl>
    <w:p w14:paraId="23606064" w14:textId="3E7EC3BC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="004C5B27">
        <w:rPr>
          <w:color w:val="7F7F7F" w:themeColor="text1" w:themeTint="80"/>
          <w:sz w:val="16"/>
          <w:szCs w:val="16"/>
        </w:rPr>
        <w:t xml:space="preserve">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F7149">
        <w:rPr>
          <w:color w:val="7F7F7F" w:themeColor="text1" w:themeTint="80"/>
          <w:sz w:val="16"/>
          <w:szCs w:val="16"/>
        </w:rPr>
        <w:t>7/16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47D84FAC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074705">
        <w:t>52.4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074705">
        <w:t>59.8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 xml:space="preserve">, the combination of </w:t>
      </w:r>
      <w:proofErr w:type="spellStart"/>
      <w:r>
        <w:t>cr</w:t>
      </w:r>
      <w:r w:rsidR="002437CE">
        <w:t>i</w:t>
      </w:r>
      <w:r>
        <w:t>minis</w:t>
      </w:r>
      <w:proofErr w:type="spellEnd"/>
      <w:r>
        <w:t xml:space="preserve"> and portabellas,</w:t>
      </w:r>
      <w:r w:rsidR="00B25DFD">
        <w:t xml:space="preserve"> </w:t>
      </w:r>
      <w:r>
        <w:t>fared better</w:t>
      </w:r>
      <w:r w:rsidR="00904C5C">
        <w:t xml:space="preserve"> than white mushrooms, </w:t>
      </w:r>
      <w:r w:rsidR="00300A5F">
        <w:t xml:space="preserve">with flat dollar sales versus year ago levels in both dollars and pounds. </w:t>
      </w:r>
      <w:r w:rsidR="0009067E">
        <w:t xml:space="preserve">Pounds and dollars continue to shift toward brown mushrooms. </w:t>
      </w:r>
      <w:r w:rsidR="00B672D0">
        <w:t xml:space="preserve"> </w:t>
      </w:r>
      <w:r w:rsidR="004C1DB1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699"/>
        <w:gridCol w:w="1016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shd w:val="clear" w:color="auto" w:fill="ED7D31" w:themeFill="accent2"/>
            <w:vAlign w:val="center"/>
            <w:hideMark/>
          </w:tcPr>
          <w:p w14:paraId="4B138C18" w14:textId="31111F48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7F7149">
              <w:rPr>
                <w:rFonts w:cstheme="minorHAnsi"/>
                <w:b/>
                <w:bCs/>
                <w:color w:val="FFFFFF" w:themeColor="background1"/>
              </w:rPr>
              <w:t>7/16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016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D8225F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="00D8225F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8F2AA0" w:rsidRPr="00B25DFD" w14:paraId="69D4AA5B" w14:textId="069A747C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2C1CDE46" w14:textId="178D4679" w:rsidR="008F2AA0" w:rsidRPr="006A7A6E" w:rsidRDefault="008F2AA0" w:rsidP="008F2A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16" w:type="dxa"/>
            <w:hideMark/>
          </w:tcPr>
          <w:p w14:paraId="6A87FED7" w14:textId="7432DD5B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8B6971">
              <w:rPr>
                <w:rFonts w:cstheme="minorHAnsi"/>
                <w:b/>
                <w:bCs/>
                <w:color w:val="000000" w:themeColor="text1"/>
              </w:rPr>
              <w:t>90.2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991" w:type="dxa"/>
            <w:hideMark/>
          </w:tcPr>
          <w:p w14:paraId="7E486F05" w14:textId="46BE9941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B6971">
              <w:rPr>
                <w:rFonts w:cstheme="minorHAnsi"/>
                <w:b/>
                <w:bCs/>
                <w:color w:val="000000" w:themeColor="text1"/>
              </w:rPr>
              <w:t>2.2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BD808C1" w14:textId="627A05EB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B6971">
              <w:rPr>
                <w:rFonts w:cstheme="minorHAnsi"/>
                <w:b/>
                <w:bCs/>
                <w:color w:val="000000" w:themeColor="text1"/>
              </w:rPr>
              <w:t>14.0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51B50020" w:rsidR="008F2AA0" w:rsidRPr="006A7A6E" w:rsidRDefault="008B6971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19.2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62317D86" w14:textId="48F99B3E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47" w:type="dxa"/>
          </w:tcPr>
          <w:p w14:paraId="5E78B271" w14:textId="55B0B0C0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B6971">
              <w:rPr>
                <w:rFonts w:cstheme="minorHAnsi"/>
                <w:b/>
                <w:bCs/>
                <w:color w:val="000000" w:themeColor="text1"/>
              </w:rPr>
              <w:t>3.2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576290B6" w14:textId="18AD5AD9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8B6971">
              <w:rPr>
                <w:rFonts w:cstheme="minorHAnsi"/>
                <w:b/>
                <w:bCs/>
                <w:color w:val="000000" w:themeColor="text1"/>
              </w:rPr>
              <w:t>21.7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:rsidRPr="00B25DFD" w14:paraId="20B4A675" w14:textId="7B567306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0674F69D" w14:textId="21733F06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16" w:type="dxa"/>
            <w:hideMark/>
          </w:tcPr>
          <w:p w14:paraId="502595AA" w14:textId="531E1976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8B6971">
              <w:rPr>
                <w:rFonts w:cstheme="minorHAnsi"/>
                <w:color w:val="000000" w:themeColor="text1"/>
              </w:rPr>
              <w:t>47.3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663F4D60" w:rsidR="008F2AA0" w:rsidRPr="00D96AEE" w:rsidRDefault="008B6971" w:rsidP="00A43A4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52.4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CEB702D" w14:textId="28E43F2E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3.9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7F3B4AE1" w14:textId="53110F64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17.7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5B8A89B5" w:rsidR="008F2AA0" w:rsidRPr="0004266D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11.5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385ED4A" w14:textId="1243E618" w:rsidR="008F2AA0" w:rsidRPr="00337F18" w:rsidRDefault="00074705" w:rsidP="00A43A45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59.8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76C4AD3" w14:textId="6B7DE55D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4.6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107F8B93" w14:textId="497B73C0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23.9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6060C93B" w14:textId="081A30E4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4D628EC6" w14:textId="7F1F9492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16" w:type="dxa"/>
            <w:hideMark/>
          </w:tcPr>
          <w:p w14:paraId="590C2B94" w14:textId="435E4513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8B6971">
              <w:rPr>
                <w:rFonts w:cstheme="minorHAnsi"/>
                <w:color w:val="000000" w:themeColor="text1"/>
              </w:rPr>
              <w:t>38.0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120C0CF8" w:rsidR="008F2AA0" w:rsidRPr="00337F18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42.1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2F0AAF3" w14:textId="6635F4D9" w:rsidR="008F2AA0" w:rsidRPr="0004266D" w:rsidRDefault="00BF3DAE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1.0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25DB127B" w14:textId="1A8C6626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9.9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72C34187" w:rsidR="008F2AA0" w:rsidRPr="0004266D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39529C18" w14:textId="2D35FEE7" w:rsidR="008F2AA0" w:rsidRPr="00337F18" w:rsidRDefault="0007470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38.3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20478A7" w14:textId="16793121" w:rsidR="008F2AA0" w:rsidRPr="0004266D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-1.5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30958CBD" w14:textId="6BF461F7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18.3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2B6B448E" w14:textId="7445020D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7C14C062" w14:textId="0BCE1D26" w:rsidR="008F2AA0" w:rsidRPr="006A7A6E" w:rsidRDefault="008F2AA0" w:rsidP="008F2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16" w:type="dxa"/>
            <w:hideMark/>
          </w:tcPr>
          <w:p w14:paraId="43257BA5" w14:textId="2907C42F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8B6971">
              <w:rPr>
                <w:rFonts w:cstheme="minorHAnsi"/>
                <w:color w:val="000000" w:themeColor="text1"/>
              </w:rPr>
              <w:t>4.9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63B503A8" w:rsidR="008F2AA0" w:rsidRPr="00337F18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10052F27" w14:textId="573B1C18" w:rsidR="008F2AA0" w:rsidRPr="0004266D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+7.0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1EEA636" w14:textId="00F7D0DC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6.6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780AA04B" w:rsidR="008F2AA0" w:rsidRPr="0004266D" w:rsidRDefault="008B6971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17DE33D" w14:textId="71832E23" w:rsidR="008F2AA0" w:rsidRPr="00337F18" w:rsidRDefault="0007470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632726C6" w14:textId="269F27CF" w:rsidR="008F2AA0" w:rsidRPr="0004266D" w:rsidRDefault="0004094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8B6971">
              <w:rPr>
                <w:rFonts w:cstheme="minorHAnsi"/>
                <w:color w:val="000000" w:themeColor="text1"/>
              </w:rPr>
              <w:t>9.7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700774A9" w14:textId="5DC2E99B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8B6971">
              <w:rPr>
                <w:rFonts w:cstheme="minorHAnsi"/>
                <w:color w:val="000000" w:themeColor="text1"/>
              </w:rPr>
              <w:t>12.7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3D3919E0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F7149">
        <w:rPr>
          <w:color w:val="7F7F7F" w:themeColor="text1" w:themeTint="80"/>
          <w:sz w:val="16"/>
          <w:szCs w:val="16"/>
        </w:rPr>
        <w:t>7/16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3EFF14DA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</w:t>
      </w:r>
      <w:r w:rsidR="00B672D0">
        <w:t>8</w:t>
      </w:r>
      <w:r>
        <w:t xml:space="preserve">-ounce packages </w:t>
      </w:r>
      <w:r w:rsidR="00B42A49">
        <w:t xml:space="preserve">generated </w:t>
      </w:r>
      <w:r w:rsidR="00504861">
        <w:t>52.7</w:t>
      </w:r>
      <w:r w:rsidR="00B672D0">
        <w:t xml:space="preserve">% of total sales in the four-week period, </w:t>
      </w:r>
      <w:r w:rsidR="00B42A49">
        <w:t xml:space="preserve">but dollar sales declined </w:t>
      </w:r>
      <w:r w:rsidR="00504861">
        <w:t>3.2</w:t>
      </w:r>
      <w:r w:rsidR="00B672D0">
        <w:t>% versus the same four weeks in 2022. 16-ounce packages repre</w:t>
      </w:r>
      <w:r w:rsidR="00B42A49">
        <w:t xml:space="preserve">sented </w:t>
      </w:r>
      <w:r w:rsidR="00504861">
        <w:t>18.6</w:t>
      </w:r>
      <w:r w:rsidR="00B42A49">
        <w:t xml:space="preserve">% of sales and </w:t>
      </w:r>
      <w:r w:rsidR="00C0288B">
        <w:t>declined</w:t>
      </w:r>
      <w:r w:rsidR="00B42A49">
        <w:t xml:space="preserve"> </w:t>
      </w:r>
      <w:r w:rsidR="00504861">
        <w:t>4.4</w:t>
      </w:r>
      <w:r w:rsidR="00B672D0">
        <w:t>% in dollars</w:t>
      </w:r>
      <w:r>
        <w:t>.</w:t>
      </w:r>
    </w:p>
    <w:p w14:paraId="0C66834A" w14:textId="00887966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</w:t>
      </w:r>
      <w:r w:rsidR="0009067E">
        <w:t xml:space="preserve">For total produce, organic sales are underperforming in comparison to conventional. Mushrooms are the opposite. </w:t>
      </w:r>
      <w:r>
        <w:t xml:space="preserve">Organic </w:t>
      </w:r>
      <w:r w:rsidR="005B6968">
        <w:t xml:space="preserve">mushrooms </w:t>
      </w:r>
      <w:r>
        <w:t xml:space="preserve">made up </w:t>
      </w:r>
      <w:r w:rsidR="00504861">
        <w:t>10.5</w:t>
      </w:r>
      <w:r>
        <w:t xml:space="preserve">% of </w:t>
      </w:r>
      <w:r w:rsidR="00BE7EF2">
        <w:t xml:space="preserve">pounds </w:t>
      </w:r>
      <w:r w:rsidR="004C1DB1">
        <w:t xml:space="preserve">and </w:t>
      </w:r>
      <w:r w:rsidR="00B672D0">
        <w:t>have been an above-average perfo</w:t>
      </w:r>
      <w:r w:rsidR="00B42A49">
        <w:t>rmer</w:t>
      </w:r>
      <w:r w:rsidR="0009067E">
        <w:t xml:space="preserve"> for months</w:t>
      </w:r>
      <w:r w:rsidR="00B42A49">
        <w:t xml:space="preserve">. </w:t>
      </w:r>
      <w:r w:rsidR="0009067E">
        <w:t>Over the past 52 weeks, d</w:t>
      </w:r>
      <w:r w:rsidR="00B42A49">
        <w:t xml:space="preserve">ollar sales increased </w:t>
      </w:r>
      <w:r w:rsidR="0009067E">
        <w:t>2.3</w:t>
      </w:r>
      <w:r w:rsidR="00B42A49">
        <w:t xml:space="preserve">% </w:t>
      </w:r>
      <w:r w:rsidR="0009067E">
        <w:t>for organic mushrooms versus a 1.7% decline for conventional. Organic also grew units and volume over the past four and 13 weeks</w:t>
      </w:r>
      <w:r w:rsidR="00B672D0">
        <w:t xml:space="preserve">. </w:t>
      </w:r>
      <w:r w:rsidR="005B6968">
        <w:t xml:space="preserve"> </w:t>
      </w:r>
    </w:p>
    <w:p w14:paraId="5CC8E748" w14:textId="77777777" w:rsidR="00300A5F" w:rsidRDefault="00300A5F" w:rsidP="00C9550B">
      <w:pPr>
        <w:pStyle w:val="NoSpacing"/>
        <w:rPr>
          <w:color w:val="7F7F7F" w:themeColor="text1" w:themeTint="80"/>
          <w:sz w:val="16"/>
          <w:szCs w:val="16"/>
        </w:rPr>
      </w:pPr>
    </w:p>
    <w:p w14:paraId="5DBFDF80" w14:textId="591426BB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7F7149">
        <w:rPr>
          <w:color w:val="7F7F7F" w:themeColor="text1" w:themeTint="80"/>
          <w:sz w:val="16"/>
          <w:szCs w:val="16"/>
        </w:rPr>
        <w:t>7/16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B25B" w14:textId="77777777" w:rsidR="003C4CCE" w:rsidRDefault="003C4CCE" w:rsidP="004E49DD">
      <w:pPr>
        <w:spacing w:after="0" w:line="240" w:lineRule="auto"/>
      </w:pPr>
      <w:r>
        <w:separator/>
      </w:r>
    </w:p>
  </w:endnote>
  <w:endnote w:type="continuationSeparator" w:id="0">
    <w:p w14:paraId="1C313213" w14:textId="77777777" w:rsidR="003C4CCE" w:rsidRDefault="003C4CCE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7B57" w14:textId="77777777" w:rsidR="003C4CCE" w:rsidRDefault="003C4CCE" w:rsidP="004E49DD">
      <w:pPr>
        <w:spacing w:after="0" w:line="240" w:lineRule="auto"/>
      </w:pPr>
      <w:r>
        <w:separator/>
      </w:r>
    </w:p>
  </w:footnote>
  <w:footnote w:type="continuationSeparator" w:id="0">
    <w:p w14:paraId="4C905494" w14:textId="77777777" w:rsidR="003C4CCE" w:rsidRDefault="003C4CCE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39659">
    <w:abstractNumId w:val="8"/>
  </w:num>
  <w:num w:numId="2" w16cid:durableId="1197963377">
    <w:abstractNumId w:val="10"/>
  </w:num>
  <w:num w:numId="3" w16cid:durableId="1026060426">
    <w:abstractNumId w:val="12"/>
  </w:num>
  <w:num w:numId="4" w16cid:durableId="1324624512">
    <w:abstractNumId w:val="4"/>
  </w:num>
  <w:num w:numId="5" w16cid:durableId="483861973">
    <w:abstractNumId w:val="15"/>
  </w:num>
  <w:num w:numId="6" w16cid:durableId="659574649">
    <w:abstractNumId w:val="11"/>
  </w:num>
  <w:num w:numId="7" w16cid:durableId="1722941804">
    <w:abstractNumId w:val="6"/>
  </w:num>
  <w:num w:numId="8" w16cid:durableId="1585217122">
    <w:abstractNumId w:val="3"/>
  </w:num>
  <w:num w:numId="9" w16cid:durableId="105470541">
    <w:abstractNumId w:val="1"/>
  </w:num>
  <w:num w:numId="10" w16cid:durableId="1064064825">
    <w:abstractNumId w:val="14"/>
  </w:num>
  <w:num w:numId="11" w16cid:durableId="726418505">
    <w:abstractNumId w:val="2"/>
  </w:num>
  <w:num w:numId="12" w16cid:durableId="1197163407">
    <w:abstractNumId w:val="13"/>
  </w:num>
  <w:num w:numId="13" w16cid:durableId="1902054320">
    <w:abstractNumId w:val="5"/>
  </w:num>
  <w:num w:numId="14" w16cid:durableId="683676434">
    <w:abstractNumId w:val="7"/>
  </w:num>
  <w:num w:numId="15" w16cid:durableId="748696217">
    <w:abstractNumId w:val="16"/>
  </w:num>
  <w:num w:numId="16" w16cid:durableId="53429195">
    <w:abstractNumId w:val="0"/>
  </w:num>
  <w:num w:numId="17" w16cid:durableId="781267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15E7B"/>
    <w:rsid w:val="00026928"/>
    <w:rsid w:val="00030ABF"/>
    <w:rsid w:val="00035D16"/>
    <w:rsid w:val="00040942"/>
    <w:rsid w:val="0004266D"/>
    <w:rsid w:val="0005390A"/>
    <w:rsid w:val="00057984"/>
    <w:rsid w:val="0007328F"/>
    <w:rsid w:val="00074705"/>
    <w:rsid w:val="000809C3"/>
    <w:rsid w:val="00085508"/>
    <w:rsid w:val="00085F10"/>
    <w:rsid w:val="0009067E"/>
    <w:rsid w:val="000A4146"/>
    <w:rsid w:val="000C1DF9"/>
    <w:rsid w:val="000C29FA"/>
    <w:rsid w:val="000C3CC4"/>
    <w:rsid w:val="000D5A69"/>
    <w:rsid w:val="000D7A79"/>
    <w:rsid w:val="000E2A1D"/>
    <w:rsid w:val="000E537C"/>
    <w:rsid w:val="000E61FF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5E27"/>
    <w:rsid w:val="00164656"/>
    <w:rsid w:val="00170260"/>
    <w:rsid w:val="00184281"/>
    <w:rsid w:val="001A4D44"/>
    <w:rsid w:val="001A601E"/>
    <w:rsid w:val="001B1351"/>
    <w:rsid w:val="001B18A2"/>
    <w:rsid w:val="001B762B"/>
    <w:rsid w:val="001D16CA"/>
    <w:rsid w:val="001D2675"/>
    <w:rsid w:val="001D4C76"/>
    <w:rsid w:val="00200AD1"/>
    <w:rsid w:val="00221F2D"/>
    <w:rsid w:val="002225C6"/>
    <w:rsid w:val="00224A21"/>
    <w:rsid w:val="00240137"/>
    <w:rsid w:val="002437CE"/>
    <w:rsid w:val="00251BBC"/>
    <w:rsid w:val="00264EDA"/>
    <w:rsid w:val="00276C09"/>
    <w:rsid w:val="00281498"/>
    <w:rsid w:val="00283DB2"/>
    <w:rsid w:val="00291F75"/>
    <w:rsid w:val="00292678"/>
    <w:rsid w:val="002B3879"/>
    <w:rsid w:val="002B7E48"/>
    <w:rsid w:val="002E2CD2"/>
    <w:rsid w:val="002F23A1"/>
    <w:rsid w:val="00300A5F"/>
    <w:rsid w:val="003045B7"/>
    <w:rsid w:val="003070A2"/>
    <w:rsid w:val="00312734"/>
    <w:rsid w:val="00314DA1"/>
    <w:rsid w:val="00322039"/>
    <w:rsid w:val="003223C7"/>
    <w:rsid w:val="00337F18"/>
    <w:rsid w:val="00347118"/>
    <w:rsid w:val="00347E3A"/>
    <w:rsid w:val="003534A1"/>
    <w:rsid w:val="00362BB1"/>
    <w:rsid w:val="003648C5"/>
    <w:rsid w:val="00396448"/>
    <w:rsid w:val="003A3323"/>
    <w:rsid w:val="003C1DD2"/>
    <w:rsid w:val="003C4CCE"/>
    <w:rsid w:val="003C72DD"/>
    <w:rsid w:val="003D3BDA"/>
    <w:rsid w:val="003D6A0F"/>
    <w:rsid w:val="003E61D0"/>
    <w:rsid w:val="003F77CF"/>
    <w:rsid w:val="00403666"/>
    <w:rsid w:val="00417945"/>
    <w:rsid w:val="00421D7D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A3C"/>
    <w:rsid w:val="00476C12"/>
    <w:rsid w:val="00483711"/>
    <w:rsid w:val="00485429"/>
    <w:rsid w:val="004A3A95"/>
    <w:rsid w:val="004A50D2"/>
    <w:rsid w:val="004B6371"/>
    <w:rsid w:val="004B7951"/>
    <w:rsid w:val="004C088A"/>
    <w:rsid w:val="004C1DB1"/>
    <w:rsid w:val="004C2808"/>
    <w:rsid w:val="004C5B27"/>
    <w:rsid w:val="004E1EE4"/>
    <w:rsid w:val="004E49DD"/>
    <w:rsid w:val="004E4F69"/>
    <w:rsid w:val="004E6889"/>
    <w:rsid w:val="004F4C4D"/>
    <w:rsid w:val="00504377"/>
    <w:rsid w:val="00504861"/>
    <w:rsid w:val="005049A9"/>
    <w:rsid w:val="00525F06"/>
    <w:rsid w:val="00526E95"/>
    <w:rsid w:val="00527BE9"/>
    <w:rsid w:val="00535D22"/>
    <w:rsid w:val="0054182D"/>
    <w:rsid w:val="00541AFF"/>
    <w:rsid w:val="00543607"/>
    <w:rsid w:val="0055095F"/>
    <w:rsid w:val="00552C5D"/>
    <w:rsid w:val="005547EE"/>
    <w:rsid w:val="00555250"/>
    <w:rsid w:val="005571F3"/>
    <w:rsid w:val="00562346"/>
    <w:rsid w:val="0056284A"/>
    <w:rsid w:val="0059588E"/>
    <w:rsid w:val="005A3316"/>
    <w:rsid w:val="005A54F2"/>
    <w:rsid w:val="005B6968"/>
    <w:rsid w:val="005C6AEE"/>
    <w:rsid w:val="005E1A66"/>
    <w:rsid w:val="005E5127"/>
    <w:rsid w:val="005F1173"/>
    <w:rsid w:val="006035CB"/>
    <w:rsid w:val="00606FA3"/>
    <w:rsid w:val="00615709"/>
    <w:rsid w:val="00620ED9"/>
    <w:rsid w:val="00621E2A"/>
    <w:rsid w:val="00632993"/>
    <w:rsid w:val="00645A58"/>
    <w:rsid w:val="006617FB"/>
    <w:rsid w:val="006636C7"/>
    <w:rsid w:val="00666D40"/>
    <w:rsid w:val="00677889"/>
    <w:rsid w:val="00684918"/>
    <w:rsid w:val="00694050"/>
    <w:rsid w:val="00697E4D"/>
    <w:rsid w:val="006A1766"/>
    <w:rsid w:val="006A7A6E"/>
    <w:rsid w:val="006C6780"/>
    <w:rsid w:val="006E50F3"/>
    <w:rsid w:val="006F1F55"/>
    <w:rsid w:val="006F64AE"/>
    <w:rsid w:val="006F765A"/>
    <w:rsid w:val="00706FA9"/>
    <w:rsid w:val="007070AC"/>
    <w:rsid w:val="0071051A"/>
    <w:rsid w:val="007106F4"/>
    <w:rsid w:val="00730897"/>
    <w:rsid w:val="00731BCD"/>
    <w:rsid w:val="00734289"/>
    <w:rsid w:val="007501A6"/>
    <w:rsid w:val="007764C7"/>
    <w:rsid w:val="00782D09"/>
    <w:rsid w:val="00787BBD"/>
    <w:rsid w:val="007A01C9"/>
    <w:rsid w:val="007A0B40"/>
    <w:rsid w:val="007A67D7"/>
    <w:rsid w:val="007B4A25"/>
    <w:rsid w:val="007D30DA"/>
    <w:rsid w:val="007D33D8"/>
    <w:rsid w:val="007D3D1C"/>
    <w:rsid w:val="007F098A"/>
    <w:rsid w:val="007F1F55"/>
    <w:rsid w:val="007F35D3"/>
    <w:rsid w:val="007F7149"/>
    <w:rsid w:val="007F7823"/>
    <w:rsid w:val="00826014"/>
    <w:rsid w:val="00832F0A"/>
    <w:rsid w:val="00837283"/>
    <w:rsid w:val="00851AC9"/>
    <w:rsid w:val="0086198D"/>
    <w:rsid w:val="0086536E"/>
    <w:rsid w:val="00873884"/>
    <w:rsid w:val="008815E3"/>
    <w:rsid w:val="008857EE"/>
    <w:rsid w:val="008A084A"/>
    <w:rsid w:val="008A1DBB"/>
    <w:rsid w:val="008A56E2"/>
    <w:rsid w:val="008B128D"/>
    <w:rsid w:val="008B633D"/>
    <w:rsid w:val="008B6971"/>
    <w:rsid w:val="008B7FFD"/>
    <w:rsid w:val="008D2A88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2088E"/>
    <w:rsid w:val="00920FBD"/>
    <w:rsid w:val="009232D4"/>
    <w:rsid w:val="00926E8A"/>
    <w:rsid w:val="00927EAC"/>
    <w:rsid w:val="00941C01"/>
    <w:rsid w:val="0094219B"/>
    <w:rsid w:val="00956FE2"/>
    <w:rsid w:val="00957F25"/>
    <w:rsid w:val="00972570"/>
    <w:rsid w:val="00975AF5"/>
    <w:rsid w:val="00977F7F"/>
    <w:rsid w:val="009B0330"/>
    <w:rsid w:val="009B3A61"/>
    <w:rsid w:val="009B71AE"/>
    <w:rsid w:val="009B7AC3"/>
    <w:rsid w:val="009D5574"/>
    <w:rsid w:val="009D6711"/>
    <w:rsid w:val="00A00697"/>
    <w:rsid w:val="00A13601"/>
    <w:rsid w:val="00A142BB"/>
    <w:rsid w:val="00A14586"/>
    <w:rsid w:val="00A43A45"/>
    <w:rsid w:val="00A45D51"/>
    <w:rsid w:val="00A50806"/>
    <w:rsid w:val="00A5084B"/>
    <w:rsid w:val="00A51F5B"/>
    <w:rsid w:val="00A52411"/>
    <w:rsid w:val="00A52B14"/>
    <w:rsid w:val="00A52EB4"/>
    <w:rsid w:val="00A53BAA"/>
    <w:rsid w:val="00A657C4"/>
    <w:rsid w:val="00A668C3"/>
    <w:rsid w:val="00A70428"/>
    <w:rsid w:val="00A72B72"/>
    <w:rsid w:val="00A94A88"/>
    <w:rsid w:val="00A95B14"/>
    <w:rsid w:val="00A96E20"/>
    <w:rsid w:val="00AA721E"/>
    <w:rsid w:val="00AB06EA"/>
    <w:rsid w:val="00AC2BFD"/>
    <w:rsid w:val="00AC2C09"/>
    <w:rsid w:val="00AC5D3F"/>
    <w:rsid w:val="00AD30B8"/>
    <w:rsid w:val="00AD7044"/>
    <w:rsid w:val="00AE0F54"/>
    <w:rsid w:val="00AE32A2"/>
    <w:rsid w:val="00AF14BD"/>
    <w:rsid w:val="00AF55E3"/>
    <w:rsid w:val="00AF5F52"/>
    <w:rsid w:val="00B01FA0"/>
    <w:rsid w:val="00B03343"/>
    <w:rsid w:val="00B0627A"/>
    <w:rsid w:val="00B13706"/>
    <w:rsid w:val="00B24BBD"/>
    <w:rsid w:val="00B25DFD"/>
    <w:rsid w:val="00B33A73"/>
    <w:rsid w:val="00B34EF7"/>
    <w:rsid w:val="00B40C43"/>
    <w:rsid w:val="00B42A49"/>
    <w:rsid w:val="00B42A84"/>
    <w:rsid w:val="00B542D1"/>
    <w:rsid w:val="00B562D5"/>
    <w:rsid w:val="00B672D0"/>
    <w:rsid w:val="00B8232B"/>
    <w:rsid w:val="00B9392A"/>
    <w:rsid w:val="00B96FC1"/>
    <w:rsid w:val="00B979CF"/>
    <w:rsid w:val="00BB03F4"/>
    <w:rsid w:val="00BB197D"/>
    <w:rsid w:val="00BC1A46"/>
    <w:rsid w:val="00BC34B2"/>
    <w:rsid w:val="00BE7EF2"/>
    <w:rsid w:val="00BF3DAE"/>
    <w:rsid w:val="00BF5D9C"/>
    <w:rsid w:val="00BF713B"/>
    <w:rsid w:val="00C0288B"/>
    <w:rsid w:val="00C12877"/>
    <w:rsid w:val="00C12E18"/>
    <w:rsid w:val="00C329D7"/>
    <w:rsid w:val="00C3770B"/>
    <w:rsid w:val="00C422D1"/>
    <w:rsid w:val="00C469D3"/>
    <w:rsid w:val="00C71FDD"/>
    <w:rsid w:val="00C81CBF"/>
    <w:rsid w:val="00C8545B"/>
    <w:rsid w:val="00C92074"/>
    <w:rsid w:val="00C954F2"/>
    <w:rsid w:val="00C9550B"/>
    <w:rsid w:val="00CB0BBD"/>
    <w:rsid w:val="00CB4067"/>
    <w:rsid w:val="00CB592A"/>
    <w:rsid w:val="00CB6109"/>
    <w:rsid w:val="00CE27CF"/>
    <w:rsid w:val="00CE621C"/>
    <w:rsid w:val="00D03B05"/>
    <w:rsid w:val="00D1241B"/>
    <w:rsid w:val="00D131C5"/>
    <w:rsid w:val="00D2073F"/>
    <w:rsid w:val="00D22E21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B764D"/>
    <w:rsid w:val="00DD58ED"/>
    <w:rsid w:val="00DE4C4C"/>
    <w:rsid w:val="00E20285"/>
    <w:rsid w:val="00E20E22"/>
    <w:rsid w:val="00E229C8"/>
    <w:rsid w:val="00E34CF4"/>
    <w:rsid w:val="00E37DF5"/>
    <w:rsid w:val="00E4438B"/>
    <w:rsid w:val="00E477C3"/>
    <w:rsid w:val="00E508BB"/>
    <w:rsid w:val="00E57C49"/>
    <w:rsid w:val="00E629E0"/>
    <w:rsid w:val="00E65269"/>
    <w:rsid w:val="00E65A4C"/>
    <w:rsid w:val="00E758A0"/>
    <w:rsid w:val="00E81634"/>
    <w:rsid w:val="00E85C62"/>
    <w:rsid w:val="00EB090C"/>
    <w:rsid w:val="00EB30C7"/>
    <w:rsid w:val="00ED0859"/>
    <w:rsid w:val="00EE6AB6"/>
    <w:rsid w:val="00EF1E09"/>
    <w:rsid w:val="00EF25E4"/>
    <w:rsid w:val="00F02776"/>
    <w:rsid w:val="00F0742E"/>
    <w:rsid w:val="00F16E5F"/>
    <w:rsid w:val="00F24969"/>
    <w:rsid w:val="00F26DD2"/>
    <w:rsid w:val="00F4460A"/>
    <w:rsid w:val="00F47EA1"/>
    <w:rsid w:val="00F55228"/>
    <w:rsid w:val="00F57DFC"/>
    <w:rsid w:val="00F86B08"/>
    <w:rsid w:val="00F93404"/>
    <w:rsid w:val="00F96C98"/>
    <w:rsid w:val="00FA1CDF"/>
    <w:rsid w:val="00FB15C0"/>
    <w:rsid w:val="00FC53C7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17</cp:revision>
  <dcterms:created xsi:type="dcterms:W3CDTF">2023-07-27T07:56:00Z</dcterms:created>
  <dcterms:modified xsi:type="dcterms:W3CDTF">2023-07-31T16:12:00Z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