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67377125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6F765A">
        <w:rPr>
          <w:sz w:val="44"/>
          <w:szCs w:val="44"/>
        </w:rPr>
        <w:t>5</w:t>
      </w:r>
      <w:r w:rsidR="00221F2D">
        <w:rPr>
          <w:sz w:val="44"/>
          <w:szCs w:val="44"/>
        </w:rPr>
        <w:t>.2</w:t>
      </w:r>
      <w:r w:rsidR="006F765A">
        <w:rPr>
          <w:sz w:val="44"/>
          <w:szCs w:val="44"/>
        </w:rPr>
        <w:t>1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3316178D" w14:textId="2CC57CB8" w:rsidR="00C954F2" w:rsidRDefault="00C954F2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Data Note</w:t>
      </w:r>
    </w:p>
    <w:p w14:paraId="6C3A2B22" w14:textId="18ED428B" w:rsidR="00C954F2" w:rsidRPr="00C954F2" w:rsidRDefault="00C954F2" w:rsidP="00C954F2">
      <w:r>
        <w:t xml:space="preserve">The data anomaly excluding two mushroom supercenter UPCs has been corrected. The updated numbers are included in this report. </w:t>
      </w:r>
    </w:p>
    <w:p w14:paraId="5B083E85" w14:textId="1C563AAF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74C2135D" w14:textId="6E6C5116" w:rsidR="007764C7" w:rsidRPr="007764C7" w:rsidRDefault="00347118" w:rsidP="007764C7">
      <w:pPr>
        <w:pStyle w:val="NoSpacing"/>
      </w:pPr>
      <w:r>
        <w:t>As high levels of inflation persist, so are consumers’ money-saving measures</w:t>
      </w:r>
      <w:r w:rsidR="00184281">
        <w:t>. This has resulted in the combination of more store trips as shoppers chase deals</w:t>
      </w:r>
      <w:r>
        <w:t>.</w:t>
      </w:r>
      <w:r w:rsidR="002E2CD2">
        <w:t xml:space="preserve"> </w:t>
      </w:r>
      <w:r w:rsidR="007B4A25">
        <w:t>Additionally, t</w:t>
      </w:r>
      <w:r w:rsidR="002E2CD2">
        <w:t>he average number of items per shopping trip continues to fall as shoppers adjust purchases to balance their budgets.</w:t>
      </w:r>
      <w:r>
        <w:t xml:space="preserve"> Fresh vegetable</w:t>
      </w:r>
      <w:r w:rsidR="007B4A25">
        <w:t>s</w:t>
      </w:r>
      <w:r>
        <w:t xml:space="preserve"> </w:t>
      </w:r>
      <w:r w:rsidR="007B4A25">
        <w:t>have also experienced volume pressure for a long time</w:t>
      </w:r>
      <w:r>
        <w:t xml:space="preserve">. </w:t>
      </w:r>
      <w:r w:rsidR="002E2CD2">
        <w:t>Fruit, that has experienced three months of deflationary conditions, did grow pound</w:t>
      </w:r>
      <w:r w:rsidR="000E537C">
        <w:t xml:space="preserve"> sales</w:t>
      </w:r>
      <w:r w:rsidR="002E2CD2">
        <w:t xml:space="preserve">, which pulled </w:t>
      </w:r>
      <w:r w:rsidR="007501A6">
        <w:t>April</w:t>
      </w:r>
      <w:r w:rsidR="007764C7">
        <w:t xml:space="preserve"> total fresh</w:t>
      </w:r>
      <w:r w:rsidR="007501A6">
        <w:t xml:space="preserve"> </w:t>
      </w:r>
      <w:r w:rsidR="002E2CD2">
        <w:t xml:space="preserve">produce </w:t>
      </w:r>
      <w:r w:rsidR="007501A6">
        <w:t xml:space="preserve">volume sales </w:t>
      </w:r>
      <w:r w:rsidR="002E2CD2">
        <w:t>into the black for the first time in 21 months</w:t>
      </w:r>
      <w:r w:rsidR="007501A6">
        <w:t>, at +0.6% versus year ago levels</w:t>
      </w:r>
      <w:r w:rsidR="002E2CD2">
        <w:t xml:space="preserve">. </w:t>
      </w:r>
      <w:r w:rsidR="007764C7" w:rsidRPr="007764C7">
        <w:t>Per the April Circana survey of primary grocery shoppers:</w:t>
      </w:r>
    </w:p>
    <w:p w14:paraId="546DD6B0" w14:textId="77777777" w:rsidR="007764C7" w:rsidRPr="007764C7" w:rsidRDefault="007764C7" w:rsidP="007764C7">
      <w:pPr>
        <w:pStyle w:val="NoSpacing"/>
        <w:numPr>
          <w:ilvl w:val="0"/>
          <w:numId w:val="14"/>
        </w:numPr>
      </w:pPr>
      <w:r w:rsidRPr="007764C7">
        <w:t xml:space="preserve">The consumer-estimated share of meals prepared at home rose to 80%, with above average shares for lower-income and fixed-income shoppers. </w:t>
      </w:r>
    </w:p>
    <w:p w14:paraId="14D1FA2D" w14:textId="77777777" w:rsidR="007764C7" w:rsidRPr="007764C7" w:rsidRDefault="007764C7" w:rsidP="007764C7">
      <w:pPr>
        <w:pStyle w:val="NoSpacing"/>
        <w:numPr>
          <w:ilvl w:val="0"/>
          <w:numId w:val="14"/>
        </w:numPr>
      </w:pPr>
      <w:r w:rsidRPr="007764C7">
        <w:t xml:space="preserve">22% of consumers plan to source fewer restaurant meals. Restaurant takeout (ordered by 50% of consumers in the past month) continues to see higher engagement than on-premise dining (48%). </w:t>
      </w:r>
    </w:p>
    <w:p w14:paraId="56775AD3" w14:textId="77777777" w:rsidR="007764C7" w:rsidRPr="007764C7" w:rsidRDefault="007764C7" w:rsidP="007764C7">
      <w:pPr>
        <w:pStyle w:val="NoSpacing"/>
        <w:numPr>
          <w:ilvl w:val="0"/>
          <w:numId w:val="14"/>
        </w:numPr>
      </w:pPr>
      <w:r w:rsidRPr="007764C7">
        <w:t>When buying groceries, a survey high of 85% of consumers apply one or more money-saving measures, led by looking for sales promotions (53%), cutting back on non-essentials (46%) and buying store brands more often (34%).</w:t>
      </w:r>
    </w:p>
    <w:p w14:paraId="6ACA7A48" w14:textId="1F978090" w:rsidR="007764C7" w:rsidRPr="007764C7" w:rsidRDefault="007764C7" w:rsidP="00466B92">
      <w:pPr>
        <w:pStyle w:val="NoSpacing"/>
        <w:numPr>
          <w:ilvl w:val="0"/>
          <w:numId w:val="14"/>
        </w:numPr>
      </w:pPr>
      <w:r w:rsidRPr="007764C7">
        <w:t>At the same time, consumers are changing behaviors inside the home</w:t>
      </w:r>
      <w:r>
        <w:t>:</w:t>
      </w:r>
      <w:r w:rsidRPr="007764C7">
        <w:t xml:space="preserve"> 40% of consumers noted they are more conscious of using up fresh foods before they go bad, 39% are using leftovers more and 25% are using more simple ingredients.</w:t>
      </w:r>
    </w:p>
    <w:p w14:paraId="494A36E9" w14:textId="77777777" w:rsidR="00EE6AB6" w:rsidRDefault="00EE6AB6" w:rsidP="00AE32A2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6894DF27" w:rsidR="00826014" w:rsidRDefault="009B71AE" w:rsidP="00472B02">
      <w:pPr>
        <w:pStyle w:val="NoSpacing"/>
      </w:pPr>
      <w:r>
        <w:t>Total food and bev</w:t>
      </w:r>
      <w:r w:rsidR="003223C7">
        <w:t xml:space="preserve">erage dollar sales increased </w:t>
      </w:r>
      <w:r w:rsidR="00D8798E">
        <w:t>4.7</w:t>
      </w:r>
      <w:r>
        <w:t>% over the quad-week</w:t>
      </w:r>
      <w:r w:rsidR="003223C7">
        <w:t xml:space="preserve"> period, but units were down </w:t>
      </w:r>
      <w:r w:rsidR="00D8798E">
        <w:t>2.3</w:t>
      </w:r>
      <w:r>
        <w:t xml:space="preserve">%. For the four weeks ending </w:t>
      </w:r>
      <w:r w:rsidR="008F2AA0">
        <w:t>May 21</w:t>
      </w:r>
      <w:r w:rsidR="008F2AA0">
        <w:rPr>
          <w:vertAlign w:val="superscript"/>
        </w:rPr>
        <w:t>st</w:t>
      </w:r>
      <w:r>
        <w:t xml:space="preserve"> 2023, f</w:t>
      </w:r>
      <w:r w:rsidR="00264EDA">
        <w:t>resh pro</w:t>
      </w:r>
      <w:r w:rsidR="000D5A69">
        <w:t>duce</w:t>
      </w:r>
      <w:r w:rsidR="00D8798E">
        <w:t xml:space="preserve"> dollar sales were flat (-0.2</w:t>
      </w:r>
      <w:r>
        <w:t>%</w:t>
      </w:r>
      <w:r w:rsidR="000D5A69">
        <w:t xml:space="preserve">) and </w:t>
      </w:r>
      <w:r>
        <w:t xml:space="preserve">fresh mushroom sales were down </w:t>
      </w:r>
      <w:r w:rsidR="00D8798E">
        <w:t>1.7</w:t>
      </w:r>
      <w:r w:rsidR="00264EDA">
        <w:t>%</w:t>
      </w:r>
      <w:r>
        <w:t xml:space="preserve"> year-on-year</w:t>
      </w:r>
      <w:r w:rsidR="00264EDA">
        <w:t xml:space="preserve">. </w:t>
      </w:r>
      <w:r w:rsidR="007764C7">
        <w:t xml:space="preserve">This data </w:t>
      </w:r>
      <w:r w:rsidR="007764C7" w:rsidRPr="007764C7">
        <w:rPr>
          <w:b/>
          <w:bCs/>
        </w:rPr>
        <w:t>has been</w:t>
      </w:r>
      <w:r w:rsidR="007764C7">
        <w:t xml:space="preserve"> adjusted for the supercenter data error. </w:t>
      </w:r>
    </w:p>
    <w:p w14:paraId="38CFFFCE" w14:textId="77777777" w:rsidR="00826014" w:rsidRDefault="00826014" w:rsidP="00472B02">
      <w:pPr>
        <w:pStyle w:val="NoSpacing"/>
      </w:pPr>
    </w:p>
    <w:p w14:paraId="47797D03" w14:textId="06BFA027" w:rsidR="00472B02" w:rsidRDefault="009B71AE" w:rsidP="00472B02">
      <w:pPr>
        <w:pStyle w:val="NoSpacing"/>
      </w:pPr>
      <w:r>
        <w:t>F</w:t>
      </w:r>
      <w:r w:rsidR="00124C8B">
        <w:t>resh mushroom</w:t>
      </w:r>
      <w:r>
        <w:t xml:space="preserve">s experienced unit and volume declines during the shorter and longer time periods. </w:t>
      </w:r>
      <w:r w:rsidR="009D6711">
        <w:t>In the latest four weeks, volume declines stayed within 3 points of year ago levels.</w:t>
      </w:r>
      <w:r w:rsidR="006A1766">
        <w:t xml:space="preserve"> Importantly</w:t>
      </w:r>
      <w:r w:rsidR="009D6711">
        <w:t xml:space="preserve">, volume declines are moderating in comparison with the 52-week look that shows pounds down 6.9%.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886"/>
        <w:gridCol w:w="1024"/>
        <w:gridCol w:w="1102"/>
        <w:gridCol w:w="1817"/>
        <w:gridCol w:w="135"/>
        <w:gridCol w:w="1098"/>
        <w:gridCol w:w="27"/>
        <w:gridCol w:w="1170"/>
      </w:tblGrid>
      <w:tr w:rsidR="00B672D0" w:rsidRPr="00124CB7" w14:paraId="5D073D77" w14:textId="77777777" w:rsidTr="00BB0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1886" w:type="dxa"/>
          </w:tcPr>
          <w:p w14:paraId="51DF6E55" w14:textId="564A236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 ending 5/21/2023</w:t>
            </w:r>
          </w:p>
        </w:tc>
        <w:tc>
          <w:tcPr>
            <w:tcW w:w="1024" w:type="dxa"/>
          </w:tcPr>
          <w:p w14:paraId="4B26425C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66B6F0A2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1952" w:type="dxa"/>
            <w:gridSpan w:val="2"/>
            <w:tcBorders>
              <w:left w:val="single" w:sz="4" w:space="0" w:color="ED7D31" w:themeColor="accent2"/>
            </w:tcBorders>
          </w:tcPr>
          <w:p w14:paraId="3BBE24C3" w14:textId="450CEBC5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 5/21/2023</w:t>
            </w:r>
          </w:p>
        </w:tc>
        <w:tc>
          <w:tcPr>
            <w:tcW w:w="1098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  <w:gridSpan w:val="2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B672D0" w14:paraId="22401D5B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166854D6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68F5017B" w:rsidR="00B672D0" w:rsidRDefault="00B672D0" w:rsidP="00B672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$95.2 million</w:t>
            </w:r>
          </w:p>
        </w:tc>
        <w:tc>
          <w:tcPr>
            <w:tcW w:w="1024" w:type="dxa"/>
          </w:tcPr>
          <w:p w14:paraId="77D2040B" w14:textId="2559BF8F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-1.7%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1F2ACC87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-19.9%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22E5B0D9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$1.3 billion</w:t>
            </w:r>
          </w:p>
        </w:tc>
        <w:tc>
          <w:tcPr>
            <w:tcW w:w="1260" w:type="dxa"/>
            <w:gridSpan w:val="3"/>
          </w:tcPr>
          <w:p w14:paraId="04EA64A9" w14:textId="7B14653F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-1.1%</w:t>
            </w:r>
          </w:p>
        </w:tc>
        <w:tc>
          <w:tcPr>
            <w:tcW w:w="1170" w:type="dxa"/>
          </w:tcPr>
          <w:p w14:paraId="2F2464E9" w14:textId="5221AEA8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+2.8%</w:t>
            </w:r>
          </w:p>
        </w:tc>
      </w:tr>
      <w:tr w:rsidR="00B672D0" w14:paraId="31FB8D29" w14:textId="77777777" w:rsidTr="00BB0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48542DFC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0461AB84" w:rsidR="00B672D0" w:rsidRDefault="00B672D0" w:rsidP="00B672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32.9 million</w:t>
            </w:r>
          </w:p>
        </w:tc>
        <w:tc>
          <w:tcPr>
            <w:tcW w:w="1024" w:type="dxa"/>
          </w:tcPr>
          <w:p w14:paraId="6922F333" w14:textId="6AC3AC7E" w:rsidR="00B672D0" w:rsidRDefault="00B672D0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-3.4%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498F8DC2" w:rsidR="00B672D0" w:rsidRDefault="00B672D0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-25.8%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26ECACB9" w14:textId="226F62FF" w:rsidR="00B672D0" w:rsidRDefault="00B672D0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433.5 million</w:t>
            </w:r>
          </w:p>
        </w:tc>
        <w:tc>
          <w:tcPr>
            <w:tcW w:w="1260" w:type="dxa"/>
            <w:gridSpan w:val="3"/>
          </w:tcPr>
          <w:p w14:paraId="60AAF678" w14:textId="7075C30C" w:rsidR="00B672D0" w:rsidRDefault="00B672D0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-7.0%</w:t>
            </w:r>
          </w:p>
        </w:tc>
        <w:tc>
          <w:tcPr>
            <w:tcW w:w="1170" w:type="dxa"/>
          </w:tcPr>
          <w:p w14:paraId="19BE3B74" w14:textId="58F042D2" w:rsidR="00B672D0" w:rsidRDefault="00B672D0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-9.9%</w:t>
            </w:r>
          </w:p>
        </w:tc>
      </w:tr>
      <w:tr w:rsidR="00B672D0" w14:paraId="2EB720F3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04CEBBF8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1886" w:type="dxa"/>
          </w:tcPr>
          <w:p w14:paraId="68757A76" w14:textId="5061F835" w:rsidR="00B672D0" w:rsidRDefault="00B672D0" w:rsidP="00B672D0">
            <w:pPr>
              <w:pStyle w:val="NoSpacing"/>
              <w:tabs>
                <w:tab w:val="center" w:pos="747"/>
                <w:tab w:val="right" w:pos="14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20.7 million</w:t>
            </w:r>
          </w:p>
        </w:tc>
        <w:tc>
          <w:tcPr>
            <w:tcW w:w="1024" w:type="dxa"/>
          </w:tcPr>
          <w:p w14:paraId="7DE7F9CC" w14:textId="0278CDBD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-2.9%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211B09E5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-26.0%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224FE42C" w:rsidR="00B672D0" w:rsidRDefault="00B672D0" w:rsidP="00B672D0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273.0 million</w:t>
            </w:r>
          </w:p>
        </w:tc>
        <w:tc>
          <w:tcPr>
            <w:tcW w:w="1260" w:type="dxa"/>
            <w:gridSpan w:val="3"/>
          </w:tcPr>
          <w:p w14:paraId="0679CD28" w14:textId="594D6123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-6.9%</w:t>
            </w:r>
          </w:p>
        </w:tc>
        <w:tc>
          <w:tcPr>
            <w:tcW w:w="1170" w:type="dxa"/>
          </w:tcPr>
          <w:p w14:paraId="09C03B7F" w14:textId="40045ED7" w:rsidR="00B672D0" w:rsidRDefault="00B672D0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-8.2%</w:t>
            </w:r>
          </w:p>
        </w:tc>
      </w:tr>
    </w:tbl>
    <w:p w14:paraId="5B1F1AF6" w14:textId="525F820E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F2AA0">
        <w:rPr>
          <w:color w:val="7F7F7F" w:themeColor="text1" w:themeTint="80"/>
          <w:sz w:val="16"/>
          <w:szCs w:val="16"/>
        </w:rPr>
        <w:t>5/21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73F33753" w14:textId="2C18B582" w:rsidR="006A1766" w:rsidRDefault="00730897" w:rsidP="00C954F2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9D6711">
        <w:t xml:space="preserve">were extremely consistent, </w:t>
      </w:r>
      <w:r w:rsidR="00BE7EF2">
        <w:t>averag</w:t>
      </w:r>
      <w:r w:rsidR="009D6711">
        <w:t>ing</w:t>
      </w:r>
      <w:r w:rsidR="00BE7EF2">
        <w:t xml:space="preserve"> between</w:t>
      </w:r>
      <w:r w:rsidR="00445779">
        <w:t xml:space="preserve"> $</w:t>
      </w:r>
      <w:r w:rsidR="00BC1A46">
        <w:t>23.0</w:t>
      </w:r>
      <w:r w:rsidR="00085508">
        <w:t xml:space="preserve"> million and</w:t>
      </w:r>
      <w:r w:rsidR="00BE7EF2">
        <w:t xml:space="preserve"> $</w:t>
      </w:r>
      <w:r w:rsidR="00BC1A46">
        <w:t>24.4</w:t>
      </w:r>
      <w:r w:rsidR="003A3323">
        <w:t xml:space="preserve"> million</w:t>
      </w:r>
      <w:r w:rsidR="006A1766">
        <w:t xml:space="preserve"> in each of the four weeks</w:t>
      </w:r>
      <w:r w:rsidR="009D6711">
        <w:t>. T</w:t>
      </w:r>
      <w:r w:rsidR="00314DA1">
        <w:t>he period-over-period sales trend</w:t>
      </w:r>
      <w:r w:rsidR="009D6711">
        <w:t>s continue to follow long-established patterns</w:t>
      </w:r>
      <w:r w:rsidR="00314DA1">
        <w:t xml:space="preserve"> (as seen on the forecasting tab)</w:t>
      </w:r>
      <w:r w:rsidR="009D6711">
        <w:t>. While volume remains below 2019</w:t>
      </w:r>
      <w:r w:rsidR="006A1766">
        <w:t xml:space="preserve"> levels, the gap grew smaller in the latest four weeks. </w:t>
      </w:r>
    </w:p>
    <w:p w14:paraId="280C3786" w14:textId="77777777" w:rsidR="00C954F2" w:rsidRDefault="00C954F2" w:rsidP="00C954F2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1F6EAD18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lastRenderedPageBreak/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26DDEF19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2FF24334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1067C8D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620" w:type="dxa"/>
          </w:tcPr>
          <w:p w14:paraId="7A77A4C9" w14:textId="7B587886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2020</w:t>
            </w:r>
          </w:p>
        </w:tc>
      </w:tr>
      <w:tr w:rsidR="008F2AA0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56812642" w:rsidR="008F2AA0" w:rsidRPr="006A7A6E" w:rsidRDefault="008F2AA0" w:rsidP="008F2AA0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 w.e. 5/21/2023</w:t>
            </w:r>
          </w:p>
        </w:tc>
        <w:tc>
          <w:tcPr>
            <w:tcW w:w="997" w:type="dxa"/>
          </w:tcPr>
          <w:p w14:paraId="73E257C6" w14:textId="1FAAF5E3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BC1A46">
              <w:rPr>
                <w:rFonts w:cstheme="minorHAnsi"/>
                <w:b/>
                <w:bCs/>
                <w:color w:val="000000" w:themeColor="text1"/>
              </w:rPr>
              <w:t>95.2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51380AA9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C1A46">
              <w:rPr>
                <w:rFonts w:cstheme="minorHAnsi"/>
                <w:b/>
                <w:bCs/>
                <w:color w:val="000000" w:themeColor="text1"/>
              </w:rPr>
              <w:t>1.7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706EF1A6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C1A46">
              <w:rPr>
                <w:rFonts w:cstheme="minorHAnsi"/>
                <w:b/>
                <w:bCs/>
                <w:color w:val="000000" w:themeColor="text1"/>
              </w:rPr>
              <w:t>19.9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061CCE6F" w:rsidR="008F2AA0" w:rsidRPr="006A7A6E" w:rsidRDefault="00BC1A46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20.7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09347467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C1A46">
              <w:rPr>
                <w:rFonts w:cstheme="minorHAnsi"/>
                <w:b/>
                <w:bCs/>
                <w:color w:val="000000" w:themeColor="text1"/>
              </w:rPr>
              <w:t>2.9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7EEFED4D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C1A46">
              <w:rPr>
                <w:rFonts w:cstheme="minorHAnsi"/>
                <w:b/>
                <w:bCs/>
                <w:color w:val="000000" w:themeColor="text1"/>
              </w:rPr>
              <w:t>26.0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4671FC59" w:rsidR="008F2AA0" w:rsidRPr="006A7A6E" w:rsidRDefault="008F2AA0" w:rsidP="008F2AA0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>
              <w:rPr>
                <w:rFonts w:cstheme="minorHAnsi"/>
                <w:b w:val="0"/>
                <w:color w:val="000000" w:themeColor="text1"/>
              </w:rPr>
              <w:t>4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30/2023</w:t>
            </w:r>
          </w:p>
        </w:tc>
        <w:tc>
          <w:tcPr>
            <w:tcW w:w="997" w:type="dxa"/>
          </w:tcPr>
          <w:p w14:paraId="151AC645" w14:textId="2DDF8812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BC1A46">
              <w:rPr>
                <w:rFonts w:cstheme="minorHAnsi"/>
                <w:color w:val="000000" w:themeColor="text1"/>
              </w:rPr>
              <w:t>24.0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3603092E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1.8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45261EC1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20.1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68074407" w:rsidR="008F2AA0" w:rsidRPr="0004266D" w:rsidRDefault="00BC1A46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5.2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0D52AA8B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4.9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06A512E0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26.8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76DAAAB8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>
              <w:rPr>
                <w:rFonts w:cstheme="minorHAnsi"/>
                <w:b w:val="0"/>
                <w:color w:val="000000" w:themeColor="text1"/>
              </w:rPr>
              <w:t>5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7/2023</w:t>
            </w:r>
          </w:p>
        </w:tc>
        <w:tc>
          <w:tcPr>
            <w:tcW w:w="997" w:type="dxa"/>
          </w:tcPr>
          <w:p w14:paraId="11A8DDCA" w14:textId="5698FE56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BC1A46">
              <w:rPr>
                <w:rFonts w:cstheme="minorHAnsi"/>
                <w:color w:val="000000" w:themeColor="text1"/>
              </w:rPr>
              <w:t>23.9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4D75D4E5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4.3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7C9DE4D2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21.8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311773CF" w:rsidR="008F2AA0" w:rsidRPr="0004266D" w:rsidRDefault="00BC1A46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5.2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42F57FA3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4.8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54035DE2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27.3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25993812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>
              <w:rPr>
                <w:rFonts w:cstheme="minorHAnsi"/>
                <w:b w:val="0"/>
                <w:color w:val="000000" w:themeColor="text1"/>
              </w:rPr>
              <w:t>5/14/2023</w:t>
            </w:r>
          </w:p>
        </w:tc>
        <w:tc>
          <w:tcPr>
            <w:tcW w:w="997" w:type="dxa"/>
          </w:tcPr>
          <w:p w14:paraId="48606425" w14:textId="3581688B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BC1A46">
              <w:rPr>
                <w:rFonts w:cstheme="minorHAnsi"/>
                <w:color w:val="000000" w:themeColor="text1"/>
              </w:rPr>
              <w:t>24.4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4EBA0100" w:rsidR="008F2AA0" w:rsidRPr="0004266D" w:rsidRDefault="00BC1A46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+1.8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57F4D47F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15.7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3050F597" w:rsidR="008F2AA0" w:rsidRPr="0004266D" w:rsidRDefault="00BC1A46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5.3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5BC8A910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0.1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76618666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23.2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73672646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>
              <w:rPr>
                <w:rFonts w:cstheme="minorHAnsi"/>
                <w:b w:val="0"/>
                <w:color w:val="000000" w:themeColor="text1"/>
              </w:rPr>
              <w:t>5/21/2023</w:t>
            </w:r>
          </w:p>
        </w:tc>
        <w:tc>
          <w:tcPr>
            <w:tcW w:w="997" w:type="dxa"/>
          </w:tcPr>
          <w:p w14:paraId="1F9888EE" w14:textId="57202B70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BC1A46">
              <w:rPr>
                <w:rFonts w:cstheme="minorHAnsi"/>
                <w:color w:val="000000" w:themeColor="text1"/>
              </w:rPr>
              <w:t>23.0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09FFF966" w:rsidR="008F2AA0" w:rsidRPr="0004266D" w:rsidRDefault="00BC1A46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-2.3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65F366A9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21.9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30B94C63" w:rsidR="008F2AA0" w:rsidRPr="0004266D" w:rsidRDefault="00BC1A46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5.0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653417F8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1.6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5D97B0C6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C1A46">
              <w:rPr>
                <w:rFonts w:cstheme="minorHAnsi"/>
                <w:color w:val="000000" w:themeColor="text1"/>
              </w:rPr>
              <w:t>26.8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092FDB17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F2AA0">
        <w:rPr>
          <w:color w:val="7F7F7F" w:themeColor="text1" w:themeTint="80"/>
          <w:sz w:val="16"/>
          <w:szCs w:val="16"/>
        </w:rPr>
        <w:t>5/21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44C913A5" w:rsidR="00666D40" w:rsidRDefault="006A1766" w:rsidP="00472B02">
      <w:pPr>
        <w:pStyle w:val="NoSpacing"/>
      </w:pPr>
      <w:r>
        <w:t xml:space="preserve">Inflation in vegetables is moderating and 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3534A1">
        <w:t>1.8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>
        <w:t xml:space="preserve">This is down from 6.3%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48D51E01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8F2AA0">
              <w:t>5/21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449312B6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8F2AA0">
              <w:t>5/21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1E3037AA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6FC1">
              <w:t>2.90</w:t>
            </w:r>
          </w:p>
        </w:tc>
        <w:tc>
          <w:tcPr>
            <w:tcW w:w="973" w:type="dxa"/>
          </w:tcPr>
          <w:p w14:paraId="3E0967AB" w14:textId="154B6B40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B96FC1">
              <w:t>1.8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06AA99F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B96FC1">
              <w:t>7.9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10F03A4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6FC1">
              <w:t>2.95</w:t>
            </w:r>
          </w:p>
        </w:tc>
        <w:tc>
          <w:tcPr>
            <w:tcW w:w="817" w:type="dxa"/>
          </w:tcPr>
          <w:p w14:paraId="08755E5E" w14:textId="320B0A25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B96FC1">
              <w:t>6.3</w:t>
            </w:r>
            <w:r>
              <w:t>%</w:t>
            </w:r>
          </w:p>
        </w:tc>
        <w:tc>
          <w:tcPr>
            <w:tcW w:w="899" w:type="dxa"/>
          </w:tcPr>
          <w:p w14:paraId="19B1F6D2" w14:textId="1BFFE03B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B96FC1">
              <w:t>14.1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63661AB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6FC1">
              <w:t>4.61</w:t>
            </w:r>
          </w:p>
        </w:tc>
        <w:tc>
          <w:tcPr>
            <w:tcW w:w="973" w:type="dxa"/>
          </w:tcPr>
          <w:p w14:paraId="7E986169" w14:textId="2E374D3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96FC1">
              <w:t>1.3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674C8BDE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96FC1">
              <w:t>8.3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2B65672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6FC1">
              <w:t>4.68</w:t>
            </w:r>
          </w:p>
        </w:tc>
        <w:tc>
          <w:tcPr>
            <w:tcW w:w="817" w:type="dxa"/>
          </w:tcPr>
          <w:p w14:paraId="1759FD32" w14:textId="188D4D9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96FC1">
              <w:t>6.3</w:t>
            </w:r>
            <w:r>
              <w:t>%</w:t>
            </w:r>
          </w:p>
        </w:tc>
        <w:tc>
          <w:tcPr>
            <w:tcW w:w="899" w:type="dxa"/>
          </w:tcPr>
          <w:p w14:paraId="725313BE" w14:textId="2497E1A0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52411">
              <w:t>12.1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08818362" w:rsidR="00170260" w:rsidRDefault="00B672D0" w:rsidP="00170260">
      <w:pPr>
        <w:pStyle w:val="NoSpacing"/>
      </w:pPr>
      <w:r>
        <w:t>Moderation in price increases goes hand-in-hand with an increase in p</w:t>
      </w:r>
      <w:r w:rsidR="006636C7">
        <w:t>romotional activity</w:t>
      </w:r>
      <w:r>
        <w:t>. D</w:t>
      </w:r>
      <w:r w:rsidR="006636C7">
        <w:t>uring the latest quad-week period</w:t>
      </w:r>
      <w:r w:rsidR="00FF2D4A">
        <w:t xml:space="preserve"> </w:t>
      </w:r>
      <w:r w:rsidR="00CE621C">
        <w:t>18.1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E508BB">
        <w:t xml:space="preserve">. Promotional levels </w:t>
      </w:r>
      <w:r w:rsidR="00C9550B">
        <w:t xml:space="preserve">for total fresh produce as well as total food and beverages </w:t>
      </w:r>
      <w:r>
        <w:t xml:space="preserve">also increased </w:t>
      </w:r>
      <w:r w:rsidR="004C1DB1">
        <w:t>substantially</w:t>
      </w:r>
      <w:r w:rsidR="00C9550B">
        <w:t xml:space="preserve"> year-on-year, but </w:t>
      </w:r>
      <w:r>
        <w:t xml:space="preserve">were </w:t>
      </w:r>
      <w:r w:rsidR="00C9550B">
        <w:t xml:space="preserve">still below the </w:t>
      </w:r>
      <w:r w:rsidR="00251BBC">
        <w:t>2020</w:t>
      </w:r>
      <w:r w:rsidR="00C9550B">
        <w:t xml:space="preserve"> pre-pandemic levels</w:t>
      </w:r>
      <w:r w:rsidR="00E508BB">
        <w:t xml:space="preserve">. </w:t>
      </w:r>
      <w:r w:rsidR="006636C7"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45BA9DD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8F2AA0">
              <w:t>5/21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55E8CC0A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8F2AA0">
              <w:t>5/21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27A239C9" w:rsidR="004A50D2" w:rsidRPr="006617FB" w:rsidRDefault="00CE621C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18.1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DA17716" w:rsidR="004A50D2" w:rsidRPr="009B0330" w:rsidRDefault="0044577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CE621C">
              <w:t>13.7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535CDE7C" w:rsidR="004A50D2" w:rsidRPr="009B0330" w:rsidRDefault="00CE621C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16.2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2735C326" w:rsidR="004A50D2" w:rsidRPr="00314DA1" w:rsidRDefault="0044577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DA1">
              <w:t>+</w:t>
            </w:r>
            <w:r w:rsidR="00CE621C">
              <w:t>9.7</w:t>
            </w:r>
            <w:r w:rsidR="004A50D2" w:rsidRPr="00314DA1">
              <w:t>%</w:t>
            </w:r>
          </w:p>
        </w:tc>
      </w:tr>
    </w:tbl>
    <w:p w14:paraId="23606064" w14:textId="178D8D85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F2AA0">
        <w:rPr>
          <w:color w:val="7F7F7F" w:themeColor="text1" w:themeTint="80"/>
          <w:sz w:val="16"/>
          <w:szCs w:val="16"/>
        </w:rPr>
        <w:t>5/21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342480A0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CE621C">
        <w:t>53.2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CE621C">
        <w:t>60.8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B672D0">
        <w:t xml:space="preserve">Note: the two missing UPCs were an 8-ounce white and 8-ounce sliced white, which means these numbers have changed considerably since the data correction. </w:t>
      </w:r>
      <w:r w:rsidR="00904C5C">
        <w:t>Brown mushrooms</w:t>
      </w:r>
      <w:r>
        <w:t>, the combination of cr</w:t>
      </w:r>
      <w:r w:rsidR="002437CE">
        <w:t>i</w:t>
      </w:r>
      <w:r>
        <w:t>minis and portabellas,</w:t>
      </w:r>
      <w:r w:rsidR="00B25DFD">
        <w:t xml:space="preserve"> </w:t>
      </w:r>
      <w:r>
        <w:t>fared better</w:t>
      </w:r>
      <w:r w:rsidR="00904C5C">
        <w:t xml:space="preserve"> than white mushrooms, </w:t>
      </w:r>
      <w:r w:rsidR="00B672D0">
        <w:t xml:space="preserve">with crimini coming in just 0.2% below year ago levels in the latest four weeks. </w:t>
      </w:r>
      <w:r w:rsidR="004C1DB1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009E4A1F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8F2AA0">
              <w:rPr>
                <w:rFonts w:cstheme="minorHAnsi"/>
                <w:b/>
                <w:bCs/>
                <w:color w:val="FFFFFF" w:themeColor="background1"/>
              </w:rPr>
              <w:t>5/21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3A907FBC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B0627A">
              <w:rPr>
                <w:rFonts w:cstheme="minorHAnsi"/>
                <w:b/>
                <w:bCs/>
                <w:color w:val="000000" w:themeColor="text1"/>
              </w:rPr>
              <w:t>95.2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626946D8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0627A">
              <w:rPr>
                <w:rFonts w:cstheme="minorHAnsi"/>
                <w:b/>
                <w:bCs/>
                <w:color w:val="000000" w:themeColor="text1"/>
              </w:rPr>
              <w:t>1.7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453EF1F7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0627A">
              <w:rPr>
                <w:rFonts w:cstheme="minorHAnsi"/>
                <w:b/>
                <w:bCs/>
                <w:color w:val="000000" w:themeColor="text1"/>
              </w:rPr>
              <w:t>19.9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6D7E6A24" w:rsidR="008F2AA0" w:rsidRPr="006A7A6E" w:rsidRDefault="00B0627A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20.7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8F99B3E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5082AD51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0627A">
              <w:rPr>
                <w:rFonts w:cstheme="minorHAnsi"/>
                <w:b/>
                <w:bCs/>
                <w:color w:val="000000" w:themeColor="text1"/>
              </w:rPr>
              <w:t>2.9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7924B899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0627A">
              <w:rPr>
                <w:rFonts w:cstheme="minorHAnsi"/>
                <w:b/>
                <w:bCs/>
                <w:color w:val="000000" w:themeColor="text1"/>
              </w:rPr>
              <w:t>26.0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36922D87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0627A">
              <w:rPr>
                <w:rFonts w:cstheme="minorHAnsi"/>
                <w:color w:val="000000" w:themeColor="text1"/>
              </w:rPr>
              <w:t>50.2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3F019E61" w:rsidR="008F2AA0" w:rsidRPr="00D96AEE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53.2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3D2696EF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42A41040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24.9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1D02D2C1" w:rsidR="008F2AA0" w:rsidRPr="0004266D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12.5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1F336DB6" w:rsidR="008F2AA0" w:rsidRPr="00337F18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60.8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6EB222AE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3.1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51828AF1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28.6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6F07B908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0627A">
              <w:rPr>
                <w:rFonts w:cstheme="minorHAnsi"/>
                <w:color w:val="000000" w:themeColor="text1"/>
              </w:rPr>
              <w:t>39.8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1BF29854" w:rsidR="008F2AA0" w:rsidRPr="00337F18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5DC4086D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0.9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49454C76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13.8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364FBE8F" w:rsidR="008F2AA0" w:rsidRPr="0004266D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7.8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2CA407EF" w:rsidR="008F2AA0" w:rsidRPr="00337F18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37.4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59480208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181BD43B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21.6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8F2AA0" w:rsidRPr="006A7A6E" w:rsidRDefault="008F2AA0" w:rsidP="008F2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683C0CF9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0627A">
              <w:rPr>
                <w:rFonts w:cstheme="minorHAnsi"/>
                <w:color w:val="000000" w:themeColor="text1"/>
              </w:rPr>
              <w:t>5.3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42D3C621" w:rsidR="008F2AA0" w:rsidRPr="00337F18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44C1B158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B0627A">
              <w:rPr>
                <w:rFonts w:cstheme="minorHAnsi"/>
                <w:color w:val="000000" w:themeColor="text1"/>
              </w:rPr>
              <w:t>1.6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4C85C657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12.4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60D2310C" w:rsidR="008F2AA0" w:rsidRPr="0004266D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065642C7" w:rsidR="008F2AA0" w:rsidRPr="00337F18" w:rsidRDefault="00B0627A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1F4D9E21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1.0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3E2AE432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0627A">
              <w:rPr>
                <w:rFonts w:cstheme="minorHAnsi"/>
                <w:color w:val="000000" w:themeColor="text1"/>
              </w:rPr>
              <w:t>23.8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100BF1E2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F2AA0">
        <w:rPr>
          <w:color w:val="7F7F7F" w:themeColor="text1" w:themeTint="80"/>
          <w:sz w:val="16"/>
          <w:szCs w:val="16"/>
        </w:rPr>
        <w:t>5/21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25654DA8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</w:t>
      </w:r>
      <w:r w:rsidR="00B672D0">
        <w:t>8</w:t>
      </w:r>
      <w:r>
        <w:t xml:space="preserve">-ounce packages </w:t>
      </w:r>
      <w:r w:rsidR="00B672D0">
        <w:t>generated 51.8% of total sales in the four-week period, but dollar sales declined 2.9% versus the same four weeks in 2022. 16-ounce packages represented 19% of sales and grew 1.3% in dollars, while also showing a better-than-average unit and volume performance</w:t>
      </w:r>
      <w:r>
        <w:t>.</w:t>
      </w:r>
    </w:p>
    <w:p w14:paraId="0C66834A" w14:textId="3F3735FE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B01FA0">
        <w:t>10.4</w:t>
      </w:r>
      <w:r>
        <w:t xml:space="preserve">% of </w:t>
      </w:r>
      <w:r w:rsidR="00BE7EF2">
        <w:t xml:space="preserve">pounds </w:t>
      </w:r>
      <w:r w:rsidR="004C1DB1">
        <w:t xml:space="preserve">and </w:t>
      </w:r>
      <w:r w:rsidR="00B672D0">
        <w:t xml:space="preserve">have been an above-average performer. Dollar sales increased 4.6% along with unit growth of 3.5%. </w:t>
      </w:r>
      <w:r w:rsidR="005B6968">
        <w:t xml:space="preserve"> </w:t>
      </w:r>
    </w:p>
    <w:p w14:paraId="5DBFDF80" w14:textId="6DFC546C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8F2AA0">
        <w:rPr>
          <w:color w:val="7F7F7F" w:themeColor="text1" w:themeTint="80"/>
          <w:sz w:val="16"/>
          <w:szCs w:val="16"/>
        </w:rPr>
        <w:t>5/21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4606" w14:textId="77777777" w:rsidR="00AC5D3F" w:rsidRDefault="00AC5D3F" w:rsidP="004E49DD">
      <w:pPr>
        <w:spacing w:after="0" w:line="240" w:lineRule="auto"/>
      </w:pPr>
      <w:r>
        <w:separator/>
      </w:r>
    </w:p>
  </w:endnote>
  <w:endnote w:type="continuationSeparator" w:id="0">
    <w:p w14:paraId="7590A6F8" w14:textId="77777777" w:rsidR="00AC5D3F" w:rsidRDefault="00AC5D3F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6D07" w14:textId="77777777" w:rsidR="00AC5D3F" w:rsidRDefault="00AC5D3F" w:rsidP="004E49DD">
      <w:pPr>
        <w:spacing w:after="0" w:line="240" w:lineRule="auto"/>
      </w:pPr>
      <w:r>
        <w:separator/>
      </w:r>
    </w:p>
  </w:footnote>
  <w:footnote w:type="continuationSeparator" w:id="0">
    <w:p w14:paraId="2772E47A" w14:textId="77777777" w:rsidR="00AC5D3F" w:rsidRDefault="00AC5D3F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32060"/>
    <w:multiLevelType w:val="hybridMultilevel"/>
    <w:tmpl w:val="5736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810701">
    <w:abstractNumId w:val="7"/>
  </w:num>
  <w:num w:numId="2" w16cid:durableId="1684747958">
    <w:abstractNumId w:val="8"/>
  </w:num>
  <w:num w:numId="3" w16cid:durableId="2130738935">
    <w:abstractNumId w:val="10"/>
  </w:num>
  <w:num w:numId="4" w16cid:durableId="1204296339">
    <w:abstractNumId w:val="3"/>
  </w:num>
  <w:num w:numId="5" w16cid:durableId="437680340">
    <w:abstractNumId w:val="13"/>
  </w:num>
  <w:num w:numId="6" w16cid:durableId="1955014365">
    <w:abstractNumId w:val="9"/>
  </w:num>
  <w:num w:numId="7" w16cid:durableId="336814206">
    <w:abstractNumId w:val="5"/>
  </w:num>
  <w:num w:numId="8" w16cid:durableId="921373035">
    <w:abstractNumId w:val="2"/>
  </w:num>
  <w:num w:numId="9" w16cid:durableId="1328052064">
    <w:abstractNumId w:val="0"/>
  </w:num>
  <w:num w:numId="10" w16cid:durableId="292634510">
    <w:abstractNumId w:val="12"/>
  </w:num>
  <w:num w:numId="11" w16cid:durableId="1243100781">
    <w:abstractNumId w:val="1"/>
  </w:num>
  <w:num w:numId="12" w16cid:durableId="1064525093">
    <w:abstractNumId w:val="11"/>
  </w:num>
  <w:num w:numId="13" w16cid:durableId="1601330207">
    <w:abstractNumId w:val="4"/>
  </w:num>
  <w:num w:numId="14" w16cid:durableId="819033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15E7B"/>
    <w:rsid w:val="00026928"/>
    <w:rsid w:val="00030ABF"/>
    <w:rsid w:val="00035D16"/>
    <w:rsid w:val="0004266D"/>
    <w:rsid w:val="0005390A"/>
    <w:rsid w:val="0007328F"/>
    <w:rsid w:val="000809C3"/>
    <w:rsid w:val="00085508"/>
    <w:rsid w:val="00085F10"/>
    <w:rsid w:val="000A4146"/>
    <w:rsid w:val="000C1DF9"/>
    <w:rsid w:val="000C29FA"/>
    <w:rsid w:val="000C3CC4"/>
    <w:rsid w:val="000D5A69"/>
    <w:rsid w:val="000D7A79"/>
    <w:rsid w:val="000E2A1D"/>
    <w:rsid w:val="000E537C"/>
    <w:rsid w:val="000E61FF"/>
    <w:rsid w:val="001055A7"/>
    <w:rsid w:val="001119BD"/>
    <w:rsid w:val="00113A33"/>
    <w:rsid w:val="0011683C"/>
    <w:rsid w:val="00124C8B"/>
    <w:rsid w:val="00124CB7"/>
    <w:rsid w:val="00133971"/>
    <w:rsid w:val="00145E27"/>
    <w:rsid w:val="00164656"/>
    <w:rsid w:val="00170260"/>
    <w:rsid w:val="00184281"/>
    <w:rsid w:val="001A4D44"/>
    <w:rsid w:val="001A601E"/>
    <w:rsid w:val="001B18A2"/>
    <w:rsid w:val="001B762B"/>
    <w:rsid w:val="001D16CA"/>
    <w:rsid w:val="001D2675"/>
    <w:rsid w:val="00200AD1"/>
    <w:rsid w:val="00221F2D"/>
    <w:rsid w:val="002225C6"/>
    <w:rsid w:val="00224A21"/>
    <w:rsid w:val="00240137"/>
    <w:rsid w:val="002437CE"/>
    <w:rsid w:val="00251BBC"/>
    <w:rsid w:val="00264EDA"/>
    <w:rsid w:val="00276C09"/>
    <w:rsid w:val="00281498"/>
    <w:rsid w:val="00283DB2"/>
    <w:rsid w:val="00291F75"/>
    <w:rsid w:val="00292678"/>
    <w:rsid w:val="002B7E48"/>
    <w:rsid w:val="002E2CD2"/>
    <w:rsid w:val="002F23A1"/>
    <w:rsid w:val="003045B7"/>
    <w:rsid w:val="003070A2"/>
    <w:rsid w:val="00312734"/>
    <w:rsid w:val="00314DA1"/>
    <w:rsid w:val="00322039"/>
    <w:rsid w:val="003223C7"/>
    <w:rsid w:val="00337F18"/>
    <w:rsid w:val="00347118"/>
    <w:rsid w:val="00347E3A"/>
    <w:rsid w:val="003534A1"/>
    <w:rsid w:val="00362BB1"/>
    <w:rsid w:val="003648C5"/>
    <w:rsid w:val="00396448"/>
    <w:rsid w:val="003A3323"/>
    <w:rsid w:val="003C1DD2"/>
    <w:rsid w:val="003C72DD"/>
    <w:rsid w:val="003D3BDA"/>
    <w:rsid w:val="003D6A0F"/>
    <w:rsid w:val="003E61D0"/>
    <w:rsid w:val="003F77CF"/>
    <w:rsid w:val="00403666"/>
    <w:rsid w:val="00417945"/>
    <w:rsid w:val="00421D7D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C12"/>
    <w:rsid w:val="00483711"/>
    <w:rsid w:val="00485429"/>
    <w:rsid w:val="004A3A95"/>
    <w:rsid w:val="004A50D2"/>
    <w:rsid w:val="004B6371"/>
    <w:rsid w:val="004B7951"/>
    <w:rsid w:val="004C1DB1"/>
    <w:rsid w:val="004C2808"/>
    <w:rsid w:val="004C5B27"/>
    <w:rsid w:val="004E1EE4"/>
    <w:rsid w:val="004E49DD"/>
    <w:rsid w:val="004E4F69"/>
    <w:rsid w:val="004E6889"/>
    <w:rsid w:val="00504377"/>
    <w:rsid w:val="005049A9"/>
    <w:rsid w:val="00525F06"/>
    <w:rsid w:val="00527BE9"/>
    <w:rsid w:val="00535D22"/>
    <w:rsid w:val="0054182D"/>
    <w:rsid w:val="00541AFF"/>
    <w:rsid w:val="00543607"/>
    <w:rsid w:val="00552C5D"/>
    <w:rsid w:val="005547EE"/>
    <w:rsid w:val="00555250"/>
    <w:rsid w:val="005571F3"/>
    <w:rsid w:val="0056284A"/>
    <w:rsid w:val="005A3316"/>
    <w:rsid w:val="005A54F2"/>
    <w:rsid w:val="005B6968"/>
    <w:rsid w:val="005C6AEE"/>
    <w:rsid w:val="005E1A66"/>
    <w:rsid w:val="005E5127"/>
    <w:rsid w:val="005F1173"/>
    <w:rsid w:val="006035CB"/>
    <w:rsid w:val="00615709"/>
    <w:rsid w:val="00621E2A"/>
    <w:rsid w:val="00632993"/>
    <w:rsid w:val="00645A58"/>
    <w:rsid w:val="006617FB"/>
    <w:rsid w:val="006636C7"/>
    <w:rsid w:val="00666D40"/>
    <w:rsid w:val="00677889"/>
    <w:rsid w:val="00694050"/>
    <w:rsid w:val="006A1766"/>
    <w:rsid w:val="006A7A6E"/>
    <w:rsid w:val="006C6780"/>
    <w:rsid w:val="006E50F3"/>
    <w:rsid w:val="006F1F55"/>
    <w:rsid w:val="006F765A"/>
    <w:rsid w:val="00706FA9"/>
    <w:rsid w:val="0071051A"/>
    <w:rsid w:val="007106F4"/>
    <w:rsid w:val="00730897"/>
    <w:rsid w:val="00731BCD"/>
    <w:rsid w:val="00734289"/>
    <w:rsid w:val="007501A6"/>
    <w:rsid w:val="007764C7"/>
    <w:rsid w:val="00782D09"/>
    <w:rsid w:val="00787BBD"/>
    <w:rsid w:val="007A0B40"/>
    <w:rsid w:val="007A67D7"/>
    <w:rsid w:val="007B4A25"/>
    <w:rsid w:val="007D30DA"/>
    <w:rsid w:val="007D33D8"/>
    <w:rsid w:val="007D3D1C"/>
    <w:rsid w:val="007F098A"/>
    <w:rsid w:val="007F1F55"/>
    <w:rsid w:val="007F35D3"/>
    <w:rsid w:val="007F7823"/>
    <w:rsid w:val="00826014"/>
    <w:rsid w:val="00832F0A"/>
    <w:rsid w:val="00837283"/>
    <w:rsid w:val="00851AC9"/>
    <w:rsid w:val="0086198D"/>
    <w:rsid w:val="0086536E"/>
    <w:rsid w:val="00873884"/>
    <w:rsid w:val="008A084A"/>
    <w:rsid w:val="008A1DBB"/>
    <w:rsid w:val="008A56E2"/>
    <w:rsid w:val="008B128D"/>
    <w:rsid w:val="008B633D"/>
    <w:rsid w:val="008B7FFD"/>
    <w:rsid w:val="008D2A88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2088E"/>
    <w:rsid w:val="009232D4"/>
    <w:rsid w:val="00927EAC"/>
    <w:rsid w:val="0094219B"/>
    <w:rsid w:val="00956FE2"/>
    <w:rsid w:val="00957F25"/>
    <w:rsid w:val="00972570"/>
    <w:rsid w:val="00975AF5"/>
    <w:rsid w:val="00977F7F"/>
    <w:rsid w:val="009B0330"/>
    <w:rsid w:val="009B71AE"/>
    <w:rsid w:val="009B7AC3"/>
    <w:rsid w:val="009D5574"/>
    <w:rsid w:val="009D6711"/>
    <w:rsid w:val="00A00697"/>
    <w:rsid w:val="00A13601"/>
    <w:rsid w:val="00A142BB"/>
    <w:rsid w:val="00A14586"/>
    <w:rsid w:val="00A45D51"/>
    <w:rsid w:val="00A5084B"/>
    <w:rsid w:val="00A51F5B"/>
    <w:rsid w:val="00A52411"/>
    <w:rsid w:val="00A52B14"/>
    <w:rsid w:val="00A52EB4"/>
    <w:rsid w:val="00A53BAA"/>
    <w:rsid w:val="00A657C4"/>
    <w:rsid w:val="00A668C3"/>
    <w:rsid w:val="00A72B72"/>
    <w:rsid w:val="00A94A88"/>
    <w:rsid w:val="00A96E20"/>
    <w:rsid w:val="00AA721E"/>
    <w:rsid w:val="00AB06EA"/>
    <w:rsid w:val="00AC2BFD"/>
    <w:rsid w:val="00AC2C09"/>
    <w:rsid w:val="00AC5D3F"/>
    <w:rsid w:val="00AD30B8"/>
    <w:rsid w:val="00AD7044"/>
    <w:rsid w:val="00AE0F54"/>
    <w:rsid w:val="00AE32A2"/>
    <w:rsid w:val="00AF14BD"/>
    <w:rsid w:val="00AF55E3"/>
    <w:rsid w:val="00AF5F52"/>
    <w:rsid w:val="00B01FA0"/>
    <w:rsid w:val="00B03343"/>
    <w:rsid w:val="00B0627A"/>
    <w:rsid w:val="00B13706"/>
    <w:rsid w:val="00B24BBD"/>
    <w:rsid w:val="00B25DFD"/>
    <w:rsid w:val="00B34EF7"/>
    <w:rsid w:val="00B40C43"/>
    <w:rsid w:val="00B542D1"/>
    <w:rsid w:val="00B562D5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E7EF2"/>
    <w:rsid w:val="00BF5D9C"/>
    <w:rsid w:val="00BF713B"/>
    <w:rsid w:val="00C12E18"/>
    <w:rsid w:val="00C329D7"/>
    <w:rsid w:val="00C3770B"/>
    <w:rsid w:val="00C71FDD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621C"/>
    <w:rsid w:val="00D03B05"/>
    <w:rsid w:val="00D1241B"/>
    <w:rsid w:val="00D131C5"/>
    <w:rsid w:val="00D2073F"/>
    <w:rsid w:val="00D22E21"/>
    <w:rsid w:val="00D26DE8"/>
    <w:rsid w:val="00D305A5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B764D"/>
    <w:rsid w:val="00DD58ED"/>
    <w:rsid w:val="00DE4C4C"/>
    <w:rsid w:val="00E20285"/>
    <w:rsid w:val="00E20E22"/>
    <w:rsid w:val="00E34CF4"/>
    <w:rsid w:val="00E4438B"/>
    <w:rsid w:val="00E477C3"/>
    <w:rsid w:val="00E508BB"/>
    <w:rsid w:val="00E57C49"/>
    <w:rsid w:val="00E629E0"/>
    <w:rsid w:val="00E65269"/>
    <w:rsid w:val="00E65A4C"/>
    <w:rsid w:val="00E758A0"/>
    <w:rsid w:val="00E81634"/>
    <w:rsid w:val="00EB090C"/>
    <w:rsid w:val="00EB30C7"/>
    <w:rsid w:val="00ED0859"/>
    <w:rsid w:val="00EE6AB6"/>
    <w:rsid w:val="00EF1E09"/>
    <w:rsid w:val="00EF25E4"/>
    <w:rsid w:val="00F02776"/>
    <w:rsid w:val="00F0742E"/>
    <w:rsid w:val="00F16E5F"/>
    <w:rsid w:val="00F26DD2"/>
    <w:rsid w:val="00F4460A"/>
    <w:rsid w:val="00F47EA1"/>
    <w:rsid w:val="00F57DFC"/>
    <w:rsid w:val="00F86B08"/>
    <w:rsid w:val="00F96C98"/>
    <w:rsid w:val="00FA1CDF"/>
    <w:rsid w:val="00FB15C0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4</cp:revision>
  <dcterms:created xsi:type="dcterms:W3CDTF">2023-06-01T16:20:00Z</dcterms:created>
  <dcterms:modified xsi:type="dcterms:W3CDTF">2023-06-01T21:29:00Z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