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B6A7" w14:textId="39842917" w:rsidR="005049A9" w:rsidRDefault="005049A9" w:rsidP="005049A9">
      <w:pPr>
        <w:pStyle w:val="Title"/>
        <w:jc w:val="center"/>
      </w:pPr>
      <w:r w:rsidRPr="005049A9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3E5FC2F" wp14:editId="7C44EFA9">
            <wp:simplePos x="0" y="0"/>
            <wp:positionH relativeFrom="margin">
              <wp:align>center</wp:align>
            </wp:positionH>
            <wp:positionV relativeFrom="paragraph">
              <wp:posOffset>-22860</wp:posOffset>
            </wp:positionV>
            <wp:extent cx="2098415" cy="752475"/>
            <wp:effectExtent l="0" t="0" r="0" b="0"/>
            <wp:wrapNone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5CF1A7-753C-4952-8F0D-A77DEE87FB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DC5CF1A7-753C-4952-8F0D-A77DEE87FB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4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D26D3" w14:textId="77777777" w:rsidR="0054182D" w:rsidRPr="00A72B72" w:rsidRDefault="0054182D" w:rsidP="00B34EF7">
      <w:pPr>
        <w:pStyle w:val="Title"/>
        <w:rPr>
          <w:sz w:val="48"/>
          <w:szCs w:val="48"/>
        </w:rPr>
      </w:pPr>
    </w:p>
    <w:p w14:paraId="2AC16FEE" w14:textId="07A01247" w:rsidR="00A5084B" w:rsidRPr="000C3CC4" w:rsidRDefault="001119BD" w:rsidP="001119BD">
      <w:pPr>
        <w:pStyle w:val="Title"/>
        <w:ind w:right="-180"/>
        <w:rPr>
          <w:sz w:val="44"/>
          <w:szCs w:val="44"/>
        </w:rPr>
      </w:pPr>
      <w:r w:rsidRPr="000C3CC4">
        <w:rPr>
          <w:sz w:val="44"/>
          <w:szCs w:val="44"/>
        </w:rPr>
        <w:t>Fresh Mushroom Sales Review</w:t>
      </w:r>
      <w:r w:rsidR="000C3CC4" w:rsidRPr="000C3CC4">
        <w:rPr>
          <w:sz w:val="44"/>
          <w:szCs w:val="44"/>
        </w:rPr>
        <w:t>; 4</w:t>
      </w:r>
      <w:r w:rsidR="00AE32A2">
        <w:rPr>
          <w:sz w:val="44"/>
          <w:szCs w:val="44"/>
        </w:rPr>
        <w:t xml:space="preserve"> and 52</w:t>
      </w:r>
      <w:r w:rsidR="000C3CC4" w:rsidRPr="000C3CC4">
        <w:rPr>
          <w:sz w:val="44"/>
          <w:szCs w:val="44"/>
        </w:rPr>
        <w:t xml:space="preserve"> w</w:t>
      </w:r>
      <w:r w:rsidR="00D22E21">
        <w:rPr>
          <w:sz w:val="44"/>
          <w:szCs w:val="44"/>
        </w:rPr>
        <w:t>.e.</w:t>
      </w:r>
      <w:r w:rsidR="000C3CC4" w:rsidRPr="000C3CC4">
        <w:rPr>
          <w:sz w:val="44"/>
          <w:szCs w:val="44"/>
        </w:rPr>
        <w:t xml:space="preserve"> </w:t>
      </w:r>
      <w:r w:rsidR="003223C7">
        <w:rPr>
          <w:sz w:val="44"/>
          <w:szCs w:val="44"/>
        </w:rPr>
        <w:t>4</w:t>
      </w:r>
      <w:r w:rsidR="00221F2D">
        <w:rPr>
          <w:sz w:val="44"/>
          <w:szCs w:val="44"/>
        </w:rPr>
        <w:t>.2</w:t>
      </w:r>
      <w:r w:rsidR="003223C7">
        <w:rPr>
          <w:sz w:val="44"/>
          <w:szCs w:val="44"/>
        </w:rPr>
        <w:t>3</w:t>
      </w:r>
      <w:r w:rsidR="00445779">
        <w:rPr>
          <w:sz w:val="44"/>
          <w:szCs w:val="44"/>
        </w:rPr>
        <w:t>.2023</w:t>
      </w:r>
    </w:p>
    <w:p w14:paraId="022A5B42" w14:textId="605814EC" w:rsidR="00B34EF7" w:rsidRDefault="00B34EF7" w:rsidP="00B34EF7">
      <w:pPr>
        <w:pStyle w:val="NoSpacing"/>
      </w:pPr>
    </w:p>
    <w:p w14:paraId="6BD2A38A" w14:textId="58454EAD" w:rsidR="009169B9" w:rsidRDefault="009169B9" w:rsidP="009169B9">
      <w:pPr>
        <w:pStyle w:val="NoSpacing"/>
      </w:pPr>
      <w:r w:rsidRPr="009169B9">
        <w:rPr>
          <w:b/>
          <w:bCs/>
          <w:color w:val="ED7D31" w:themeColor="accent2"/>
        </w:rPr>
        <w:t>NOTE</w:t>
      </w:r>
      <w:r>
        <w:rPr>
          <w:b/>
          <w:bCs/>
          <w:color w:val="ED7D31" w:themeColor="accent2"/>
        </w:rPr>
        <w:t xml:space="preserve"> — </w:t>
      </w:r>
      <w:r>
        <w:t xml:space="preserve">In the process of understanding the root cause of the sustained volume pressure, Anne-Marie Roerink, our retail channel consultant, discovered a substantial data problem in the </w:t>
      </w:r>
      <w:r>
        <w:t>Circana/</w:t>
      </w:r>
      <w:r>
        <w:t xml:space="preserve">IRI system. Upon noticing that the Walmart loss of households and trips more than tripled that of grocery stores, she launched an investigation </w:t>
      </w:r>
      <w:r>
        <w:t xml:space="preserve">into </w:t>
      </w:r>
      <w:r>
        <w:t>whether these numbers could be correct. Based on her other category work in meat, candy, deli and other areas of the store, Walmart has been an above-average performer in the past two years</w:t>
      </w:r>
      <w:r>
        <w:t xml:space="preserve"> virtually all categories</w:t>
      </w:r>
      <w:r>
        <w:t>, which red</w:t>
      </w:r>
      <w:r>
        <w:t>-</w:t>
      </w:r>
      <w:r>
        <w:t>flagged the mushroom finding. Knowing that Walmart had required all grower/shippers to switch to private brands focused the investigation on those 10 Walmart private brand SKUs. Walmart does</w:t>
      </w:r>
      <w:r>
        <w:t xml:space="preserve"> not</w:t>
      </w:r>
      <w:r>
        <w:t xml:space="preserve"> allow SKU level access to their private brand items, but collaborat</w:t>
      </w:r>
      <w:r>
        <w:t xml:space="preserve">ed with us and </w:t>
      </w:r>
      <w:r>
        <w:t>IRI</w:t>
      </w:r>
      <w:r>
        <w:t xml:space="preserve"> to dig into the issue. It </w:t>
      </w:r>
      <w:r>
        <w:t>turns out that the two biggest Walmart SKUs have not been captured as they are coded incorrectly as cereal. With grower/shippers having started to change branded SKUs to Walmart brand SKUs in the fall of 2022 into February of 2023, this means a large amount of volume/dollars has not been captured in the past nine months, in particular. Given Walmart’s size, this improves the national averages by some 7 percentage points and likely more in Walmart-centric Midwest markets. Here is an estimate for how Total US reported trends would adjust (based on last 13 weeks):</w:t>
      </w:r>
    </w:p>
    <w:p w14:paraId="0AD8DB13" w14:textId="77777777" w:rsidR="009169B9" w:rsidRPr="009169B9" w:rsidRDefault="009169B9" w:rsidP="009169B9">
      <w:pPr>
        <w:pStyle w:val="NoSpacing"/>
        <w:rPr>
          <w:sz w:val="18"/>
          <w:szCs w:val="18"/>
        </w:rPr>
      </w:pPr>
    </w:p>
    <w:tbl>
      <w:tblPr>
        <w:tblStyle w:val="GridTable4-Accent2"/>
        <w:tblW w:w="7370" w:type="dxa"/>
        <w:tblLook w:val="04A0" w:firstRow="1" w:lastRow="0" w:firstColumn="1" w:lastColumn="0" w:noHBand="0" w:noVBand="1"/>
      </w:tblPr>
      <w:tblGrid>
        <w:gridCol w:w="3055"/>
        <w:gridCol w:w="1219"/>
        <w:gridCol w:w="1394"/>
        <w:gridCol w:w="1702"/>
      </w:tblGrid>
      <w:tr w:rsidR="009169B9" w14:paraId="358F4E2E" w14:textId="77777777" w:rsidTr="00916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3C5917C8" w14:textId="77777777" w:rsidR="009169B9" w:rsidRDefault="009169B9" w:rsidP="009169B9">
            <w:pPr>
              <w:pStyle w:val="NoSpacing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219" w:type="dxa"/>
            <w:noWrap/>
            <w:hideMark/>
          </w:tcPr>
          <w:p w14:paraId="40F2301E" w14:textId="591DB6E7" w:rsidR="009169B9" w:rsidRDefault="009169B9" w:rsidP="009169B9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Dollar </w:t>
            </w:r>
            <w:r>
              <w:rPr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>ales</w:t>
            </w:r>
          </w:p>
        </w:tc>
        <w:tc>
          <w:tcPr>
            <w:tcW w:w="1394" w:type="dxa"/>
            <w:noWrap/>
            <w:hideMark/>
          </w:tcPr>
          <w:p w14:paraId="262CCE49" w14:textId="24F17EA9" w:rsidR="009169B9" w:rsidRDefault="009169B9" w:rsidP="009169B9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Dollar sales YA</w:t>
            </w:r>
          </w:p>
        </w:tc>
        <w:tc>
          <w:tcPr>
            <w:tcW w:w="1702" w:type="dxa"/>
            <w:noWrap/>
            <w:hideMark/>
          </w:tcPr>
          <w:p w14:paraId="1FF282C4" w14:textId="77777777" w:rsidR="009169B9" w:rsidRDefault="009169B9" w:rsidP="009169B9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 Change vs YA</w:t>
            </w:r>
          </w:p>
        </w:tc>
      </w:tr>
      <w:tr w:rsidR="009169B9" w14:paraId="2396F44C" w14:textId="77777777" w:rsidTr="00916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55B6FE4C" w14:textId="77777777" w:rsidR="009169B9" w:rsidRPr="009169B9" w:rsidRDefault="009169B9" w:rsidP="009169B9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 w:rsidRPr="009169B9">
              <w:rPr>
                <w:b w:val="0"/>
                <w:bCs w:val="0"/>
                <w:color w:val="000000"/>
                <w:sz w:val="18"/>
                <w:szCs w:val="18"/>
              </w:rPr>
              <w:t>iFresh (US MULO)</w:t>
            </w:r>
          </w:p>
        </w:tc>
        <w:tc>
          <w:tcPr>
            <w:tcW w:w="1219" w:type="dxa"/>
            <w:noWrap/>
            <w:hideMark/>
          </w:tcPr>
          <w:p w14:paraId="68467D4D" w14:textId="77777777" w:rsidR="009169B9" w:rsidRDefault="009169B9" w:rsidP="009169B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$308,136,988</w:t>
            </w:r>
          </w:p>
        </w:tc>
        <w:tc>
          <w:tcPr>
            <w:tcW w:w="1394" w:type="dxa"/>
            <w:noWrap/>
            <w:hideMark/>
          </w:tcPr>
          <w:p w14:paraId="7341EF0D" w14:textId="77777777" w:rsidR="009169B9" w:rsidRDefault="009169B9" w:rsidP="009169B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$332,461,501</w:t>
            </w:r>
          </w:p>
        </w:tc>
        <w:tc>
          <w:tcPr>
            <w:tcW w:w="1702" w:type="dxa"/>
            <w:noWrap/>
            <w:hideMark/>
          </w:tcPr>
          <w:p w14:paraId="437CBE22" w14:textId="77777777" w:rsidR="009169B9" w:rsidRDefault="009169B9" w:rsidP="009169B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-7.3%</w:t>
            </w:r>
          </w:p>
        </w:tc>
      </w:tr>
      <w:tr w:rsidR="009169B9" w14:paraId="0A3568FF" w14:textId="77777777" w:rsidTr="009169B9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7126C832" w14:textId="77777777" w:rsidR="009169B9" w:rsidRPr="009169B9" w:rsidRDefault="009169B9" w:rsidP="009169B9">
            <w:pPr>
              <w:pStyle w:val="NoSpacing"/>
              <w:rPr>
                <w:b w:val="0"/>
                <w:bCs w:val="0"/>
                <w:sz w:val="18"/>
                <w:szCs w:val="18"/>
              </w:rPr>
            </w:pPr>
            <w:r w:rsidRPr="009169B9">
              <w:rPr>
                <w:b w:val="0"/>
                <w:bCs w:val="0"/>
                <w:color w:val="000000"/>
                <w:sz w:val="18"/>
                <w:szCs w:val="18"/>
              </w:rPr>
              <w:t>iFresh (US MULO-estimate with fix)</w:t>
            </w:r>
          </w:p>
        </w:tc>
        <w:tc>
          <w:tcPr>
            <w:tcW w:w="1219" w:type="dxa"/>
            <w:noWrap/>
            <w:hideMark/>
          </w:tcPr>
          <w:p w14:paraId="77DB1607" w14:textId="77777777" w:rsidR="009169B9" w:rsidRDefault="009169B9" w:rsidP="009169B9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$330,136,988</w:t>
            </w:r>
          </w:p>
        </w:tc>
        <w:tc>
          <w:tcPr>
            <w:tcW w:w="1394" w:type="dxa"/>
            <w:noWrap/>
            <w:hideMark/>
          </w:tcPr>
          <w:p w14:paraId="2AE91217" w14:textId="77777777" w:rsidR="009169B9" w:rsidRDefault="009169B9" w:rsidP="009169B9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$332,461,501</w:t>
            </w:r>
          </w:p>
        </w:tc>
        <w:tc>
          <w:tcPr>
            <w:tcW w:w="1702" w:type="dxa"/>
            <w:noWrap/>
            <w:hideMark/>
          </w:tcPr>
          <w:p w14:paraId="4A67C676" w14:textId="77777777" w:rsidR="009169B9" w:rsidRDefault="009169B9" w:rsidP="009169B9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-0.7%</w:t>
            </w:r>
          </w:p>
        </w:tc>
      </w:tr>
    </w:tbl>
    <w:p w14:paraId="3E09C718" w14:textId="77777777" w:rsidR="009169B9" w:rsidRDefault="009169B9" w:rsidP="009169B9">
      <w:pPr>
        <w:pStyle w:val="NoSpacing"/>
        <w:rPr>
          <w:rFonts w:ascii="Calibri" w:hAnsi="Calibri" w:cs="Calibri"/>
        </w:rPr>
      </w:pPr>
    </w:p>
    <w:p w14:paraId="1827B000" w14:textId="77777777" w:rsidR="009169B9" w:rsidRDefault="009169B9" w:rsidP="009169B9">
      <w:pPr>
        <w:pStyle w:val="NoSpacing"/>
      </w:pPr>
      <w:r>
        <w:t xml:space="preserve">The SKU recode is in process but will not hit the data platform until 5/29. Rather than holding up the quad week data distribution, please be aware of the undercounting of Walmart sales in the 4/23/23 report and all reports going back. The minute the updated information is available, Anne-Marie will re-pull all data endings going back 52 weeks to ensure everyone can correct internal spreadsheets. </w:t>
      </w:r>
    </w:p>
    <w:p w14:paraId="3BE183FB" w14:textId="77777777" w:rsidR="009169B9" w:rsidRDefault="009169B9" w:rsidP="00B34EF7">
      <w:pPr>
        <w:pStyle w:val="NoSpacing"/>
      </w:pPr>
    </w:p>
    <w:p w14:paraId="5B083E85" w14:textId="64A361CA" w:rsidR="00F86B08" w:rsidRDefault="00F86B08" w:rsidP="00927EAC">
      <w:pPr>
        <w:pStyle w:val="Heading2"/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>The Marketplace</w:t>
      </w:r>
    </w:p>
    <w:p w14:paraId="2231FBD5" w14:textId="1B1B97B8" w:rsidR="00C92074" w:rsidRDefault="00347118" w:rsidP="00AE32A2">
      <w:pPr>
        <w:pStyle w:val="NoSpacing"/>
      </w:pPr>
      <w:r>
        <w:t xml:space="preserve">As high levels of inflation persist, so are consumers’ money-saving measures. Most categories around the grocery store have experienced unit and volume (pound) pressure for a minimum of 18 months and running. Fresh vegetable sales are no exception. In the first quarter of 2023, inflation boosted dollar gains, but units and volume dropped </w:t>
      </w:r>
      <w:r w:rsidR="00956FE2">
        <w:t xml:space="preserve">2% to 3% </w:t>
      </w:r>
      <w:r>
        <w:t>b</w:t>
      </w:r>
      <w:r w:rsidR="00956FE2">
        <w:t>ehind</w:t>
      </w:r>
      <w:r>
        <w:t xml:space="preserve"> the levels seen in the first quarter of 2022. Mushrooms were the tenth-largest seller</w:t>
      </w:r>
      <w:r w:rsidR="00956FE2">
        <w:t xml:space="preserve"> and experienced a below-average unit and volume sales performance</w:t>
      </w:r>
      <w:r w:rsidR="009169B9">
        <w:t xml:space="preserve"> (Note: Walmart under-counting)</w:t>
      </w:r>
      <w:r w:rsidR="00956FE2">
        <w:t>.</w:t>
      </w:r>
    </w:p>
    <w:p w14:paraId="5AE4E40E" w14:textId="77777777" w:rsidR="00EE6AB6" w:rsidRPr="009169B9" w:rsidRDefault="00EE6AB6" w:rsidP="00AE32A2">
      <w:pPr>
        <w:pStyle w:val="NoSpacing"/>
        <w:rPr>
          <w:sz w:val="18"/>
          <w:szCs w:val="18"/>
        </w:rPr>
      </w:pPr>
    </w:p>
    <w:tbl>
      <w:tblPr>
        <w:tblStyle w:val="GridTable4-Accent2"/>
        <w:tblW w:w="9660" w:type="dxa"/>
        <w:tblLook w:val="04A0" w:firstRow="1" w:lastRow="0" w:firstColumn="1" w:lastColumn="0" w:noHBand="0" w:noVBand="1"/>
      </w:tblPr>
      <w:tblGrid>
        <w:gridCol w:w="1615"/>
        <w:gridCol w:w="900"/>
        <w:gridCol w:w="990"/>
        <w:gridCol w:w="888"/>
        <w:gridCol w:w="1165"/>
        <w:gridCol w:w="862"/>
        <w:gridCol w:w="1080"/>
        <w:gridCol w:w="960"/>
        <w:gridCol w:w="1200"/>
      </w:tblGrid>
      <w:tr w:rsidR="00347118" w:rsidRPr="00EE6AB6" w14:paraId="14246AC7" w14:textId="77777777" w:rsidTr="00347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14:paraId="041E0E40" w14:textId="573AC8A4" w:rsidR="00EE6AB6" w:rsidRPr="00EE6AB6" w:rsidRDefault="00EE6AB6" w:rsidP="00EE6AB6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Q1 </w:t>
            </w:r>
            <w:r w:rsidR="00347118">
              <w:rPr>
                <w:rFonts w:eastAsia="Times New Roman" w:cstheme="minorHAnsi"/>
                <w:sz w:val="20"/>
                <w:szCs w:val="20"/>
              </w:rPr>
              <w:t>‘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23 vs. Q1 </w:t>
            </w:r>
            <w:r w:rsidR="00347118">
              <w:rPr>
                <w:rFonts w:eastAsia="Times New Roman" w:cstheme="minorHAnsi"/>
                <w:sz w:val="20"/>
                <w:szCs w:val="20"/>
              </w:rPr>
              <w:t>‘</w:t>
            </w:r>
            <w:r>
              <w:rPr>
                <w:rFonts w:eastAsia="Times New Roman" w:cstheme="minorHAnsi"/>
                <w:sz w:val="20"/>
                <w:szCs w:val="20"/>
              </w:rPr>
              <w:t>22</w:t>
            </w:r>
          </w:p>
        </w:tc>
        <w:tc>
          <w:tcPr>
            <w:tcW w:w="900" w:type="dxa"/>
            <w:hideMark/>
          </w:tcPr>
          <w:p w14:paraId="101561C7" w14:textId="77777777" w:rsidR="00EE6AB6" w:rsidRPr="00EE6AB6" w:rsidRDefault="00EE6AB6" w:rsidP="00EE6A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sz w:val="20"/>
                <w:szCs w:val="20"/>
              </w:rPr>
              <w:t>Dollars</w:t>
            </w:r>
          </w:p>
        </w:tc>
        <w:tc>
          <w:tcPr>
            <w:tcW w:w="990" w:type="dxa"/>
            <w:hideMark/>
          </w:tcPr>
          <w:p w14:paraId="1F54CF6F" w14:textId="77777777" w:rsidR="00EE6AB6" w:rsidRPr="00EE6AB6" w:rsidRDefault="00EE6AB6" w:rsidP="00EE6A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sz w:val="20"/>
                <w:szCs w:val="20"/>
              </w:rPr>
              <w:t>$ vs. YA</w:t>
            </w:r>
          </w:p>
        </w:tc>
        <w:tc>
          <w:tcPr>
            <w:tcW w:w="888" w:type="dxa"/>
            <w:hideMark/>
          </w:tcPr>
          <w:p w14:paraId="13A69B63" w14:textId="77777777" w:rsidR="00EE6AB6" w:rsidRPr="00EE6AB6" w:rsidRDefault="00EE6AB6" w:rsidP="00EE6A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sz w:val="20"/>
                <w:szCs w:val="20"/>
              </w:rPr>
              <w:t>Units</w:t>
            </w:r>
          </w:p>
        </w:tc>
        <w:tc>
          <w:tcPr>
            <w:tcW w:w="1165" w:type="dxa"/>
            <w:hideMark/>
          </w:tcPr>
          <w:p w14:paraId="79A3D212" w14:textId="77777777" w:rsidR="00EE6AB6" w:rsidRPr="00EE6AB6" w:rsidRDefault="00EE6AB6" w:rsidP="00EE6A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sz w:val="20"/>
                <w:szCs w:val="20"/>
              </w:rPr>
              <w:t>Units vs YA</w:t>
            </w:r>
          </w:p>
        </w:tc>
        <w:tc>
          <w:tcPr>
            <w:tcW w:w="862" w:type="dxa"/>
            <w:hideMark/>
          </w:tcPr>
          <w:p w14:paraId="1CBEE3B8" w14:textId="77777777" w:rsidR="00EE6AB6" w:rsidRPr="00EE6AB6" w:rsidRDefault="00EE6AB6" w:rsidP="00EE6A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sz w:val="20"/>
                <w:szCs w:val="20"/>
              </w:rPr>
              <w:t>Volume</w:t>
            </w:r>
          </w:p>
        </w:tc>
        <w:tc>
          <w:tcPr>
            <w:tcW w:w="1080" w:type="dxa"/>
            <w:hideMark/>
          </w:tcPr>
          <w:p w14:paraId="6232C1F7" w14:textId="77777777" w:rsidR="00EE6AB6" w:rsidRPr="00EE6AB6" w:rsidRDefault="00EE6AB6" w:rsidP="00EE6A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sz w:val="20"/>
                <w:szCs w:val="20"/>
              </w:rPr>
              <w:t>Lbs vs. YA</w:t>
            </w:r>
          </w:p>
        </w:tc>
        <w:tc>
          <w:tcPr>
            <w:tcW w:w="960" w:type="dxa"/>
            <w:hideMark/>
          </w:tcPr>
          <w:p w14:paraId="5047FC71" w14:textId="77777777" w:rsidR="00EE6AB6" w:rsidRPr="00EE6AB6" w:rsidRDefault="00EE6AB6" w:rsidP="00EE6A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sz w:val="20"/>
                <w:szCs w:val="20"/>
              </w:rPr>
              <w:t>PPP</w:t>
            </w:r>
          </w:p>
        </w:tc>
        <w:tc>
          <w:tcPr>
            <w:tcW w:w="1200" w:type="dxa"/>
            <w:hideMark/>
          </w:tcPr>
          <w:p w14:paraId="74AC617A" w14:textId="77777777" w:rsidR="00EE6AB6" w:rsidRPr="00EE6AB6" w:rsidRDefault="00EE6AB6" w:rsidP="00EE6A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sz w:val="20"/>
                <w:szCs w:val="20"/>
              </w:rPr>
              <w:t>PPP vs. YA</w:t>
            </w:r>
          </w:p>
        </w:tc>
      </w:tr>
      <w:tr w:rsidR="00EE6AB6" w:rsidRPr="00347118" w14:paraId="7908BA8D" w14:textId="77777777" w:rsidTr="00347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noWrap/>
            <w:hideMark/>
          </w:tcPr>
          <w:p w14:paraId="542105AB" w14:textId="39CCEAB6" w:rsidR="00EE6AB6" w:rsidRPr="00EE6AB6" w:rsidRDefault="00EE6AB6" w:rsidP="00EE6AB6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47118">
              <w:rPr>
                <w:rFonts w:eastAsia="Times New Roman" w:cstheme="minorHAnsi"/>
                <w:color w:val="000000"/>
                <w:sz w:val="20"/>
                <w:szCs w:val="20"/>
              </w:rPr>
              <w:t>Vegetables</w:t>
            </w:r>
          </w:p>
        </w:tc>
        <w:tc>
          <w:tcPr>
            <w:tcW w:w="900" w:type="dxa"/>
            <w:noWrap/>
            <w:hideMark/>
          </w:tcPr>
          <w:p w14:paraId="11E365DD" w14:textId="692DCCAF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$9</w:t>
            </w:r>
            <w:r w:rsidRPr="003471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.4B</w:t>
            </w:r>
          </w:p>
        </w:tc>
        <w:tc>
          <w:tcPr>
            <w:tcW w:w="990" w:type="dxa"/>
            <w:noWrap/>
            <w:hideMark/>
          </w:tcPr>
          <w:p w14:paraId="5BC7829C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3.5%</w:t>
            </w:r>
          </w:p>
        </w:tc>
        <w:tc>
          <w:tcPr>
            <w:tcW w:w="888" w:type="dxa"/>
            <w:noWrap/>
            <w:hideMark/>
          </w:tcPr>
          <w:p w14:paraId="0FEA84C6" w14:textId="479AE87F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  <w:r w:rsidRPr="003471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.9B</w:t>
            </w:r>
          </w:p>
        </w:tc>
        <w:tc>
          <w:tcPr>
            <w:tcW w:w="1165" w:type="dxa"/>
            <w:noWrap/>
            <w:hideMark/>
          </w:tcPr>
          <w:p w14:paraId="32F45B33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-2.9%</w:t>
            </w:r>
          </w:p>
        </w:tc>
        <w:tc>
          <w:tcPr>
            <w:tcW w:w="862" w:type="dxa"/>
            <w:noWrap/>
            <w:hideMark/>
          </w:tcPr>
          <w:p w14:paraId="635B8100" w14:textId="26CB5CD6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  <w:r w:rsidRPr="0034711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.6B</w:t>
            </w:r>
          </w:p>
        </w:tc>
        <w:tc>
          <w:tcPr>
            <w:tcW w:w="1080" w:type="dxa"/>
            <w:noWrap/>
            <w:hideMark/>
          </w:tcPr>
          <w:p w14:paraId="4870D629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-2.5%</w:t>
            </w:r>
          </w:p>
        </w:tc>
        <w:tc>
          <w:tcPr>
            <w:tcW w:w="960" w:type="dxa"/>
            <w:noWrap/>
            <w:hideMark/>
          </w:tcPr>
          <w:p w14:paraId="2BD4B1B8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$2.05</w:t>
            </w:r>
          </w:p>
        </w:tc>
        <w:tc>
          <w:tcPr>
            <w:tcW w:w="1200" w:type="dxa"/>
            <w:noWrap/>
            <w:hideMark/>
          </w:tcPr>
          <w:p w14:paraId="19B2BCFB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6.1%</w:t>
            </w:r>
          </w:p>
        </w:tc>
      </w:tr>
      <w:tr w:rsidR="00EE6AB6" w:rsidRPr="00EE6AB6" w14:paraId="432A9558" w14:textId="77777777" w:rsidTr="0034711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noWrap/>
            <w:hideMark/>
          </w:tcPr>
          <w:p w14:paraId="5EE9BD77" w14:textId="2389EC22" w:rsidR="00EE6AB6" w:rsidRPr="00EE6AB6" w:rsidRDefault="00EE6AB6" w:rsidP="00EE6AB6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  <w:t xml:space="preserve"> Tomatoes</w:t>
            </w:r>
          </w:p>
        </w:tc>
        <w:tc>
          <w:tcPr>
            <w:tcW w:w="900" w:type="dxa"/>
            <w:noWrap/>
            <w:hideMark/>
          </w:tcPr>
          <w:p w14:paraId="48165D04" w14:textId="26C4ABC4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$1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.0B</w:t>
            </w:r>
          </w:p>
        </w:tc>
        <w:tc>
          <w:tcPr>
            <w:tcW w:w="990" w:type="dxa"/>
            <w:noWrap/>
            <w:hideMark/>
          </w:tcPr>
          <w:p w14:paraId="1CFB33AE" w14:textId="77777777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5.0%</w:t>
            </w:r>
          </w:p>
        </w:tc>
        <w:tc>
          <w:tcPr>
            <w:tcW w:w="888" w:type="dxa"/>
            <w:noWrap/>
            <w:hideMark/>
          </w:tcPr>
          <w:p w14:paraId="6BFA49CA" w14:textId="010609DA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4M</w:t>
            </w:r>
          </w:p>
        </w:tc>
        <w:tc>
          <w:tcPr>
            <w:tcW w:w="1165" w:type="dxa"/>
            <w:noWrap/>
            <w:hideMark/>
          </w:tcPr>
          <w:p w14:paraId="7BEDB155" w14:textId="77777777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-0.7%</w:t>
            </w:r>
          </w:p>
        </w:tc>
        <w:tc>
          <w:tcPr>
            <w:tcW w:w="862" w:type="dxa"/>
            <w:noWrap/>
            <w:hideMark/>
          </w:tcPr>
          <w:p w14:paraId="68B8F9E5" w14:textId="2720A830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425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080" w:type="dxa"/>
            <w:noWrap/>
            <w:hideMark/>
          </w:tcPr>
          <w:p w14:paraId="1B57B550" w14:textId="77777777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-0.6%</w:t>
            </w:r>
          </w:p>
        </w:tc>
        <w:tc>
          <w:tcPr>
            <w:tcW w:w="960" w:type="dxa"/>
            <w:noWrap/>
            <w:hideMark/>
          </w:tcPr>
          <w:p w14:paraId="0ED37FDA" w14:textId="77777777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$2.42</w:t>
            </w:r>
          </w:p>
        </w:tc>
        <w:tc>
          <w:tcPr>
            <w:tcW w:w="1200" w:type="dxa"/>
            <w:noWrap/>
            <w:hideMark/>
          </w:tcPr>
          <w:p w14:paraId="62DC941A" w14:textId="77777777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5.6%</w:t>
            </w:r>
          </w:p>
        </w:tc>
      </w:tr>
      <w:tr w:rsidR="00EE6AB6" w:rsidRPr="00EE6AB6" w14:paraId="4D603955" w14:textId="77777777" w:rsidTr="00347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noWrap/>
            <w:hideMark/>
          </w:tcPr>
          <w:p w14:paraId="53B01A06" w14:textId="645135EB" w:rsidR="00EE6AB6" w:rsidRPr="00EE6AB6" w:rsidRDefault="00EE6AB6" w:rsidP="00EE6AB6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  <w:t xml:space="preserve"> Potatoes</w:t>
            </w:r>
          </w:p>
        </w:tc>
        <w:tc>
          <w:tcPr>
            <w:tcW w:w="900" w:type="dxa"/>
            <w:noWrap/>
            <w:hideMark/>
          </w:tcPr>
          <w:p w14:paraId="25E335D8" w14:textId="33676B59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$997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990" w:type="dxa"/>
            <w:noWrap/>
            <w:hideMark/>
          </w:tcPr>
          <w:p w14:paraId="189554E5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12.6%</w:t>
            </w:r>
          </w:p>
        </w:tc>
        <w:tc>
          <w:tcPr>
            <w:tcW w:w="888" w:type="dxa"/>
            <w:noWrap/>
            <w:hideMark/>
          </w:tcPr>
          <w:p w14:paraId="33E69C39" w14:textId="6AA4D6BC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26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65" w:type="dxa"/>
            <w:noWrap/>
            <w:hideMark/>
          </w:tcPr>
          <w:p w14:paraId="3104180A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-3.4%</w:t>
            </w:r>
          </w:p>
        </w:tc>
        <w:tc>
          <w:tcPr>
            <w:tcW w:w="862" w:type="dxa"/>
            <w:noWrap/>
            <w:hideMark/>
          </w:tcPr>
          <w:p w14:paraId="051B0F9A" w14:textId="533F162A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98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9M</w:t>
            </w:r>
          </w:p>
        </w:tc>
        <w:tc>
          <w:tcPr>
            <w:tcW w:w="1080" w:type="dxa"/>
            <w:noWrap/>
            <w:hideMark/>
          </w:tcPr>
          <w:p w14:paraId="7A3243DC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-5.0%</w:t>
            </w:r>
          </w:p>
        </w:tc>
        <w:tc>
          <w:tcPr>
            <w:tcW w:w="960" w:type="dxa"/>
            <w:noWrap/>
            <w:hideMark/>
          </w:tcPr>
          <w:p w14:paraId="7562429C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$1.01</w:t>
            </w:r>
          </w:p>
        </w:tc>
        <w:tc>
          <w:tcPr>
            <w:tcW w:w="1200" w:type="dxa"/>
            <w:noWrap/>
            <w:hideMark/>
          </w:tcPr>
          <w:p w14:paraId="55A245E5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18.6%</w:t>
            </w:r>
          </w:p>
        </w:tc>
      </w:tr>
      <w:tr w:rsidR="00EE6AB6" w:rsidRPr="00EE6AB6" w14:paraId="16AEAAE6" w14:textId="77777777" w:rsidTr="0034711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noWrap/>
            <w:hideMark/>
          </w:tcPr>
          <w:p w14:paraId="7F84553B" w14:textId="6230E510" w:rsidR="00EE6AB6" w:rsidRPr="00EE6AB6" w:rsidRDefault="00EE6AB6" w:rsidP="00EE6AB6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  <w:t xml:space="preserve"> Lettuce</w:t>
            </w:r>
          </w:p>
        </w:tc>
        <w:tc>
          <w:tcPr>
            <w:tcW w:w="900" w:type="dxa"/>
            <w:noWrap/>
            <w:hideMark/>
          </w:tcPr>
          <w:p w14:paraId="12C6B318" w14:textId="44F4A25A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$78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0" w:type="dxa"/>
            <w:noWrap/>
            <w:hideMark/>
          </w:tcPr>
          <w:p w14:paraId="6BD16088" w14:textId="77777777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9.1%</w:t>
            </w:r>
          </w:p>
        </w:tc>
        <w:tc>
          <w:tcPr>
            <w:tcW w:w="888" w:type="dxa"/>
            <w:noWrap/>
            <w:hideMark/>
          </w:tcPr>
          <w:p w14:paraId="5A711FD1" w14:textId="47D1E891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7M</w:t>
            </w:r>
          </w:p>
        </w:tc>
        <w:tc>
          <w:tcPr>
            <w:tcW w:w="1165" w:type="dxa"/>
            <w:noWrap/>
            <w:hideMark/>
          </w:tcPr>
          <w:p w14:paraId="40DE69AC" w14:textId="77777777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-0.3%</w:t>
            </w:r>
          </w:p>
        </w:tc>
        <w:tc>
          <w:tcPr>
            <w:tcW w:w="862" w:type="dxa"/>
            <w:noWrap/>
            <w:hideMark/>
          </w:tcPr>
          <w:p w14:paraId="2F88AFAC" w14:textId="6146F578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9M</w:t>
            </w:r>
          </w:p>
        </w:tc>
        <w:tc>
          <w:tcPr>
            <w:tcW w:w="1080" w:type="dxa"/>
            <w:noWrap/>
            <w:hideMark/>
          </w:tcPr>
          <w:p w14:paraId="29C81833" w14:textId="77777777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-0.9%</w:t>
            </w:r>
          </w:p>
        </w:tc>
        <w:tc>
          <w:tcPr>
            <w:tcW w:w="960" w:type="dxa"/>
            <w:noWrap/>
            <w:hideMark/>
          </w:tcPr>
          <w:p w14:paraId="7C5537A3" w14:textId="77777777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$2.65</w:t>
            </w:r>
          </w:p>
        </w:tc>
        <w:tc>
          <w:tcPr>
            <w:tcW w:w="1200" w:type="dxa"/>
            <w:noWrap/>
            <w:hideMark/>
          </w:tcPr>
          <w:p w14:paraId="6C44639F" w14:textId="77777777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10.1%</w:t>
            </w:r>
          </w:p>
        </w:tc>
      </w:tr>
      <w:tr w:rsidR="00EE6AB6" w:rsidRPr="00EE6AB6" w14:paraId="42A7FCFE" w14:textId="77777777" w:rsidTr="00347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noWrap/>
            <w:hideMark/>
          </w:tcPr>
          <w:p w14:paraId="45DEEED4" w14:textId="736A689C" w:rsidR="00EE6AB6" w:rsidRPr="00EE6AB6" w:rsidRDefault="00EE6AB6" w:rsidP="00EE6AB6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  <w:t xml:space="preserve"> Salad</w:t>
            </w:r>
            <w:r w:rsidR="00956FE2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  <w:t xml:space="preserve"> k</w:t>
            </w:r>
            <w:r w:rsidRPr="00EE6AB6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  <w:t>its</w:t>
            </w:r>
          </w:p>
        </w:tc>
        <w:tc>
          <w:tcPr>
            <w:tcW w:w="900" w:type="dxa"/>
            <w:noWrap/>
            <w:hideMark/>
          </w:tcPr>
          <w:p w14:paraId="147D1A7A" w14:textId="3E684B63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$781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990" w:type="dxa"/>
            <w:noWrap/>
            <w:hideMark/>
          </w:tcPr>
          <w:p w14:paraId="1E6D7D89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-0.2%</w:t>
            </w:r>
          </w:p>
        </w:tc>
        <w:tc>
          <w:tcPr>
            <w:tcW w:w="888" w:type="dxa"/>
            <w:noWrap/>
            <w:hideMark/>
          </w:tcPr>
          <w:p w14:paraId="6975A19F" w14:textId="426BA29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2M</w:t>
            </w:r>
          </w:p>
        </w:tc>
        <w:tc>
          <w:tcPr>
            <w:tcW w:w="1165" w:type="dxa"/>
            <w:noWrap/>
            <w:hideMark/>
          </w:tcPr>
          <w:p w14:paraId="60C63B15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-7.2%</w:t>
            </w:r>
          </w:p>
        </w:tc>
        <w:tc>
          <w:tcPr>
            <w:tcW w:w="862" w:type="dxa"/>
            <w:noWrap/>
            <w:hideMark/>
          </w:tcPr>
          <w:p w14:paraId="2FD58B2B" w14:textId="40816A6F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133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080" w:type="dxa"/>
            <w:noWrap/>
            <w:hideMark/>
          </w:tcPr>
          <w:p w14:paraId="2E48B1BC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-5.2%</w:t>
            </w:r>
          </w:p>
        </w:tc>
        <w:tc>
          <w:tcPr>
            <w:tcW w:w="960" w:type="dxa"/>
            <w:noWrap/>
            <w:hideMark/>
          </w:tcPr>
          <w:p w14:paraId="35D74D38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$5.86</w:t>
            </w:r>
          </w:p>
        </w:tc>
        <w:tc>
          <w:tcPr>
            <w:tcW w:w="1200" w:type="dxa"/>
            <w:noWrap/>
            <w:hideMark/>
          </w:tcPr>
          <w:p w14:paraId="1FBA219B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5.2%</w:t>
            </w:r>
          </w:p>
        </w:tc>
      </w:tr>
      <w:tr w:rsidR="00EE6AB6" w:rsidRPr="00EE6AB6" w14:paraId="6A189602" w14:textId="77777777" w:rsidTr="0034711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noWrap/>
            <w:hideMark/>
          </w:tcPr>
          <w:p w14:paraId="41A17344" w14:textId="2A2278B5" w:rsidR="00EE6AB6" w:rsidRPr="00EE6AB6" w:rsidRDefault="00EE6AB6" w:rsidP="00EE6AB6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  <w:t xml:space="preserve"> Onions</w:t>
            </w:r>
          </w:p>
        </w:tc>
        <w:tc>
          <w:tcPr>
            <w:tcW w:w="900" w:type="dxa"/>
            <w:noWrap/>
            <w:hideMark/>
          </w:tcPr>
          <w:p w14:paraId="69CFCD1F" w14:textId="3C601FA1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$70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3M</w:t>
            </w:r>
          </w:p>
        </w:tc>
        <w:tc>
          <w:tcPr>
            <w:tcW w:w="990" w:type="dxa"/>
            <w:noWrap/>
            <w:hideMark/>
          </w:tcPr>
          <w:p w14:paraId="63FCFACC" w14:textId="77777777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6.4%</w:t>
            </w:r>
          </w:p>
        </w:tc>
        <w:tc>
          <w:tcPr>
            <w:tcW w:w="888" w:type="dxa"/>
            <w:noWrap/>
            <w:hideMark/>
          </w:tcPr>
          <w:p w14:paraId="7B2E4A75" w14:textId="05446349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450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165" w:type="dxa"/>
            <w:noWrap/>
            <w:hideMark/>
          </w:tcPr>
          <w:p w14:paraId="39EB6F5A" w14:textId="77777777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-1.2%</w:t>
            </w:r>
          </w:p>
        </w:tc>
        <w:tc>
          <w:tcPr>
            <w:tcW w:w="862" w:type="dxa"/>
            <w:noWrap/>
            <w:hideMark/>
          </w:tcPr>
          <w:p w14:paraId="181BAB7C" w14:textId="39ED9C4E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57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7M</w:t>
            </w:r>
          </w:p>
        </w:tc>
        <w:tc>
          <w:tcPr>
            <w:tcW w:w="1080" w:type="dxa"/>
            <w:noWrap/>
            <w:hideMark/>
          </w:tcPr>
          <w:p w14:paraId="788E7B13" w14:textId="77777777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4.9%</w:t>
            </w:r>
          </w:p>
        </w:tc>
        <w:tc>
          <w:tcPr>
            <w:tcW w:w="960" w:type="dxa"/>
            <w:noWrap/>
            <w:hideMark/>
          </w:tcPr>
          <w:p w14:paraId="0D148F9A" w14:textId="77777777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$1.22</w:t>
            </w:r>
          </w:p>
        </w:tc>
        <w:tc>
          <w:tcPr>
            <w:tcW w:w="1200" w:type="dxa"/>
            <w:noWrap/>
            <w:hideMark/>
          </w:tcPr>
          <w:p w14:paraId="68D5B89F" w14:textId="77777777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1.4%</w:t>
            </w:r>
          </w:p>
        </w:tc>
      </w:tr>
      <w:tr w:rsidR="00EE6AB6" w:rsidRPr="00EE6AB6" w14:paraId="19E06959" w14:textId="77777777" w:rsidTr="00347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noWrap/>
            <w:hideMark/>
          </w:tcPr>
          <w:p w14:paraId="4C3FBA4B" w14:textId="74B7E360" w:rsidR="00EE6AB6" w:rsidRPr="00EE6AB6" w:rsidRDefault="00EE6AB6" w:rsidP="00EE6AB6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  <w:t xml:space="preserve"> Peppers</w:t>
            </w:r>
          </w:p>
        </w:tc>
        <w:tc>
          <w:tcPr>
            <w:tcW w:w="900" w:type="dxa"/>
            <w:noWrap/>
            <w:hideMark/>
          </w:tcPr>
          <w:p w14:paraId="43DABAD8" w14:textId="3783899C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$654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990" w:type="dxa"/>
            <w:noWrap/>
            <w:hideMark/>
          </w:tcPr>
          <w:p w14:paraId="393EC404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0.8%</w:t>
            </w:r>
          </w:p>
        </w:tc>
        <w:tc>
          <w:tcPr>
            <w:tcW w:w="888" w:type="dxa"/>
            <w:noWrap/>
            <w:hideMark/>
          </w:tcPr>
          <w:p w14:paraId="37F2953C" w14:textId="50B3A4D9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46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7M</w:t>
            </w:r>
          </w:p>
        </w:tc>
        <w:tc>
          <w:tcPr>
            <w:tcW w:w="1165" w:type="dxa"/>
            <w:noWrap/>
            <w:hideMark/>
          </w:tcPr>
          <w:p w14:paraId="7053F915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-2.7%</w:t>
            </w:r>
          </w:p>
        </w:tc>
        <w:tc>
          <w:tcPr>
            <w:tcW w:w="862" w:type="dxa"/>
            <w:noWrap/>
            <w:hideMark/>
          </w:tcPr>
          <w:p w14:paraId="6087961C" w14:textId="4081095A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307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080" w:type="dxa"/>
            <w:noWrap/>
            <w:hideMark/>
          </w:tcPr>
          <w:p w14:paraId="4C969733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-2.6%</w:t>
            </w:r>
          </w:p>
        </w:tc>
        <w:tc>
          <w:tcPr>
            <w:tcW w:w="960" w:type="dxa"/>
            <w:noWrap/>
            <w:hideMark/>
          </w:tcPr>
          <w:p w14:paraId="48335000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$2.13</w:t>
            </w:r>
          </w:p>
        </w:tc>
        <w:tc>
          <w:tcPr>
            <w:tcW w:w="1200" w:type="dxa"/>
            <w:noWrap/>
            <w:hideMark/>
          </w:tcPr>
          <w:p w14:paraId="7390ECFC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3.4%</w:t>
            </w:r>
          </w:p>
        </w:tc>
      </w:tr>
      <w:tr w:rsidR="00EE6AB6" w:rsidRPr="00EE6AB6" w14:paraId="6401FBC0" w14:textId="77777777" w:rsidTr="0034711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noWrap/>
            <w:hideMark/>
          </w:tcPr>
          <w:p w14:paraId="51364117" w14:textId="45B0656A" w:rsidR="00EE6AB6" w:rsidRPr="00EE6AB6" w:rsidRDefault="00EE6AB6" w:rsidP="00EE6AB6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  <w:t xml:space="preserve"> Cucumbers</w:t>
            </w:r>
          </w:p>
        </w:tc>
        <w:tc>
          <w:tcPr>
            <w:tcW w:w="900" w:type="dxa"/>
            <w:noWrap/>
            <w:hideMark/>
          </w:tcPr>
          <w:p w14:paraId="296BED51" w14:textId="279EFC6A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$38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1M</w:t>
            </w:r>
          </w:p>
        </w:tc>
        <w:tc>
          <w:tcPr>
            <w:tcW w:w="990" w:type="dxa"/>
            <w:noWrap/>
            <w:hideMark/>
          </w:tcPr>
          <w:p w14:paraId="2C7C0DB9" w14:textId="77777777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11.9%</w:t>
            </w:r>
          </w:p>
        </w:tc>
        <w:tc>
          <w:tcPr>
            <w:tcW w:w="888" w:type="dxa"/>
            <w:noWrap/>
            <w:hideMark/>
          </w:tcPr>
          <w:p w14:paraId="2E274F1F" w14:textId="080A86EF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4M</w:t>
            </w:r>
          </w:p>
        </w:tc>
        <w:tc>
          <w:tcPr>
            <w:tcW w:w="1165" w:type="dxa"/>
            <w:noWrap/>
            <w:hideMark/>
          </w:tcPr>
          <w:p w14:paraId="351314BB" w14:textId="77777777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4.3%</w:t>
            </w:r>
          </w:p>
        </w:tc>
        <w:tc>
          <w:tcPr>
            <w:tcW w:w="862" w:type="dxa"/>
            <w:noWrap/>
            <w:hideMark/>
          </w:tcPr>
          <w:p w14:paraId="380F13D0" w14:textId="2E02CA1E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080" w:type="dxa"/>
            <w:noWrap/>
            <w:hideMark/>
          </w:tcPr>
          <w:p w14:paraId="3577F026" w14:textId="77777777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4.1%</w:t>
            </w:r>
          </w:p>
        </w:tc>
        <w:tc>
          <w:tcPr>
            <w:tcW w:w="960" w:type="dxa"/>
            <w:noWrap/>
            <w:hideMark/>
          </w:tcPr>
          <w:p w14:paraId="5544B69F" w14:textId="77777777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$1.90</w:t>
            </w:r>
          </w:p>
        </w:tc>
        <w:tc>
          <w:tcPr>
            <w:tcW w:w="1200" w:type="dxa"/>
            <w:noWrap/>
            <w:hideMark/>
          </w:tcPr>
          <w:p w14:paraId="481EE347" w14:textId="77777777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7.5%</w:t>
            </w:r>
          </w:p>
        </w:tc>
      </w:tr>
      <w:tr w:rsidR="00EE6AB6" w:rsidRPr="00EE6AB6" w14:paraId="56E46EDD" w14:textId="77777777" w:rsidTr="00347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noWrap/>
            <w:hideMark/>
          </w:tcPr>
          <w:p w14:paraId="3B23D03D" w14:textId="040A31F3" w:rsidR="00EE6AB6" w:rsidRPr="00EE6AB6" w:rsidRDefault="00EE6AB6" w:rsidP="00EE6AB6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  <w:t xml:space="preserve"> Carrots</w:t>
            </w:r>
          </w:p>
        </w:tc>
        <w:tc>
          <w:tcPr>
            <w:tcW w:w="900" w:type="dxa"/>
            <w:noWrap/>
            <w:hideMark/>
          </w:tcPr>
          <w:p w14:paraId="67F885AE" w14:textId="08E16A63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$37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3M</w:t>
            </w:r>
          </w:p>
        </w:tc>
        <w:tc>
          <w:tcPr>
            <w:tcW w:w="990" w:type="dxa"/>
            <w:noWrap/>
            <w:hideMark/>
          </w:tcPr>
          <w:p w14:paraId="442D5607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1.5%</w:t>
            </w:r>
          </w:p>
        </w:tc>
        <w:tc>
          <w:tcPr>
            <w:tcW w:w="888" w:type="dxa"/>
            <w:noWrap/>
            <w:hideMark/>
          </w:tcPr>
          <w:p w14:paraId="1A4A2103" w14:textId="50BC46AF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65" w:type="dxa"/>
            <w:noWrap/>
            <w:hideMark/>
          </w:tcPr>
          <w:p w14:paraId="28E13B18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-5.0%</w:t>
            </w:r>
          </w:p>
        </w:tc>
        <w:tc>
          <w:tcPr>
            <w:tcW w:w="862" w:type="dxa"/>
            <w:noWrap/>
            <w:hideMark/>
          </w:tcPr>
          <w:p w14:paraId="63A4DABD" w14:textId="27A69031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260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080" w:type="dxa"/>
            <w:noWrap/>
            <w:hideMark/>
          </w:tcPr>
          <w:p w14:paraId="46686864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-5.0%</w:t>
            </w:r>
          </w:p>
        </w:tc>
        <w:tc>
          <w:tcPr>
            <w:tcW w:w="960" w:type="dxa"/>
            <w:noWrap/>
            <w:hideMark/>
          </w:tcPr>
          <w:p w14:paraId="2E79951A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$1.43</w:t>
            </w:r>
          </w:p>
        </w:tc>
        <w:tc>
          <w:tcPr>
            <w:tcW w:w="1200" w:type="dxa"/>
            <w:noWrap/>
            <w:hideMark/>
          </w:tcPr>
          <w:p w14:paraId="0959D8F2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6.8%</w:t>
            </w:r>
          </w:p>
        </w:tc>
      </w:tr>
      <w:tr w:rsidR="00EE6AB6" w:rsidRPr="00EE6AB6" w14:paraId="514FE1B3" w14:textId="77777777" w:rsidTr="0034711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noWrap/>
            <w:hideMark/>
          </w:tcPr>
          <w:p w14:paraId="147E01E9" w14:textId="07D5DBC8" w:rsidR="00EE6AB6" w:rsidRPr="00EE6AB6" w:rsidRDefault="00EE6AB6" w:rsidP="00EE6AB6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  <w:t xml:space="preserve"> Broccoli</w:t>
            </w:r>
          </w:p>
        </w:tc>
        <w:tc>
          <w:tcPr>
            <w:tcW w:w="900" w:type="dxa"/>
            <w:noWrap/>
            <w:hideMark/>
          </w:tcPr>
          <w:p w14:paraId="411BF128" w14:textId="52D784B9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$343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990" w:type="dxa"/>
            <w:noWrap/>
            <w:hideMark/>
          </w:tcPr>
          <w:p w14:paraId="67FF5722" w14:textId="77777777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3.9%</w:t>
            </w:r>
          </w:p>
        </w:tc>
        <w:tc>
          <w:tcPr>
            <w:tcW w:w="888" w:type="dxa"/>
            <w:noWrap/>
            <w:hideMark/>
          </w:tcPr>
          <w:p w14:paraId="49BE97C1" w14:textId="311BA0B3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20M</w:t>
            </w:r>
          </w:p>
        </w:tc>
        <w:tc>
          <w:tcPr>
            <w:tcW w:w="1165" w:type="dxa"/>
            <w:noWrap/>
            <w:hideMark/>
          </w:tcPr>
          <w:p w14:paraId="2FD0B03D" w14:textId="77777777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-5.6%</w:t>
            </w:r>
          </w:p>
        </w:tc>
        <w:tc>
          <w:tcPr>
            <w:tcW w:w="862" w:type="dxa"/>
            <w:noWrap/>
            <w:hideMark/>
          </w:tcPr>
          <w:p w14:paraId="7405E7ED" w14:textId="7DB3D560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3M</w:t>
            </w:r>
          </w:p>
        </w:tc>
        <w:tc>
          <w:tcPr>
            <w:tcW w:w="1080" w:type="dxa"/>
            <w:noWrap/>
            <w:hideMark/>
          </w:tcPr>
          <w:p w14:paraId="219F7226" w14:textId="77777777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-5.6%</w:t>
            </w:r>
          </w:p>
        </w:tc>
        <w:tc>
          <w:tcPr>
            <w:tcW w:w="960" w:type="dxa"/>
            <w:noWrap/>
            <w:hideMark/>
          </w:tcPr>
          <w:p w14:paraId="7CEAE9CD" w14:textId="77777777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$2.59</w:t>
            </w:r>
          </w:p>
        </w:tc>
        <w:tc>
          <w:tcPr>
            <w:tcW w:w="1200" w:type="dxa"/>
            <w:noWrap/>
            <w:hideMark/>
          </w:tcPr>
          <w:p w14:paraId="5B18610C" w14:textId="77777777" w:rsidR="00EE6AB6" w:rsidRPr="00EE6AB6" w:rsidRDefault="00EE6AB6" w:rsidP="00EE6A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10.0%</w:t>
            </w:r>
          </w:p>
        </w:tc>
      </w:tr>
      <w:tr w:rsidR="00EE6AB6" w:rsidRPr="00EE6AB6" w14:paraId="477A48F2" w14:textId="77777777" w:rsidTr="00347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noWrap/>
            <w:hideMark/>
          </w:tcPr>
          <w:p w14:paraId="00926FCA" w14:textId="3BBB4FA8" w:rsidR="00EE6AB6" w:rsidRPr="00EE6AB6" w:rsidRDefault="00EE6AB6" w:rsidP="00EE6AB6">
            <w:pP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  <w:lastRenderedPageBreak/>
              <w:t xml:space="preserve"> Mushrooms</w:t>
            </w:r>
          </w:p>
        </w:tc>
        <w:tc>
          <w:tcPr>
            <w:tcW w:w="900" w:type="dxa"/>
            <w:noWrap/>
            <w:hideMark/>
          </w:tcPr>
          <w:p w14:paraId="0CD7511B" w14:textId="36B607CE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$31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6M</w:t>
            </w:r>
          </w:p>
        </w:tc>
        <w:tc>
          <w:tcPr>
            <w:tcW w:w="990" w:type="dxa"/>
            <w:noWrap/>
            <w:hideMark/>
          </w:tcPr>
          <w:p w14:paraId="3B4F3F8B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-7.6%</w:t>
            </w:r>
          </w:p>
        </w:tc>
        <w:tc>
          <w:tcPr>
            <w:tcW w:w="888" w:type="dxa"/>
            <w:noWrap/>
            <w:hideMark/>
          </w:tcPr>
          <w:p w14:paraId="6A458874" w14:textId="66D6C52A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4M</w:t>
            </w:r>
          </w:p>
        </w:tc>
        <w:tc>
          <w:tcPr>
            <w:tcW w:w="1165" w:type="dxa"/>
            <w:noWrap/>
            <w:hideMark/>
          </w:tcPr>
          <w:p w14:paraId="0890C148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-14.9%</w:t>
            </w:r>
          </w:p>
        </w:tc>
        <w:tc>
          <w:tcPr>
            <w:tcW w:w="862" w:type="dxa"/>
            <w:noWrap/>
            <w:hideMark/>
          </w:tcPr>
          <w:p w14:paraId="3453934A" w14:textId="15A6D8AC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66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080" w:type="dxa"/>
            <w:noWrap/>
            <w:hideMark/>
          </w:tcPr>
          <w:p w14:paraId="05465734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-13.0%</w:t>
            </w:r>
          </w:p>
        </w:tc>
        <w:tc>
          <w:tcPr>
            <w:tcW w:w="960" w:type="dxa"/>
            <w:noWrap/>
            <w:hideMark/>
          </w:tcPr>
          <w:p w14:paraId="768C06C8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$4.75</w:t>
            </w:r>
          </w:p>
        </w:tc>
        <w:tc>
          <w:tcPr>
            <w:tcW w:w="1200" w:type="dxa"/>
            <w:noWrap/>
            <w:hideMark/>
          </w:tcPr>
          <w:p w14:paraId="74ED1CE4" w14:textId="77777777" w:rsidR="00EE6AB6" w:rsidRPr="00EE6AB6" w:rsidRDefault="00EE6AB6" w:rsidP="00EE6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E6AB6">
              <w:rPr>
                <w:rFonts w:eastAsia="Times New Roman" w:cstheme="minorHAnsi"/>
                <w:color w:val="000000"/>
                <w:sz w:val="20"/>
                <w:szCs w:val="20"/>
              </w:rPr>
              <w:t>6.1%</w:t>
            </w:r>
          </w:p>
        </w:tc>
      </w:tr>
    </w:tbl>
    <w:p w14:paraId="212A3A84" w14:textId="77777777" w:rsidR="00EE6AB6" w:rsidRPr="00956FE2" w:rsidRDefault="00EE6AB6" w:rsidP="00AE32A2">
      <w:pPr>
        <w:pStyle w:val="NoSpacing"/>
        <w:rPr>
          <w:rFonts w:cstheme="minorHAnsi"/>
          <w:color w:val="7F7F7F" w:themeColor="text1" w:themeTint="80"/>
          <w:sz w:val="14"/>
          <w:szCs w:val="14"/>
        </w:rPr>
      </w:pPr>
    </w:p>
    <w:p w14:paraId="2388A4A8" w14:textId="4FD88F08" w:rsidR="00956FE2" w:rsidRPr="00956FE2" w:rsidRDefault="00956FE2" w:rsidP="00AE32A2">
      <w:pPr>
        <w:pStyle w:val="NoSpacing"/>
        <w:rPr>
          <w:rFonts w:cstheme="minorHAnsi"/>
          <w:color w:val="7F7F7F" w:themeColor="text1" w:themeTint="80"/>
          <w:sz w:val="16"/>
          <w:szCs w:val="16"/>
        </w:rPr>
      </w:pPr>
      <w:r w:rsidRPr="00956FE2">
        <w:rPr>
          <w:rFonts w:cstheme="minorHAnsi"/>
          <w:color w:val="7F7F7F" w:themeColor="text1" w:themeTint="80"/>
          <w:sz w:val="16"/>
          <w:szCs w:val="16"/>
        </w:rPr>
        <w:t xml:space="preserve">Source: </w:t>
      </w:r>
      <w:r w:rsidR="004C5B27">
        <w:rPr>
          <w:rFonts w:cstheme="minorHAnsi"/>
          <w:color w:val="7F7F7F" w:themeColor="text1" w:themeTint="80"/>
          <w:sz w:val="16"/>
          <w:szCs w:val="16"/>
        </w:rPr>
        <w:t>Circana</w:t>
      </w:r>
      <w:r w:rsidRPr="00956FE2">
        <w:rPr>
          <w:rFonts w:cstheme="minorHAnsi"/>
          <w:color w:val="7F7F7F" w:themeColor="text1" w:themeTint="80"/>
          <w:sz w:val="16"/>
          <w:szCs w:val="16"/>
        </w:rPr>
        <w:t>, MULO, Total US, 13 weeks ending 4/2/2023</w:t>
      </w:r>
    </w:p>
    <w:p w14:paraId="494A36E9" w14:textId="77777777" w:rsidR="00EE6AB6" w:rsidRDefault="00EE6AB6" w:rsidP="00AE32A2">
      <w:pPr>
        <w:pStyle w:val="NoSpacing"/>
      </w:pPr>
    </w:p>
    <w:p w14:paraId="737234D5" w14:textId="7E09DA4A" w:rsidR="00927EAC" w:rsidRPr="00927EAC" w:rsidRDefault="00927EAC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Dollars, Units and Volume Performance</w:t>
      </w:r>
    </w:p>
    <w:p w14:paraId="39C5E7B3" w14:textId="3FA8A4E2" w:rsidR="00826014" w:rsidRDefault="009B71AE" w:rsidP="00472B02">
      <w:pPr>
        <w:pStyle w:val="NoSpacing"/>
      </w:pPr>
      <w:r>
        <w:t>Total food and bev</w:t>
      </w:r>
      <w:r w:rsidR="003223C7">
        <w:t xml:space="preserve">erage dollar sales increased </w:t>
      </w:r>
      <w:r w:rsidR="00A52B14">
        <w:t>5.6</w:t>
      </w:r>
      <w:r>
        <w:t>% over the quad-week</w:t>
      </w:r>
      <w:r w:rsidR="003223C7">
        <w:t xml:space="preserve"> period, but units were down </w:t>
      </w:r>
      <w:r w:rsidR="00787BBD">
        <w:t>3.4</w:t>
      </w:r>
      <w:r>
        <w:t xml:space="preserve">%. </w:t>
      </w:r>
      <w:r w:rsidR="00AE32A2">
        <w:t xml:space="preserve">Fresh produce has seen negative </w:t>
      </w:r>
      <w:r>
        <w:t xml:space="preserve">volume </w:t>
      </w:r>
      <w:r w:rsidR="00AE32A2">
        <w:t>comp sales for 2</w:t>
      </w:r>
      <w:r w:rsidR="00956FE2">
        <w:t>1</w:t>
      </w:r>
      <w:r w:rsidR="00AE32A2">
        <w:t xml:space="preserve"> months running. In </w:t>
      </w:r>
      <w:r w:rsidR="00956FE2">
        <w:t>March</w:t>
      </w:r>
      <w:r w:rsidR="00AE32A2">
        <w:t>, deflationary conditions in fruit did prompt a slight increase in pounds, but the improvement</w:t>
      </w:r>
      <w:r>
        <w:t xml:space="preserve"> in fruit</w:t>
      </w:r>
      <w:r w:rsidR="00AE32A2">
        <w:t xml:space="preserve"> was negated by a larger decrease in units and volume in vegetables. </w:t>
      </w:r>
      <w:r>
        <w:t xml:space="preserve">For the four weeks ending </w:t>
      </w:r>
      <w:r w:rsidR="003223C7">
        <w:t>April 23</w:t>
      </w:r>
      <w:r w:rsidR="003223C7">
        <w:rPr>
          <w:vertAlign w:val="superscript"/>
        </w:rPr>
        <w:t>rd</w:t>
      </w:r>
      <w:r>
        <w:t xml:space="preserve"> 2023, f</w:t>
      </w:r>
      <w:r w:rsidR="00264EDA">
        <w:t>resh pro</w:t>
      </w:r>
      <w:r w:rsidR="000D5A69">
        <w:t>duce</w:t>
      </w:r>
      <w:r w:rsidR="003223C7">
        <w:t xml:space="preserve"> dollar sales were flat (+</w:t>
      </w:r>
      <w:r w:rsidR="00787BBD">
        <w:t>0.1</w:t>
      </w:r>
      <w:r>
        <w:t>%</w:t>
      </w:r>
      <w:r w:rsidR="000D5A69">
        <w:t xml:space="preserve">) and </w:t>
      </w:r>
      <w:r>
        <w:t xml:space="preserve">fresh mushroom sales were down </w:t>
      </w:r>
      <w:r w:rsidR="00A52B14">
        <w:t>7.8</w:t>
      </w:r>
      <w:r w:rsidR="00264EDA">
        <w:t>%</w:t>
      </w:r>
      <w:r>
        <w:t xml:space="preserve"> year-on-year</w:t>
      </w:r>
      <w:r w:rsidR="00264EDA">
        <w:t xml:space="preserve">. </w:t>
      </w:r>
    </w:p>
    <w:p w14:paraId="38CFFFCE" w14:textId="77777777" w:rsidR="00826014" w:rsidRDefault="00826014" w:rsidP="00472B02">
      <w:pPr>
        <w:pStyle w:val="NoSpacing"/>
      </w:pPr>
    </w:p>
    <w:p w14:paraId="47797D03" w14:textId="701DF6CA" w:rsidR="00472B02" w:rsidRDefault="009B71AE" w:rsidP="00472B02">
      <w:pPr>
        <w:pStyle w:val="NoSpacing"/>
      </w:pPr>
      <w:r>
        <w:t>F</w:t>
      </w:r>
      <w:r w:rsidR="00124C8B">
        <w:t>resh mushroom</w:t>
      </w:r>
      <w:r>
        <w:t xml:space="preserve">s also experienced unit and volume declines during the shorter and longer time periods. </w:t>
      </w:r>
      <w:r w:rsidR="00EF1E09">
        <w:t>Yea</w:t>
      </w:r>
      <w:r w:rsidR="00910CD7">
        <w:t xml:space="preserve">r-to-date, dollars were down </w:t>
      </w:r>
      <w:r w:rsidR="001B18A2">
        <w:t>4.8</w:t>
      </w:r>
      <w:r w:rsidR="00910CD7">
        <w:t xml:space="preserve">% versus year ago and pounds </w:t>
      </w:r>
      <w:r>
        <w:t>-</w:t>
      </w:r>
      <w:r w:rsidR="001B18A2">
        <w:t>11.3</w:t>
      </w:r>
      <w:r w:rsidR="00EF1E09">
        <w:t xml:space="preserve">%. </w:t>
      </w:r>
      <w:r w:rsidR="00DE4C4C">
        <w:t>Dollars remained ahead of 2020 in the lon</w:t>
      </w:r>
      <w:r w:rsidR="00EB090C">
        <w:t xml:space="preserve">ger-term view, but were down </w:t>
      </w:r>
      <w:r w:rsidR="001B18A2">
        <w:t>21.8</w:t>
      </w:r>
      <w:r w:rsidR="00DE4C4C">
        <w:t>% in the short-term view. Pou</w:t>
      </w:r>
      <w:r w:rsidR="00910CD7">
        <w:t xml:space="preserve">nds are now </w:t>
      </w:r>
      <w:r w:rsidR="001B18A2">
        <w:t>10.3</w:t>
      </w:r>
      <w:r w:rsidR="00826014">
        <w:t xml:space="preserve">% behind those of </w:t>
      </w:r>
      <w:r w:rsidR="00251BBC">
        <w:t>2020</w:t>
      </w:r>
      <w:r w:rsidR="00826014">
        <w:t xml:space="preserve"> in the year-to-date views</w:t>
      </w:r>
      <w:r w:rsidR="003F77CF">
        <w:t xml:space="preserve"> and</w:t>
      </w:r>
      <w:r w:rsidR="00910CD7">
        <w:t xml:space="preserve"> </w:t>
      </w:r>
      <w:r w:rsidR="001B18A2">
        <w:t>29.3</w:t>
      </w:r>
      <w:r w:rsidR="00030ABF">
        <w:t>% in the quad-week view versus pre-pandemic</w:t>
      </w:r>
      <w:r w:rsidR="00826014">
        <w:t xml:space="preserve">. </w:t>
      </w:r>
    </w:p>
    <w:p w14:paraId="40FAA348" w14:textId="6A56CCC2" w:rsidR="00AD7044" w:rsidRDefault="00AD7044" w:rsidP="00472B02">
      <w:pPr>
        <w:pStyle w:val="NoSpacing"/>
      </w:pPr>
    </w:p>
    <w:tbl>
      <w:tblPr>
        <w:tblStyle w:val="ListTable3-Accent2"/>
        <w:tblW w:w="10054" w:type="dxa"/>
        <w:tblLook w:val="04A0" w:firstRow="1" w:lastRow="0" w:firstColumn="1" w:lastColumn="0" w:noHBand="0" w:noVBand="1"/>
      </w:tblPr>
      <w:tblGrid>
        <w:gridCol w:w="1795"/>
        <w:gridCol w:w="1886"/>
        <w:gridCol w:w="1024"/>
        <w:gridCol w:w="1102"/>
        <w:gridCol w:w="1817"/>
        <w:gridCol w:w="135"/>
        <w:gridCol w:w="1098"/>
        <w:gridCol w:w="27"/>
        <w:gridCol w:w="1170"/>
      </w:tblGrid>
      <w:tr w:rsidR="00AD7044" w:rsidRPr="00124CB7" w14:paraId="5D073D77" w14:textId="77777777" w:rsidTr="00BB03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5" w:type="dxa"/>
          </w:tcPr>
          <w:p w14:paraId="0624EE87" w14:textId="77777777" w:rsidR="00AD7044" w:rsidRPr="00124CB7" w:rsidRDefault="00AD7044" w:rsidP="00AD7044">
            <w:pPr>
              <w:pStyle w:val="NoSpacing"/>
            </w:pPr>
            <w:r w:rsidRPr="00124CB7">
              <w:t>Fresh mushrooms</w:t>
            </w:r>
          </w:p>
        </w:tc>
        <w:tc>
          <w:tcPr>
            <w:tcW w:w="1886" w:type="dxa"/>
          </w:tcPr>
          <w:p w14:paraId="51DF6E55" w14:textId="7EED22D5" w:rsidR="00AD7044" w:rsidRPr="00124CB7" w:rsidRDefault="00AD7044" w:rsidP="00AD704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weeks ending </w:t>
            </w:r>
            <w:r w:rsidR="003223C7">
              <w:t>4/23</w:t>
            </w:r>
            <w:r w:rsidR="00EB090C">
              <w:t>/2023</w:t>
            </w:r>
          </w:p>
        </w:tc>
        <w:tc>
          <w:tcPr>
            <w:tcW w:w="1024" w:type="dxa"/>
          </w:tcPr>
          <w:p w14:paraId="0398A30D" w14:textId="55C3EE23" w:rsidR="00AD7044" w:rsidRPr="00124CB7" w:rsidRDefault="00AD7044" w:rsidP="00AD704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 w:rsidR="00251BBC">
              <w:t>2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11B3D9FB" w14:textId="5DBFCFDF" w:rsidR="00AD7044" w:rsidRPr="00124CB7" w:rsidRDefault="00AD7044" w:rsidP="00AD704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</w:t>
            </w:r>
            <w:r w:rsidR="00251BBC">
              <w:t>20</w:t>
            </w:r>
          </w:p>
        </w:tc>
        <w:tc>
          <w:tcPr>
            <w:tcW w:w="1952" w:type="dxa"/>
            <w:gridSpan w:val="2"/>
            <w:tcBorders>
              <w:left w:val="single" w:sz="4" w:space="0" w:color="ED7D31" w:themeColor="accent2"/>
            </w:tcBorders>
          </w:tcPr>
          <w:p w14:paraId="3BBE24C3" w14:textId="3E890C53" w:rsidR="00AD7044" w:rsidRPr="00124CB7" w:rsidRDefault="00694050" w:rsidP="00AD704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Latest 52 w.e.</w:t>
            </w:r>
            <w:r w:rsidR="00AD7044">
              <w:t xml:space="preserve"> </w:t>
            </w:r>
            <w:r w:rsidR="003223C7">
              <w:t>4/23</w:t>
            </w:r>
            <w:r w:rsidR="00EB090C">
              <w:t>/2023</w:t>
            </w:r>
          </w:p>
        </w:tc>
        <w:tc>
          <w:tcPr>
            <w:tcW w:w="1098" w:type="dxa"/>
          </w:tcPr>
          <w:p w14:paraId="0895179F" w14:textId="7C2E1DCC" w:rsidR="00AD7044" w:rsidRPr="00124CB7" w:rsidRDefault="00251BBC" w:rsidP="00AD704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2022</w:t>
            </w:r>
          </w:p>
        </w:tc>
        <w:tc>
          <w:tcPr>
            <w:tcW w:w="1197" w:type="dxa"/>
            <w:gridSpan w:val="2"/>
          </w:tcPr>
          <w:p w14:paraId="5AB7ECE0" w14:textId="582BFE3B" w:rsidR="00AD7044" w:rsidRPr="00124CB7" w:rsidRDefault="00251BBC" w:rsidP="00251BBC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2020</w:t>
            </w:r>
          </w:p>
        </w:tc>
      </w:tr>
      <w:tr w:rsidR="00AD7044" w14:paraId="22401D5B" w14:textId="77777777" w:rsidTr="00BB0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9CDF43D" w14:textId="77777777" w:rsidR="00AD7044" w:rsidRPr="00124CB7" w:rsidRDefault="00AD7044" w:rsidP="00AD7044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Dollars</w:t>
            </w:r>
          </w:p>
        </w:tc>
        <w:tc>
          <w:tcPr>
            <w:tcW w:w="1886" w:type="dxa"/>
          </w:tcPr>
          <w:p w14:paraId="6D1FCB95" w14:textId="17A59CEC" w:rsidR="00AD7044" w:rsidRDefault="00BB03F4" w:rsidP="00BB03F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</w:t>
            </w:r>
            <w:r w:rsidR="00910CD7">
              <w:t>$</w:t>
            </w:r>
            <w:r w:rsidR="00A52B14">
              <w:t>91.8</w:t>
            </w:r>
            <w:r w:rsidR="00AD7044">
              <w:t xml:space="preserve"> million</w:t>
            </w:r>
          </w:p>
        </w:tc>
        <w:tc>
          <w:tcPr>
            <w:tcW w:w="1024" w:type="dxa"/>
          </w:tcPr>
          <w:p w14:paraId="77D2040B" w14:textId="6482C0C3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A52B14">
              <w:t>7.8</w:t>
            </w:r>
            <w:r w:rsidR="00AD7044">
              <w:t>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4EF21002" w14:textId="423124C8" w:rsidR="00AD7044" w:rsidRDefault="00EB090C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A52B14">
              <w:t>21.8</w:t>
            </w:r>
            <w:r w:rsidR="00AD7044">
              <w:t>%</w:t>
            </w:r>
          </w:p>
        </w:tc>
        <w:tc>
          <w:tcPr>
            <w:tcW w:w="1817" w:type="dxa"/>
            <w:tcBorders>
              <w:left w:val="single" w:sz="4" w:space="0" w:color="ED7D31" w:themeColor="accent2"/>
            </w:tcBorders>
          </w:tcPr>
          <w:p w14:paraId="375CF9DD" w14:textId="1F47C825" w:rsidR="00AD7044" w:rsidRDefault="00BB03F4" w:rsidP="00BB03F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</w:t>
            </w:r>
            <w:r w:rsidR="007A67D7">
              <w:t>$</w:t>
            </w:r>
            <w:r w:rsidR="00A52B14">
              <w:t>1.2</w:t>
            </w:r>
            <w:r w:rsidR="00AD7044">
              <w:t xml:space="preserve"> billion</w:t>
            </w:r>
          </w:p>
        </w:tc>
        <w:tc>
          <w:tcPr>
            <w:tcW w:w="1260" w:type="dxa"/>
            <w:gridSpan w:val="3"/>
          </w:tcPr>
          <w:p w14:paraId="04EA64A9" w14:textId="1A2F35F2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A52B14">
              <w:t>4.8</w:t>
            </w:r>
            <w:r w:rsidR="00AD7044">
              <w:t>%</w:t>
            </w:r>
          </w:p>
        </w:tc>
        <w:tc>
          <w:tcPr>
            <w:tcW w:w="1170" w:type="dxa"/>
          </w:tcPr>
          <w:p w14:paraId="2F2464E9" w14:textId="0A1F1477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A52B14">
              <w:t>1.5</w:t>
            </w:r>
            <w:r w:rsidR="00AD7044">
              <w:t>%</w:t>
            </w:r>
          </w:p>
        </w:tc>
      </w:tr>
      <w:tr w:rsidR="00AD7044" w14:paraId="31FB8D29" w14:textId="77777777" w:rsidTr="00BB03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0B2F651" w14:textId="77777777" w:rsidR="00AD7044" w:rsidRPr="00124CB7" w:rsidRDefault="00AD7044" w:rsidP="00AD7044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Units</w:t>
            </w:r>
          </w:p>
        </w:tc>
        <w:tc>
          <w:tcPr>
            <w:tcW w:w="1886" w:type="dxa"/>
          </w:tcPr>
          <w:p w14:paraId="3CA03520" w14:textId="34401202" w:rsidR="00AD7044" w:rsidRDefault="00BB03F4" w:rsidP="007A67D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</w:t>
            </w:r>
            <w:r w:rsidR="00A52B14">
              <w:t xml:space="preserve">30.2 </w:t>
            </w:r>
            <w:r w:rsidR="00AD7044">
              <w:t>million</w:t>
            </w:r>
          </w:p>
        </w:tc>
        <w:tc>
          <w:tcPr>
            <w:tcW w:w="1024" w:type="dxa"/>
          </w:tcPr>
          <w:p w14:paraId="6922F333" w14:textId="787DAAAD" w:rsidR="00AD7044" w:rsidRDefault="00910CD7" w:rsidP="00AD70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A52B14">
              <w:t>13.5</w:t>
            </w:r>
            <w:r w:rsidR="00AD7044">
              <w:t>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7CD8DEEA" w14:textId="258FF1DD" w:rsidR="00AD7044" w:rsidRDefault="00910CD7" w:rsidP="00AD70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A52B14">
              <w:t>31.6</w:t>
            </w:r>
            <w:r w:rsidR="00AD7044">
              <w:t>%</w:t>
            </w:r>
          </w:p>
        </w:tc>
        <w:tc>
          <w:tcPr>
            <w:tcW w:w="1817" w:type="dxa"/>
            <w:tcBorders>
              <w:left w:val="single" w:sz="4" w:space="0" w:color="ED7D31" w:themeColor="accent2"/>
            </w:tcBorders>
          </w:tcPr>
          <w:p w14:paraId="26ECACB9" w14:textId="10D9FF29" w:rsidR="00AD7044" w:rsidRDefault="007A67D7" w:rsidP="00AD70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A52B14">
              <w:t>409.5</w:t>
            </w:r>
            <w:r w:rsidR="00BB03F4">
              <w:t xml:space="preserve"> </w:t>
            </w:r>
            <w:r w:rsidR="00AD7044">
              <w:t>million</w:t>
            </w:r>
          </w:p>
        </w:tc>
        <w:tc>
          <w:tcPr>
            <w:tcW w:w="1260" w:type="dxa"/>
            <w:gridSpan w:val="3"/>
          </w:tcPr>
          <w:p w14:paraId="60AAF678" w14:textId="5A259006" w:rsidR="00AD7044" w:rsidRDefault="00910CD7" w:rsidP="00AD70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A52B14">
              <w:t>12.3</w:t>
            </w:r>
            <w:r w:rsidR="00AD7044">
              <w:t>%</w:t>
            </w:r>
          </w:p>
        </w:tc>
        <w:tc>
          <w:tcPr>
            <w:tcW w:w="1170" w:type="dxa"/>
          </w:tcPr>
          <w:p w14:paraId="19BE3B74" w14:textId="7B5127EC" w:rsidR="00AD7044" w:rsidRDefault="00910CD7" w:rsidP="00AD70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A52B14">
              <w:t>13.1</w:t>
            </w:r>
            <w:r w:rsidR="00AD7044">
              <w:t>%</w:t>
            </w:r>
          </w:p>
        </w:tc>
      </w:tr>
      <w:tr w:rsidR="00AD7044" w14:paraId="2EB720F3" w14:textId="77777777" w:rsidTr="00BB0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A632454" w14:textId="77777777" w:rsidR="00AD7044" w:rsidRPr="00124CB7" w:rsidRDefault="00AD7044" w:rsidP="00AD7044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Volume</w:t>
            </w:r>
            <w:r>
              <w:rPr>
                <w:b w:val="0"/>
                <w:bCs w:val="0"/>
              </w:rPr>
              <w:t xml:space="preserve"> (pounds)</w:t>
            </w:r>
          </w:p>
        </w:tc>
        <w:tc>
          <w:tcPr>
            <w:tcW w:w="1886" w:type="dxa"/>
          </w:tcPr>
          <w:p w14:paraId="68757A76" w14:textId="5E4A8881" w:rsidR="00AD7044" w:rsidRDefault="00A52B14" w:rsidP="007A67D7">
            <w:pPr>
              <w:pStyle w:val="NoSpacing"/>
              <w:tabs>
                <w:tab w:val="center" w:pos="747"/>
                <w:tab w:val="right" w:pos="14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19.6 </w:t>
            </w:r>
            <w:r w:rsidR="00AD7044">
              <w:t>million</w:t>
            </w:r>
          </w:p>
        </w:tc>
        <w:tc>
          <w:tcPr>
            <w:tcW w:w="1024" w:type="dxa"/>
          </w:tcPr>
          <w:p w14:paraId="7DE7F9CC" w14:textId="6D340D0E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A52B14">
              <w:t>10.6</w:t>
            </w:r>
            <w:r w:rsidR="00AD7044">
              <w:t>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47670DC1" w14:textId="74BCBC9C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A52B14">
              <w:t>29.3</w:t>
            </w:r>
            <w:r w:rsidR="00AD7044">
              <w:t>%</w:t>
            </w:r>
          </w:p>
        </w:tc>
        <w:tc>
          <w:tcPr>
            <w:tcW w:w="1817" w:type="dxa"/>
            <w:tcBorders>
              <w:left w:val="single" w:sz="4" w:space="0" w:color="ED7D31" w:themeColor="accent2"/>
            </w:tcBorders>
          </w:tcPr>
          <w:p w14:paraId="57878EB0" w14:textId="5E71D255" w:rsidR="00AD7044" w:rsidRDefault="00910CD7" w:rsidP="00910CD7">
            <w:pPr>
              <w:pStyle w:val="NoSpacing"/>
              <w:tabs>
                <w:tab w:val="center" w:pos="743"/>
                <w:tab w:val="right" w:pos="148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</w:t>
            </w:r>
            <w:r w:rsidR="00A52B14">
              <w:t>261.0</w:t>
            </w:r>
            <w:r w:rsidR="00EB090C">
              <w:t xml:space="preserve"> </w:t>
            </w:r>
            <w:r w:rsidR="00AD7044">
              <w:t>million</w:t>
            </w:r>
          </w:p>
        </w:tc>
        <w:tc>
          <w:tcPr>
            <w:tcW w:w="1260" w:type="dxa"/>
            <w:gridSpan w:val="3"/>
          </w:tcPr>
          <w:p w14:paraId="0679CD28" w14:textId="1AC98AF5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A52B14">
              <w:t>11.3</w:t>
            </w:r>
            <w:r w:rsidR="00AD7044">
              <w:t>%</w:t>
            </w:r>
          </w:p>
        </w:tc>
        <w:tc>
          <w:tcPr>
            <w:tcW w:w="1170" w:type="dxa"/>
          </w:tcPr>
          <w:p w14:paraId="09C03B7F" w14:textId="2DD3A218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A52B14">
              <w:t>10.3</w:t>
            </w:r>
            <w:r w:rsidR="00AD7044">
              <w:t>%</w:t>
            </w:r>
          </w:p>
        </w:tc>
      </w:tr>
    </w:tbl>
    <w:p w14:paraId="5B1F1AF6" w14:textId="6381EF9A" w:rsidR="0092088E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>Circana</w:t>
      </w:r>
      <w:r w:rsidRPr="00555250">
        <w:rPr>
          <w:color w:val="7F7F7F" w:themeColor="text1" w:themeTint="80"/>
          <w:sz w:val="16"/>
          <w:szCs w:val="16"/>
        </w:rPr>
        <w:t xml:space="preserve">, Integrated Fresh, MULO, </w:t>
      </w:r>
      <w:r w:rsidR="00977F7F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3223C7">
        <w:rPr>
          <w:color w:val="7F7F7F" w:themeColor="text1" w:themeTint="80"/>
          <w:sz w:val="16"/>
          <w:szCs w:val="16"/>
        </w:rPr>
        <w:t>4/23</w:t>
      </w:r>
      <w:r w:rsidR="00EB090C">
        <w:rPr>
          <w:color w:val="7F7F7F" w:themeColor="text1" w:themeTint="80"/>
          <w:sz w:val="16"/>
          <w:szCs w:val="16"/>
        </w:rPr>
        <w:t>/2023</w:t>
      </w:r>
    </w:p>
    <w:p w14:paraId="693975F5" w14:textId="5C6F2673" w:rsidR="000809C3" w:rsidRDefault="000809C3" w:rsidP="00472B02">
      <w:pPr>
        <w:pStyle w:val="NoSpacing"/>
      </w:pPr>
    </w:p>
    <w:p w14:paraId="6A743FB2" w14:textId="2F86AFAD" w:rsidR="000809C3" w:rsidRDefault="00730897" w:rsidP="00FF42F9">
      <w:pPr>
        <w:pStyle w:val="NoSpacing"/>
      </w:pPr>
      <w:r>
        <w:t>W</w:t>
      </w:r>
      <w:r w:rsidR="005547EE">
        <w:t xml:space="preserve">eekly sales </w:t>
      </w:r>
      <w:r>
        <w:t xml:space="preserve">for mushrooms </w:t>
      </w:r>
      <w:r w:rsidR="00BE7EF2">
        <w:t>averaged between</w:t>
      </w:r>
      <w:r w:rsidR="00445779">
        <w:t xml:space="preserve"> $</w:t>
      </w:r>
      <w:r w:rsidR="00D131C5">
        <w:t>21.7</w:t>
      </w:r>
      <w:r w:rsidR="00085508">
        <w:t xml:space="preserve"> million and</w:t>
      </w:r>
      <w:r w:rsidR="00BE7EF2">
        <w:t xml:space="preserve"> $</w:t>
      </w:r>
      <w:r w:rsidR="00D131C5">
        <w:t>24.8</w:t>
      </w:r>
      <w:r w:rsidR="003A3323">
        <w:t xml:space="preserve"> million, </w:t>
      </w:r>
      <w:r w:rsidR="009B71AE">
        <w:t xml:space="preserve">down slightly from the </w:t>
      </w:r>
      <w:r w:rsidR="00314DA1">
        <w:t>weekly levels of the past few months</w:t>
      </w:r>
      <w:r w:rsidR="00F47EA1">
        <w:t xml:space="preserve">. </w:t>
      </w:r>
      <w:r w:rsidR="00956FE2">
        <w:t>Easter week was substantially stronger than the weekly average, at 5.4 million pounds – underscoring that holiday periods continue to boost mushroom sales.</w:t>
      </w:r>
      <w:r w:rsidR="00314DA1">
        <w:t xml:space="preserve"> The period-over-period sales trend fell back into the prior-year patterns (as seen on the forecasting tab) but remains well below 2019 levels at this point in terms of absolute pounds</w:t>
      </w:r>
      <w:r w:rsidR="00EF1E09">
        <w:t xml:space="preserve">. </w:t>
      </w:r>
    </w:p>
    <w:p w14:paraId="71B34E16" w14:textId="77777777" w:rsidR="00FF42F9" w:rsidRDefault="00FF42F9" w:rsidP="00FF42F9">
      <w:pPr>
        <w:pStyle w:val="NoSpacing"/>
      </w:pPr>
    </w:p>
    <w:tbl>
      <w:tblPr>
        <w:tblStyle w:val="ListTable3-Accent2"/>
        <w:tblW w:w="9985" w:type="dxa"/>
        <w:tblLook w:val="04A0" w:firstRow="1" w:lastRow="0" w:firstColumn="1" w:lastColumn="0" w:noHBand="0" w:noVBand="1"/>
      </w:tblPr>
      <w:tblGrid>
        <w:gridCol w:w="2122"/>
        <w:gridCol w:w="997"/>
        <w:gridCol w:w="1291"/>
        <w:gridCol w:w="1291"/>
        <w:gridCol w:w="1134"/>
        <w:gridCol w:w="1530"/>
        <w:gridCol w:w="1620"/>
      </w:tblGrid>
      <w:tr w:rsidR="000809C3" w:rsidRPr="00DE633B" w14:paraId="5AF9AC2D" w14:textId="77777777" w:rsidTr="008B6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2" w:type="dxa"/>
          </w:tcPr>
          <w:p w14:paraId="3CBC11F7" w14:textId="77777777" w:rsidR="000809C3" w:rsidRPr="006A7A6E" w:rsidRDefault="000809C3" w:rsidP="000809C3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Fresh mushrooms</w:t>
            </w:r>
          </w:p>
        </w:tc>
        <w:tc>
          <w:tcPr>
            <w:tcW w:w="997" w:type="dxa"/>
          </w:tcPr>
          <w:p w14:paraId="160A0879" w14:textId="77777777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Dollar </w:t>
            </w:r>
            <w:r w:rsidRPr="006A7A6E">
              <w:rPr>
                <w:rFonts w:cstheme="minorHAnsi"/>
              </w:rPr>
              <w:br/>
              <w:t>sales</w:t>
            </w:r>
          </w:p>
        </w:tc>
        <w:tc>
          <w:tcPr>
            <w:tcW w:w="1291" w:type="dxa"/>
          </w:tcPr>
          <w:p w14:paraId="19F3D856" w14:textId="26DDEF19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Dollar gains vs. </w:t>
            </w:r>
            <w:r w:rsidR="00251BBC">
              <w:rPr>
                <w:rFonts w:cstheme="minorHAnsi"/>
              </w:rPr>
              <w:t>2022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3ABF0E92" w14:textId="2FF24334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Dollar gains vs. </w:t>
            </w:r>
            <w:r w:rsidR="00251BBC">
              <w:rPr>
                <w:rFonts w:cstheme="minorHAnsi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4E9EBAC6" w14:textId="64CD0FF1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Volume </w:t>
            </w:r>
            <w:r w:rsidRPr="006A7A6E">
              <w:rPr>
                <w:rFonts w:cstheme="minorHAnsi"/>
              </w:rPr>
              <w:br/>
              <w:t>sales</w:t>
            </w:r>
          </w:p>
        </w:tc>
        <w:tc>
          <w:tcPr>
            <w:tcW w:w="1530" w:type="dxa"/>
          </w:tcPr>
          <w:p w14:paraId="3A701F90" w14:textId="1067C8DD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Volume gains vs. </w:t>
            </w:r>
            <w:r w:rsidR="00251BBC">
              <w:rPr>
                <w:rFonts w:cstheme="minorHAnsi"/>
              </w:rPr>
              <w:t>2022</w:t>
            </w:r>
          </w:p>
        </w:tc>
        <w:tc>
          <w:tcPr>
            <w:tcW w:w="1620" w:type="dxa"/>
          </w:tcPr>
          <w:p w14:paraId="7A77A4C9" w14:textId="7B587886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Volume gains vs. </w:t>
            </w:r>
            <w:r w:rsidR="00251BBC">
              <w:rPr>
                <w:rFonts w:cstheme="minorHAnsi"/>
              </w:rPr>
              <w:t>2020</w:t>
            </w:r>
          </w:p>
        </w:tc>
      </w:tr>
      <w:tr w:rsidR="000809C3" w14:paraId="69B1B691" w14:textId="77777777" w:rsidTr="008B6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74F2F9C" w14:textId="1A5CF75F" w:rsidR="000809C3" w:rsidRPr="006A7A6E" w:rsidRDefault="000C3CC4" w:rsidP="000809C3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4 w.e. </w:t>
            </w:r>
            <w:r w:rsidR="003223C7">
              <w:rPr>
                <w:rFonts w:cstheme="minorHAnsi"/>
                <w:color w:val="000000" w:themeColor="text1"/>
              </w:rPr>
              <w:t>4/23</w:t>
            </w:r>
            <w:r w:rsidR="00EB090C">
              <w:rPr>
                <w:rFonts w:cstheme="minorHAnsi"/>
                <w:color w:val="000000" w:themeColor="text1"/>
              </w:rPr>
              <w:t>/2023</w:t>
            </w:r>
          </w:p>
        </w:tc>
        <w:tc>
          <w:tcPr>
            <w:tcW w:w="997" w:type="dxa"/>
          </w:tcPr>
          <w:p w14:paraId="73E257C6" w14:textId="5DA6C1A2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$</w:t>
            </w:r>
            <w:r w:rsidR="00D2073F">
              <w:rPr>
                <w:rFonts w:cstheme="minorHAnsi"/>
                <w:b/>
                <w:bCs/>
                <w:color w:val="000000" w:themeColor="text1"/>
              </w:rPr>
              <w:t>91.8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4D4E3A8B" w14:textId="03AC1A51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D2073F">
              <w:rPr>
                <w:rFonts w:cstheme="minorHAnsi"/>
                <w:b/>
                <w:bCs/>
                <w:color w:val="000000" w:themeColor="text1"/>
              </w:rPr>
              <w:t>7.8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D28CAD3" w14:textId="5D30347C" w:rsidR="000809C3" w:rsidRPr="006A7A6E" w:rsidRDefault="00EB090C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D2073F">
              <w:rPr>
                <w:rFonts w:cstheme="minorHAnsi"/>
                <w:b/>
                <w:bCs/>
                <w:color w:val="000000" w:themeColor="text1"/>
              </w:rPr>
              <w:t>21.8</w:t>
            </w:r>
            <w:r w:rsidR="004E4F69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30F9E2CF" w14:textId="1EACA086" w:rsidR="000809C3" w:rsidRPr="006A7A6E" w:rsidRDefault="00D2073F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19.6</w:t>
            </w:r>
            <w:r w:rsidR="000809C3"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7D7EF716" w14:textId="62C3A876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D2073F">
              <w:rPr>
                <w:rFonts w:cstheme="minorHAnsi"/>
                <w:b/>
                <w:bCs/>
                <w:color w:val="000000" w:themeColor="text1"/>
              </w:rPr>
              <w:t>10.6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0ADA09AC" w14:textId="48DD7903" w:rsidR="000809C3" w:rsidRPr="006A7A6E" w:rsidRDefault="0086198D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D2073F">
              <w:rPr>
                <w:rFonts w:cstheme="minorHAnsi"/>
                <w:b/>
                <w:bCs/>
                <w:color w:val="000000" w:themeColor="text1"/>
              </w:rPr>
              <w:t>29.3</w:t>
            </w:r>
            <w:r w:rsidR="000809C3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</w:tr>
      <w:tr w:rsidR="0004266D" w14:paraId="4161B78F" w14:textId="77777777" w:rsidTr="008B633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1B5C386" w14:textId="53E5404B" w:rsidR="0004266D" w:rsidRPr="006A7A6E" w:rsidRDefault="0004266D" w:rsidP="0004266D">
            <w:pPr>
              <w:pStyle w:val="NoSpacing"/>
              <w:rPr>
                <w:rFonts w:cstheme="minorHAnsi"/>
                <w:b w:val="0"/>
                <w:color w:val="000000" w:themeColor="text1"/>
              </w:rPr>
            </w:pPr>
            <w:r w:rsidRPr="006A7A6E">
              <w:rPr>
                <w:rFonts w:cstheme="minorHAnsi"/>
                <w:b w:val="0"/>
                <w:color w:val="000000" w:themeColor="text1"/>
              </w:rPr>
              <w:t xml:space="preserve">w.e. </w:t>
            </w:r>
            <w:r w:rsidR="003223C7">
              <w:rPr>
                <w:rFonts w:cstheme="minorHAnsi"/>
                <w:b w:val="0"/>
                <w:color w:val="000000" w:themeColor="text1"/>
              </w:rPr>
              <w:t>4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 w:rsidR="003223C7">
              <w:rPr>
                <w:rFonts w:cstheme="minorHAnsi"/>
                <w:b w:val="0"/>
                <w:color w:val="000000" w:themeColor="text1"/>
              </w:rPr>
              <w:t>2</w:t>
            </w:r>
            <w:r w:rsidR="00694050">
              <w:rPr>
                <w:rFonts w:cstheme="minorHAnsi"/>
                <w:b w:val="0"/>
                <w:color w:val="000000" w:themeColor="text1"/>
              </w:rPr>
              <w:t>/2023</w:t>
            </w:r>
          </w:p>
        </w:tc>
        <w:tc>
          <w:tcPr>
            <w:tcW w:w="997" w:type="dxa"/>
          </w:tcPr>
          <w:p w14:paraId="151AC645" w14:textId="4C1F02F2" w:rsidR="0004266D" w:rsidRPr="0004266D" w:rsidRDefault="0004266D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D2073F">
              <w:rPr>
                <w:rFonts w:cstheme="minorHAnsi"/>
                <w:color w:val="000000" w:themeColor="text1"/>
              </w:rPr>
              <w:t>23.0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F350FB2" w14:textId="2937BBC6" w:rsidR="0004266D" w:rsidRPr="0004266D" w:rsidRDefault="0004266D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D2073F">
              <w:rPr>
                <w:rFonts w:cstheme="minorHAnsi"/>
                <w:color w:val="000000" w:themeColor="text1"/>
              </w:rPr>
              <w:t>8.2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71A7F634" w14:textId="76790997" w:rsidR="0004266D" w:rsidRPr="0004266D" w:rsidRDefault="003223C7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D2073F">
              <w:rPr>
                <w:rFonts w:cstheme="minorHAnsi"/>
                <w:color w:val="000000" w:themeColor="text1"/>
              </w:rPr>
              <w:t>21.5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539D2139" w14:textId="2DB21B80" w:rsidR="0004266D" w:rsidRPr="0004266D" w:rsidRDefault="00D2073F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5.0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4E107D1E" w14:textId="728EB5F6" w:rsidR="0004266D" w:rsidRPr="0004266D" w:rsidRDefault="00D2073F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10.6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699CD9F0" w14:textId="2E7CC75A" w:rsidR="0004266D" w:rsidRPr="0004266D" w:rsidRDefault="00910CD7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D2073F">
              <w:rPr>
                <w:rFonts w:cstheme="minorHAnsi"/>
                <w:color w:val="000000" w:themeColor="text1"/>
              </w:rPr>
              <w:t>28.6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5547EE" w14:paraId="46E32385" w14:textId="77777777" w:rsidTr="008B6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CCBCDF3" w14:textId="51E2D7D2" w:rsidR="005547EE" w:rsidRPr="006A7A6E" w:rsidRDefault="005547EE" w:rsidP="00694050">
            <w:pPr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b w:val="0"/>
                <w:color w:val="000000" w:themeColor="text1"/>
              </w:rPr>
              <w:t xml:space="preserve">w.e. </w:t>
            </w:r>
            <w:r w:rsidR="003223C7">
              <w:rPr>
                <w:rFonts w:cstheme="minorHAnsi"/>
                <w:b w:val="0"/>
                <w:color w:val="000000" w:themeColor="text1"/>
              </w:rPr>
              <w:t>4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 w:rsidR="003223C7">
              <w:rPr>
                <w:rFonts w:cstheme="minorHAnsi"/>
                <w:b w:val="0"/>
                <w:color w:val="000000" w:themeColor="text1"/>
              </w:rPr>
              <w:t>9</w:t>
            </w:r>
            <w:r w:rsidR="00694050">
              <w:rPr>
                <w:rFonts w:cstheme="minorHAnsi"/>
                <w:b w:val="0"/>
                <w:color w:val="000000" w:themeColor="text1"/>
              </w:rPr>
              <w:t>/2023</w:t>
            </w:r>
          </w:p>
        </w:tc>
        <w:tc>
          <w:tcPr>
            <w:tcW w:w="997" w:type="dxa"/>
          </w:tcPr>
          <w:p w14:paraId="11A8DDCA" w14:textId="2E9ABF8C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D2073F">
              <w:rPr>
                <w:rFonts w:cstheme="minorHAnsi"/>
                <w:color w:val="000000" w:themeColor="text1"/>
              </w:rPr>
              <w:t>24.8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16514130" w14:textId="742320EC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D2073F">
              <w:rPr>
                <w:rFonts w:cstheme="minorHAnsi"/>
                <w:color w:val="000000" w:themeColor="text1"/>
              </w:rPr>
              <w:t>1.3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63E87C2" w14:textId="337A85D9" w:rsidR="005547EE" w:rsidRPr="0004266D" w:rsidRDefault="00EB090C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D2073F">
              <w:rPr>
                <w:rFonts w:cstheme="minorHAnsi"/>
                <w:color w:val="000000" w:themeColor="text1"/>
              </w:rPr>
              <w:t>16.1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67EAF597" w14:textId="5D54306F" w:rsidR="005547EE" w:rsidRPr="0004266D" w:rsidRDefault="00D2073F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5.4</w:t>
            </w:r>
            <w:r w:rsidR="005547EE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3BDC9313" w14:textId="74E9FEE7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D2073F">
              <w:rPr>
                <w:rFonts w:cstheme="minorHAnsi"/>
                <w:color w:val="000000" w:themeColor="text1"/>
              </w:rPr>
              <w:t>2.0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180304FD" w14:textId="0638B912" w:rsidR="005547EE" w:rsidRPr="0004266D" w:rsidRDefault="003223C7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D2073F">
              <w:rPr>
                <w:rFonts w:cstheme="minorHAnsi"/>
                <w:color w:val="000000" w:themeColor="text1"/>
              </w:rPr>
              <w:t>22.5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5547EE" w14:paraId="29C076C3" w14:textId="77777777" w:rsidTr="008B633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2D67558" w14:textId="6DC9B5E5" w:rsidR="005547EE" w:rsidRPr="006A7A6E" w:rsidRDefault="005547EE" w:rsidP="005547EE">
            <w:pPr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b w:val="0"/>
                <w:color w:val="000000" w:themeColor="text1"/>
              </w:rPr>
              <w:t xml:space="preserve">w.e. </w:t>
            </w:r>
            <w:r w:rsidR="003223C7">
              <w:rPr>
                <w:rFonts w:cstheme="minorHAnsi"/>
                <w:b w:val="0"/>
                <w:color w:val="000000" w:themeColor="text1"/>
              </w:rPr>
              <w:t>4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 w:rsidR="003223C7">
              <w:rPr>
                <w:rFonts w:cstheme="minorHAnsi"/>
                <w:b w:val="0"/>
                <w:color w:val="000000" w:themeColor="text1"/>
              </w:rPr>
              <w:t>16</w:t>
            </w:r>
            <w:r w:rsidR="00694050">
              <w:rPr>
                <w:rFonts w:cstheme="minorHAnsi"/>
                <w:b w:val="0"/>
                <w:color w:val="000000" w:themeColor="text1"/>
              </w:rPr>
              <w:t>/2023</w:t>
            </w:r>
          </w:p>
        </w:tc>
        <w:tc>
          <w:tcPr>
            <w:tcW w:w="997" w:type="dxa"/>
          </w:tcPr>
          <w:p w14:paraId="48606425" w14:textId="4EBC223B" w:rsidR="005547EE" w:rsidRPr="0004266D" w:rsidRDefault="005547EE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D2073F">
              <w:rPr>
                <w:rFonts w:cstheme="minorHAnsi"/>
                <w:color w:val="000000" w:themeColor="text1"/>
              </w:rPr>
              <w:t>21.7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4EEBB9B" w14:textId="340C904F" w:rsidR="005547EE" w:rsidRPr="0004266D" w:rsidRDefault="005547EE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D2073F">
              <w:rPr>
                <w:rFonts w:cstheme="minorHAnsi"/>
                <w:color w:val="000000" w:themeColor="text1"/>
              </w:rPr>
              <w:t>17.3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59FECD2" w14:textId="4094A01E" w:rsidR="005547EE" w:rsidRPr="0004266D" w:rsidRDefault="00EB090C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D2073F">
              <w:rPr>
                <w:rFonts w:cstheme="minorHAnsi"/>
                <w:color w:val="000000" w:themeColor="text1"/>
              </w:rPr>
              <w:t>24.6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234D0105" w14:textId="4053BE13" w:rsidR="005547EE" w:rsidRPr="0004266D" w:rsidRDefault="00D2073F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4.6</w:t>
            </w:r>
            <w:r w:rsidR="005547EE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5C2CD04A" w14:textId="0D53195D" w:rsidR="005547EE" w:rsidRPr="0004266D" w:rsidRDefault="005547EE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D2073F">
              <w:rPr>
                <w:rFonts w:cstheme="minorHAnsi"/>
                <w:color w:val="000000" w:themeColor="text1"/>
              </w:rPr>
              <w:t>20.8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3E3F9EEB" w14:textId="6C200715" w:rsidR="005547EE" w:rsidRPr="0004266D" w:rsidRDefault="00145E27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D2073F">
              <w:rPr>
                <w:rFonts w:cstheme="minorHAnsi"/>
                <w:color w:val="000000" w:themeColor="text1"/>
              </w:rPr>
              <w:t>31.9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5547EE" w14:paraId="7E43EA98" w14:textId="77777777" w:rsidTr="008B6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798E510" w14:textId="129D7446" w:rsidR="005547EE" w:rsidRPr="006A7A6E" w:rsidRDefault="005547EE" w:rsidP="005547EE">
            <w:pPr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b w:val="0"/>
                <w:color w:val="000000" w:themeColor="text1"/>
              </w:rPr>
              <w:t xml:space="preserve">w.e. </w:t>
            </w:r>
            <w:r w:rsidR="003223C7">
              <w:rPr>
                <w:rFonts w:cstheme="minorHAnsi"/>
                <w:b w:val="0"/>
                <w:color w:val="000000" w:themeColor="text1"/>
              </w:rPr>
              <w:t>4/23</w:t>
            </w:r>
            <w:r w:rsidR="00EB090C">
              <w:rPr>
                <w:rFonts w:cstheme="minorHAnsi"/>
                <w:b w:val="0"/>
                <w:color w:val="000000" w:themeColor="text1"/>
              </w:rPr>
              <w:t>/2023</w:t>
            </w:r>
          </w:p>
        </w:tc>
        <w:tc>
          <w:tcPr>
            <w:tcW w:w="997" w:type="dxa"/>
          </w:tcPr>
          <w:p w14:paraId="1F9888EE" w14:textId="4B88196F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D2073F">
              <w:rPr>
                <w:rFonts w:cstheme="minorHAnsi"/>
                <w:color w:val="000000" w:themeColor="text1"/>
              </w:rPr>
              <w:t>22.4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9C9DE70" w14:textId="520E8C19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D2073F">
              <w:rPr>
                <w:rFonts w:cstheme="minorHAnsi"/>
                <w:color w:val="000000" w:themeColor="text1"/>
              </w:rPr>
              <w:t>3.6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10674F93" w14:textId="5371DE09" w:rsidR="005547EE" w:rsidRPr="0004266D" w:rsidRDefault="00EB090C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D2073F">
              <w:rPr>
                <w:rFonts w:cstheme="minorHAnsi"/>
                <w:color w:val="000000" w:themeColor="text1"/>
              </w:rPr>
              <w:t>24.9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6664688E" w14:textId="7AC2F89A" w:rsidR="005547EE" w:rsidRPr="0004266D" w:rsidRDefault="00D2073F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4.7</w:t>
            </w:r>
            <w:r w:rsidR="005547EE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350C0B98" w14:textId="4B242F56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D2073F">
              <w:rPr>
                <w:rFonts w:cstheme="minorHAnsi"/>
                <w:color w:val="000000" w:themeColor="text1"/>
              </w:rPr>
              <w:t>8.4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2A25914C" w14:textId="2DDD49EB" w:rsidR="005547EE" w:rsidRPr="0004266D" w:rsidRDefault="00145E27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D2073F">
              <w:rPr>
                <w:rFonts w:cstheme="minorHAnsi"/>
                <w:color w:val="000000" w:themeColor="text1"/>
              </w:rPr>
              <w:t>34.0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</w:tbl>
    <w:p w14:paraId="712DC4DB" w14:textId="6BB4830D" w:rsidR="00541AFF" w:rsidRDefault="00541AFF" w:rsidP="00541AFF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>Circana</w:t>
      </w:r>
      <w:r w:rsidRPr="00555250">
        <w:rPr>
          <w:color w:val="7F7F7F" w:themeColor="text1" w:themeTint="80"/>
          <w:sz w:val="16"/>
          <w:szCs w:val="16"/>
        </w:rPr>
        <w:t xml:space="preserve">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3223C7">
        <w:rPr>
          <w:color w:val="7F7F7F" w:themeColor="text1" w:themeTint="80"/>
          <w:sz w:val="16"/>
          <w:szCs w:val="16"/>
        </w:rPr>
        <w:t>4/23</w:t>
      </w:r>
      <w:r w:rsidR="00EB090C">
        <w:rPr>
          <w:color w:val="7F7F7F" w:themeColor="text1" w:themeTint="80"/>
          <w:sz w:val="16"/>
          <w:szCs w:val="16"/>
        </w:rPr>
        <w:t>/2023</w:t>
      </w:r>
    </w:p>
    <w:p w14:paraId="0C708971" w14:textId="77777777" w:rsidR="003D3BDA" w:rsidRPr="00555250" w:rsidRDefault="003D3BDA" w:rsidP="00541AFF">
      <w:pPr>
        <w:pStyle w:val="NoSpacing"/>
        <w:spacing w:before="120"/>
        <w:rPr>
          <w:color w:val="7F7F7F" w:themeColor="text1" w:themeTint="80"/>
          <w:sz w:val="16"/>
          <w:szCs w:val="16"/>
        </w:rPr>
      </w:pPr>
    </w:p>
    <w:p w14:paraId="2A45DBD8" w14:textId="04A1650F" w:rsidR="00666D40" w:rsidRPr="00927EAC" w:rsidRDefault="00666D40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Inflation</w:t>
      </w:r>
    </w:p>
    <w:p w14:paraId="4A3C02BB" w14:textId="78A495C9" w:rsidR="00666D40" w:rsidRDefault="00030ABF" w:rsidP="00472B02">
      <w:pPr>
        <w:pStyle w:val="NoSpacing"/>
      </w:pPr>
      <w:r>
        <w:t>M</w:t>
      </w:r>
      <w:r w:rsidR="000E2A1D">
        <w:t xml:space="preserve">ushroom prices </w:t>
      </w:r>
      <w:r w:rsidR="00C9550B">
        <w:t xml:space="preserve">per unit </w:t>
      </w:r>
      <w:r w:rsidR="000E2A1D">
        <w:t>increase</w:t>
      </w:r>
      <w:r w:rsidR="00322039">
        <w:t>d</w:t>
      </w:r>
      <w:r w:rsidR="000E2A1D">
        <w:t xml:space="preserve"> </w:t>
      </w:r>
      <w:r w:rsidR="00A14586">
        <w:t xml:space="preserve">by </w:t>
      </w:r>
      <w:r w:rsidR="00535D22">
        <w:t>6.6</w:t>
      </w:r>
      <w:r w:rsidR="00322039">
        <w:t xml:space="preserve">% versus year ago </w:t>
      </w:r>
      <w:r w:rsidR="000E2A1D">
        <w:t>in the latest quad-week period</w:t>
      </w:r>
      <w:r>
        <w:t xml:space="preserve">. This means the rate of inflation jumped ahead of that </w:t>
      </w:r>
      <w:r w:rsidR="000E2A1D">
        <w:t xml:space="preserve">for total </w:t>
      </w:r>
      <w:r>
        <w:t xml:space="preserve">fresh </w:t>
      </w:r>
      <w:r w:rsidR="000E2A1D">
        <w:t>vegetables</w:t>
      </w:r>
      <w:r w:rsidR="00A14586">
        <w:t xml:space="preserve"> (+</w:t>
      </w:r>
      <w:r w:rsidR="00535D22">
        <w:t>2.6</w:t>
      </w:r>
      <w:r w:rsidR="00322039">
        <w:t>%)</w:t>
      </w:r>
      <w:r w:rsidR="00C9550B">
        <w:t xml:space="preserve"> and</w:t>
      </w:r>
      <w:r w:rsidR="000E2A1D">
        <w:t xml:space="preserve"> </w:t>
      </w:r>
      <w:r>
        <w:t xml:space="preserve">total fresh </w:t>
      </w:r>
      <w:r w:rsidR="000E2A1D">
        <w:t xml:space="preserve">produce </w:t>
      </w:r>
      <w:r w:rsidR="00A14586">
        <w:t>(+</w:t>
      </w:r>
      <w:r w:rsidR="00535D22">
        <w:t>0.2</w:t>
      </w:r>
      <w:r w:rsidR="00322039">
        <w:t>%)</w:t>
      </w:r>
      <w:r w:rsidR="000E2A1D">
        <w:t xml:space="preserve">. </w:t>
      </w:r>
    </w:p>
    <w:p w14:paraId="484C35C9" w14:textId="2EB83AFC" w:rsidR="0094219B" w:rsidRDefault="0094219B" w:rsidP="00472B02">
      <w:pPr>
        <w:pStyle w:val="NoSpacing"/>
      </w:pPr>
    </w:p>
    <w:tbl>
      <w:tblPr>
        <w:tblStyle w:val="ListTable3-Accent2"/>
        <w:tblW w:w="10075" w:type="dxa"/>
        <w:tblLook w:val="04A0" w:firstRow="1" w:lastRow="0" w:firstColumn="1" w:lastColumn="0" w:noHBand="0" w:noVBand="1"/>
      </w:tblPr>
      <w:tblGrid>
        <w:gridCol w:w="3256"/>
        <w:gridCol w:w="299"/>
        <w:gridCol w:w="1146"/>
        <w:gridCol w:w="973"/>
        <w:gridCol w:w="909"/>
        <w:gridCol w:w="1776"/>
        <w:gridCol w:w="817"/>
        <w:gridCol w:w="899"/>
      </w:tblGrid>
      <w:tr w:rsidR="000C3CC4" w:rsidRPr="00124CB7" w14:paraId="6E9D1AEF" w14:textId="162D7E86" w:rsidTr="00677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6" w:type="dxa"/>
          </w:tcPr>
          <w:p w14:paraId="74759AF7" w14:textId="77777777" w:rsidR="000C3CC4" w:rsidRPr="00124CB7" w:rsidRDefault="000C3CC4" w:rsidP="000C3CC4">
            <w:pPr>
              <w:pStyle w:val="NoSpacing"/>
            </w:pPr>
            <w:r w:rsidRPr="00124CB7">
              <w:t>Fresh mushrooms</w:t>
            </w:r>
          </w:p>
        </w:tc>
        <w:tc>
          <w:tcPr>
            <w:tcW w:w="1445" w:type="dxa"/>
            <w:gridSpan w:val="2"/>
          </w:tcPr>
          <w:p w14:paraId="5EC6EFF0" w14:textId="6A9F7EE5" w:rsidR="000C3CC4" w:rsidRPr="00124CB7" w:rsidRDefault="000C3CC4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3223C7">
              <w:t>4/23</w:t>
            </w:r>
            <w:r w:rsidR="00EB090C">
              <w:t>/2023</w:t>
            </w:r>
          </w:p>
        </w:tc>
        <w:tc>
          <w:tcPr>
            <w:tcW w:w="973" w:type="dxa"/>
          </w:tcPr>
          <w:p w14:paraId="10EFADEC" w14:textId="03181B90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55EFE125" w14:textId="0D145010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2020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6A5B944C" w14:textId="77C96F6F" w:rsidR="000C3CC4" w:rsidRPr="00124CB7" w:rsidRDefault="0069405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Latest 52 w.e.</w:t>
            </w:r>
            <w:r w:rsidR="000C3CC4">
              <w:t xml:space="preserve"> </w:t>
            </w:r>
            <w:r w:rsidR="003223C7">
              <w:t>4/23</w:t>
            </w:r>
            <w:r w:rsidR="00EB090C">
              <w:t>/2023</w:t>
            </w:r>
          </w:p>
        </w:tc>
        <w:tc>
          <w:tcPr>
            <w:tcW w:w="817" w:type="dxa"/>
          </w:tcPr>
          <w:p w14:paraId="56551B99" w14:textId="71D2CC9A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  <w:tc>
          <w:tcPr>
            <w:tcW w:w="899" w:type="dxa"/>
          </w:tcPr>
          <w:p w14:paraId="1A109D51" w14:textId="22B9DD22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2020</w:t>
            </w:r>
          </w:p>
        </w:tc>
      </w:tr>
      <w:tr w:rsidR="000C3CC4" w14:paraId="2B35BE12" w14:textId="0A6FF303" w:rsidTr="00677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gridSpan w:val="2"/>
          </w:tcPr>
          <w:p w14:paraId="5B4CB702" w14:textId="77777777" w:rsidR="000C3CC4" w:rsidRPr="00124CB7" w:rsidRDefault="000C3CC4" w:rsidP="000C3CC4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Price/unit</w:t>
            </w:r>
          </w:p>
        </w:tc>
        <w:tc>
          <w:tcPr>
            <w:tcW w:w="1146" w:type="dxa"/>
          </w:tcPr>
          <w:p w14:paraId="2915A28B" w14:textId="5460D272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35D22">
              <w:t>3.04</w:t>
            </w:r>
          </w:p>
        </w:tc>
        <w:tc>
          <w:tcPr>
            <w:tcW w:w="973" w:type="dxa"/>
          </w:tcPr>
          <w:p w14:paraId="3E0967AB" w14:textId="665E6450" w:rsidR="000C3CC4" w:rsidRDefault="00145E27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535D22">
              <w:t>6.6</w:t>
            </w:r>
            <w:r w:rsidR="000C3CC4">
              <w:t>%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09DAD54E" w14:textId="75DFEC31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535D22">
              <w:t>14.4</w:t>
            </w:r>
            <w:r>
              <w:t>%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03CA719E" w14:textId="7EDD53B0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535D22">
              <w:t>3.01</w:t>
            </w:r>
          </w:p>
        </w:tc>
        <w:tc>
          <w:tcPr>
            <w:tcW w:w="817" w:type="dxa"/>
          </w:tcPr>
          <w:p w14:paraId="08755E5E" w14:textId="3A00CA99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535D22">
              <w:t>8.5</w:t>
            </w:r>
            <w:r>
              <w:t>%</w:t>
            </w:r>
          </w:p>
        </w:tc>
        <w:tc>
          <w:tcPr>
            <w:tcW w:w="899" w:type="dxa"/>
          </w:tcPr>
          <w:p w14:paraId="19B1F6D2" w14:textId="34E02369" w:rsidR="000C3CC4" w:rsidRDefault="000C3CC4" w:rsidP="0067788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535D22">
              <w:t>16.8</w:t>
            </w:r>
            <w:r>
              <w:t>%</w:t>
            </w:r>
          </w:p>
        </w:tc>
      </w:tr>
      <w:tr w:rsidR="0004266D" w14:paraId="7C18640F" w14:textId="5B569261" w:rsidTr="00677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gridSpan w:val="2"/>
          </w:tcPr>
          <w:p w14:paraId="47C97CE0" w14:textId="77777777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Price/volume</w:t>
            </w:r>
          </w:p>
        </w:tc>
        <w:tc>
          <w:tcPr>
            <w:tcW w:w="1146" w:type="dxa"/>
          </w:tcPr>
          <w:p w14:paraId="17C86A08" w14:textId="4234A725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35D22">
              <w:t>4.69</w:t>
            </w:r>
          </w:p>
        </w:tc>
        <w:tc>
          <w:tcPr>
            <w:tcW w:w="973" w:type="dxa"/>
          </w:tcPr>
          <w:p w14:paraId="7E986169" w14:textId="57E0C4C9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535D22">
              <w:t>3.2</w:t>
            </w:r>
            <w:r>
              <w:t>%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36DDF54D" w14:textId="7AA26AE1" w:rsidR="0004266D" w:rsidRDefault="0004266D" w:rsidP="0048371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535D22">
              <w:t>10.6</w:t>
            </w:r>
            <w:r>
              <w:t>%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233A8701" w14:textId="71249608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535D22">
              <w:t>4.72</w:t>
            </w:r>
          </w:p>
        </w:tc>
        <w:tc>
          <w:tcPr>
            <w:tcW w:w="817" w:type="dxa"/>
          </w:tcPr>
          <w:p w14:paraId="1759FD32" w14:textId="660127C8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535D22">
              <w:t>7.4</w:t>
            </w:r>
            <w:r>
              <w:t>%</w:t>
            </w:r>
          </w:p>
        </w:tc>
        <w:tc>
          <w:tcPr>
            <w:tcW w:w="899" w:type="dxa"/>
          </w:tcPr>
          <w:p w14:paraId="725313BE" w14:textId="4C2434E8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535D22">
              <w:t>13.1</w:t>
            </w:r>
            <w:r w:rsidR="00483711">
              <w:t>%</w:t>
            </w:r>
          </w:p>
        </w:tc>
      </w:tr>
    </w:tbl>
    <w:p w14:paraId="5CF68DB9" w14:textId="77777777" w:rsidR="00170260" w:rsidRDefault="00170260" w:rsidP="00170260">
      <w:pPr>
        <w:pStyle w:val="NoSpacing"/>
      </w:pPr>
    </w:p>
    <w:p w14:paraId="611C2D9A" w14:textId="341BDD27" w:rsidR="00170260" w:rsidRDefault="006636C7" w:rsidP="00170260">
      <w:pPr>
        <w:pStyle w:val="NoSpacing"/>
      </w:pPr>
      <w:r>
        <w:t xml:space="preserve">Promotional activity </w:t>
      </w:r>
      <w:r w:rsidR="00904C5C">
        <w:t xml:space="preserve">increased </w:t>
      </w:r>
      <w:r>
        <w:t>during the latest quad-week period</w:t>
      </w:r>
      <w:r w:rsidR="00FF2D4A">
        <w:t xml:space="preserve">, at </w:t>
      </w:r>
      <w:r w:rsidR="0056284A">
        <w:t>19.2</w:t>
      </w:r>
      <w:r w:rsidR="00FF2D4A">
        <w:t xml:space="preserve">% of total </w:t>
      </w:r>
      <w:r w:rsidR="00085508">
        <w:t xml:space="preserve">fresh mushroom </w:t>
      </w:r>
      <w:r w:rsidR="00FF2D4A">
        <w:t>dollars</w:t>
      </w:r>
      <w:r w:rsidR="004C1DB1">
        <w:t xml:space="preserve"> sold</w:t>
      </w:r>
      <w:r w:rsidR="00E508BB">
        <w:t xml:space="preserve">. Promotional levels </w:t>
      </w:r>
      <w:r w:rsidR="00C9550B">
        <w:t xml:space="preserve">for total fresh produce as well as total food and beverages are also up </w:t>
      </w:r>
      <w:r w:rsidR="004C1DB1">
        <w:t>substantially</w:t>
      </w:r>
      <w:r w:rsidR="00C9550B">
        <w:t xml:space="preserve"> year-on-year, but still below the </w:t>
      </w:r>
      <w:r w:rsidR="00251BBC">
        <w:t>2020</w:t>
      </w:r>
      <w:r w:rsidR="00C9550B">
        <w:t xml:space="preserve"> pre-pandemic levels</w:t>
      </w:r>
      <w:r w:rsidR="00E508BB">
        <w:t xml:space="preserve">. </w:t>
      </w:r>
      <w:r>
        <w:t xml:space="preserve"> </w:t>
      </w:r>
    </w:p>
    <w:p w14:paraId="363D2F2B" w14:textId="77777777" w:rsidR="00170260" w:rsidRDefault="00170260" w:rsidP="00170260">
      <w:pPr>
        <w:pStyle w:val="NoSpacing"/>
      </w:pPr>
    </w:p>
    <w:tbl>
      <w:tblPr>
        <w:tblStyle w:val="ListTable3-Accent2"/>
        <w:tblW w:w="10070" w:type="dxa"/>
        <w:tblLook w:val="04A0" w:firstRow="1" w:lastRow="0" w:firstColumn="1" w:lastColumn="0" w:noHBand="0" w:noVBand="1"/>
      </w:tblPr>
      <w:tblGrid>
        <w:gridCol w:w="3539"/>
        <w:gridCol w:w="397"/>
        <w:gridCol w:w="1342"/>
        <w:gridCol w:w="1369"/>
        <w:gridCol w:w="2054"/>
        <w:gridCol w:w="1369"/>
      </w:tblGrid>
      <w:tr w:rsidR="00972570" w:rsidRPr="00124CB7" w14:paraId="5DFB9CAB" w14:textId="77777777" w:rsidTr="00694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9" w:type="dxa"/>
          </w:tcPr>
          <w:p w14:paraId="4168BC1A" w14:textId="77777777" w:rsidR="00972570" w:rsidRPr="00124CB7" w:rsidRDefault="00972570" w:rsidP="00FF6A85">
            <w:pPr>
              <w:pStyle w:val="NoSpacing"/>
            </w:pPr>
            <w:r w:rsidRPr="00124CB7">
              <w:lastRenderedPageBreak/>
              <w:t>Fresh mushrooms</w:t>
            </w:r>
          </w:p>
        </w:tc>
        <w:tc>
          <w:tcPr>
            <w:tcW w:w="1739" w:type="dxa"/>
            <w:gridSpan w:val="2"/>
          </w:tcPr>
          <w:p w14:paraId="6A0500B8" w14:textId="6DE9E65C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3223C7">
              <w:t>4/23</w:t>
            </w:r>
            <w:r w:rsidR="00EB090C">
              <w:t>/2023</w:t>
            </w:r>
          </w:p>
        </w:tc>
        <w:tc>
          <w:tcPr>
            <w:tcW w:w="1369" w:type="dxa"/>
            <w:tcBorders>
              <w:right w:val="single" w:sz="4" w:space="0" w:color="ED7D31"/>
            </w:tcBorders>
          </w:tcPr>
          <w:p w14:paraId="5CF9736D" w14:textId="00DD2640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  <w:tc>
          <w:tcPr>
            <w:tcW w:w="2054" w:type="dxa"/>
            <w:tcBorders>
              <w:left w:val="single" w:sz="4" w:space="0" w:color="ED7D31"/>
            </w:tcBorders>
          </w:tcPr>
          <w:p w14:paraId="413A4F70" w14:textId="00BF629B" w:rsidR="00972570" w:rsidRPr="00124CB7" w:rsidRDefault="0069405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Latest 52 w.e.</w:t>
            </w:r>
            <w:r w:rsidR="00972570">
              <w:t xml:space="preserve"> </w:t>
            </w:r>
            <w:r w:rsidR="003223C7">
              <w:t>4/23</w:t>
            </w:r>
            <w:r w:rsidR="00EB090C">
              <w:t>/2023</w:t>
            </w:r>
          </w:p>
        </w:tc>
        <w:tc>
          <w:tcPr>
            <w:tcW w:w="1369" w:type="dxa"/>
          </w:tcPr>
          <w:p w14:paraId="75064544" w14:textId="0F8976C1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</w:tr>
      <w:tr w:rsidR="004A50D2" w14:paraId="3B76FFA3" w14:textId="78296325" w:rsidTr="00314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2"/>
          </w:tcPr>
          <w:p w14:paraId="2B5B6C81" w14:textId="6313A9FC" w:rsidR="004A50D2" w:rsidRDefault="004A50D2" w:rsidP="004A50D2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dollars sold on promotion</w:t>
            </w:r>
          </w:p>
        </w:tc>
        <w:tc>
          <w:tcPr>
            <w:tcW w:w="1342" w:type="dxa"/>
            <w:shd w:val="clear" w:color="auto" w:fill="auto"/>
          </w:tcPr>
          <w:p w14:paraId="6D5E5F03" w14:textId="60870172" w:rsidR="004A50D2" w:rsidRPr="006617FB" w:rsidRDefault="00535D22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19.2</w:t>
            </w:r>
            <w:r w:rsidR="004A50D2" w:rsidRPr="006617FB">
              <w:t>%</w:t>
            </w:r>
          </w:p>
        </w:tc>
        <w:tc>
          <w:tcPr>
            <w:tcW w:w="1369" w:type="dxa"/>
            <w:tcBorders>
              <w:right w:val="single" w:sz="4" w:space="0" w:color="ED7D31"/>
            </w:tcBorders>
          </w:tcPr>
          <w:p w14:paraId="586FECBD" w14:textId="72B44C40" w:rsidR="004A50D2" w:rsidRPr="009B0330" w:rsidRDefault="00445779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FF5295">
              <w:t>23.9</w:t>
            </w:r>
            <w:r w:rsidR="004A50D2" w:rsidRPr="009B0330">
              <w:t>%</w:t>
            </w:r>
          </w:p>
        </w:tc>
        <w:tc>
          <w:tcPr>
            <w:tcW w:w="2054" w:type="dxa"/>
            <w:tcBorders>
              <w:left w:val="single" w:sz="4" w:space="0" w:color="ED7D31"/>
            </w:tcBorders>
          </w:tcPr>
          <w:p w14:paraId="66CD7DD9" w14:textId="12527506" w:rsidR="004A50D2" w:rsidRPr="009B0330" w:rsidRDefault="00535D22" w:rsidP="009B033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16.6</w:t>
            </w:r>
            <w:r w:rsidR="004A50D2" w:rsidRPr="009B0330">
              <w:t>%</w:t>
            </w:r>
          </w:p>
        </w:tc>
        <w:tc>
          <w:tcPr>
            <w:tcW w:w="1369" w:type="dxa"/>
            <w:shd w:val="clear" w:color="auto" w:fill="auto"/>
          </w:tcPr>
          <w:p w14:paraId="7461CDF6" w14:textId="1456C3AA" w:rsidR="004A50D2" w:rsidRPr="00314DA1" w:rsidRDefault="00445779" w:rsidP="00145E27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DA1">
              <w:t>+</w:t>
            </w:r>
            <w:r w:rsidR="00FF5295">
              <w:t>12.0</w:t>
            </w:r>
            <w:r w:rsidR="004A50D2" w:rsidRPr="00314DA1">
              <w:t>%</w:t>
            </w:r>
          </w:p>
        </w:tc>
      </w:tr>
    </w:tbl>
    <w:p w14:paraId="23606064" w14:textId="53C88789" w:rsidR="00555250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 xml:space="preserve">Circana, </w:t>
      </w:r>
      <w:r w:rsidRPr="00555250">
        <w:rPr>
          <w:color w:val="7F7F7F" w:themeColor="text1" w:themeTint="80"/>
          <w:sz w:val="16"/>
          <w:szCs w:val="16"/>
        </w:rPr>
        <w:t xml:space="preserve">Integrated Fresh, MULO, </w:t>
      </w:r>
      <w:r w:rsidR="00A657C4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3223C7">
        <w:rPr>
          <w:color w:val="7F7F7F" w:themeColor="text1" w:themeTint="80"/>
          <w:sz w:val="16"/>
          <w:szCs w:val="16"/>
        </w:rPr>
        <w:t>4/23</w:t>
      </w:r>
      <w:r w:rsidR="00EB090C">
        <w:rPr>
          <w:color w:val="7F7F7F" w:themeColor="text1" w:themeTint="80"/>
          <w:sz w:val="16"/>
          <w:szCs w:val="16"/>
        </w:rPr>
        <w:t>/2023</w:t>
      </w:r>
    </w:p>
    <w:p w14:paraId="6CBB9CA7" w14:textId="00F915EB" w:rsidR="0094219B" w:rsidRDefault="0094219B" w:rsidP="00472B02">
      <w:pPr>
        <w:pStyle w:val="NoSpacing"/>
      </w:pPr>
    </w:p>
    <w:p w14:paraId="6ECA980F" w14:textId="1C95F143" w:rsidR="005C6AEE" w:rsidRPr="00927EAC" w:rsidRDefault="005C6AEE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Performance by segment</w:t>
      </w:r>
    </w:p>
    <w:p w14:paraId="3F555681" w14:textId="27EFB042" w:rsidR="00927EAC" w:rsidRDefault="004B7951" w:rsidP="00927EAC">
      <w:pPr>
        <w:pStyle w:val="NoSpacing"/>
      </w:pPr>
      <w:r>
        <w:t>W</w:t>
      </w:r>
      <w:r w:rsidR="00927EAC">
        <w:t>hite mushrooms represent</w:t>
      </w:r>
      <w:r w:rsidR="00461D8C">
        <w:t>ed</w:t>
      </w:r>
      <w:r w:rsidR="00927EAC">
        <w:t xml:space="preserve"> </w:t>
      </w:r>
      <w:r w:rsidR="006E50F3">
        <w:t>53.4</w:t>
      </w:r>
      <w:r w:rsidR="00927EAC">
        <w:t xml:space="preserve">% of </w:t>
      </w:r>
      <w:r w:rsidR="004C1DB1">
        <w:t>mushroom dollars</w:t>
      </w:r>
      <w:r w:rsidR="00927EAC">
        <w:t xml:space="preserve"> and </w:t>
      </w:r>
      <w:r w:rsidR="006E50F3">
        <w:t>60.8</w:t>
      </w:r>
      <w:r w:rsidR="00927EAC">
        <w:t>% of pounds</w:t>
      </w:r>
      <w:r w:rsidR="00AC2C09">
        <w:t xml:space="preserve"> in</w:t>
      </w:r>
      <w:r>
        <w:t xml:space="preserve"> the four</w:t>
      </w:r>
      <w:r w:rsidR="00461D8C">
        <w:t>-week period</w:t>
      </w:r>
      <w:r w:rsidR="00927EAC">
        <w:t xml:space="preserve">. </w:t>
      </w:r>
      <w:r w:rsidR="00904C5C">
        <w:t>Brown mushrooms</w:t>
      </w:r>
      <w:r>
        <w:t>, the combination of cr</w:t>
      </w:r>
      <w:r w:rsidR="002437CE">
        <w:t>i</w:t>
      </w:r>
      <w:r>
        <w:t>minis and portabellas,</w:t>
      </w:r>
      <w:r w:rsidR="00B25DFD">
        <w:t xml:space="preserve"> </w:t>
      </w:r>
      <w:r>
        <w:t>fared better</w:t>
      </w:r>
      <w:r w:rsidR="00904C5C">
        <w:t xml:space="preserve"> than white mushrooms, though both showed volume pressure</w:t>
      </w:r>
      <w:r w:rsidR="004C1DB1">
        <w:t xml:space="preserve">, especially in the light of going up against the early pandemic spikes in 2020. </w:t>
      </w:r>
    </w:p>
    <w:p w14:paraId="29B3DB23" w14:textId="73EA9AE3" w:rsidR="00B25DFD" w:rsidRDefault="00B25DFD" w:rsidP="00927EAC">
      <w:pPr>
        <w:pStyle w:val="NoSpacing"/>
      </w:pPr>
    </w:p>
    <w:tbl>
      <w:tblPr>
        <w:tblStyle w:val="ListTable3-Accent2"/>
        <w:tblW w:w="10615" w:type="dxa"/>
        <w:tblLook w:val="0400" w:firstRow="0" w:lastRow="0" w:firstColumn="0" w:lastColumn="0" w:noHBand="0" w:noVBand="1"/>
      </w:tblPr>
      <w:tblGrid>
        <w:gridCol w:w="2821"/>
        <w:gridCol w:w="1025"/>
        <w:gridCol w:w="882"/>
        <w:gridCol w:w="1011"/>
        <w:gridCol w:w="989"/>
        <w:gridCol w:w="927"/>
        <w:gridCol w:w="890"/>
        <w:gridCol w:w="1080"/>
        <w:gridCol w:w="990"/>
      </w:tblGrid>
      <w:tr w:rsidR="00D8225F" w:rsidRPr="00B25DFD" w14:paraId="66036A96" w14:textId="09558220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shd w:val="clear" w:color="auto" w:fill="ED7D31" w:themeFill="accent2"/>
            <w:vAlign w:val="center"/>
            <w:hideMark/>
          </w:tcPr>
          <w:p w14:paraId="4B138C18" w14:textId="44872F75" w:rsidR="00461D8C" w:rsidRPr="006A7A6E" w:rsidRDefault="00461D8C" w:rsidP="00CE27CF">
            <w:pPr>
              <w:pStyle w:val="NoSpacing"/>
              <w:rPr>
                <w:rFonts w:cstheme="minorHAnsi"/>
                <w:b/>
                <w:bCs/>
                <w:color w:val="FFFFFF" w:themeColor="background1"/>
              </w:rPr>
            </w:pPr>
            <w:bookmarkStart w:id="0" w:name="_Hlk97115006"/>
            <w:r w:rsidRPr="006A7A6E">
              <w:rPr>
                <w:rFonts w:cstheme="minorHAnsi"/>
                <w:b/>
                <w:bCs/>
                <w:color w:val="FFFFFF" w:themeColor="background1"/>
              </w:rPr>
              <w:t xml:space="preserve">4 weeks ending </w:t>
            </w:r>
            <w:r w:rsidR="003223C7">
              <w:rPr>
                <w:rFonts w:cstheme="minorHAnsi"/>
                <w:b/>
                <w:bCs/>
                <w:color w:val="FFFFFF" w:themeColor="background1"/>
              </w:rPr>
              <w:t>4/23</w:t>
            </w:r>
            <w:r w:rsidR="00EB090C">
              <w:rPr>
                <w:rFonts w:cstheme="minorHAnsi"/>
                <w:b/>
                <w:bCs/>
                <w:color w:val="FFFFFF" w:themeColor="background1"/>
              </w:rPr>
              <w:t>/2023</w:t>
            </w:r>
          </w:p>
        </w:tc>
        <w:tc>
          <w:tcPr>
            <w:tcW w:w="1025" w:type="dxa"/>
            <w:shd w:val="clear" w:color="auto" w:fill="ED7D31" w:themeFill="accent2"/>
            <w:hideMark/>
          </w:tcPr>
          <w:p w14:paraId="47F253CD" w14:textId="6F53405A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Dollars</w:t>
            </w:r>
          </w:p>
        </w:tc>
        <w:tc>
          <w:tcPr>
            <w:tcW w:w="882" w:type="dxa"/>
            <w:shd w:val="clear" w:color="auto" w:fill="ED7D31" w:themeFill="accent2"/>
          </w:tcPr>
          <w:p w14:paraId="385A94D8" w14:textId="1A4D75AA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Dollar 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1011" w:type="dxa"/>
            <w:shd w:val="clear" w:color="auto" w:fill="ED7D31" w:themeFill="accent2"/>
            <w:hideMark/>
          </w:tcPr>
          <w:p w14:paraId="3685CC92" w14:textId="5F7AA071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2022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shd w:val="clear" w:color="auto" w:fill="ED7D31" w:themeFill="accent2"/>
            <w:hideMark/>
          </w:tcPr>
          <w:p w14:paraId="4605C27F" w14:textId="0095037F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2020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shd w:val="clear" w:color="auto" w:fill="ED7D31" w:themeFill="accent2"/>
          </w:tcPr>
          <w:p w14:paraId="306DC338" w14:textId="78470F88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Volume</w:t>
            </w:r>
            <w:r w:rsidR="00D8225F">
              <w:rPr>
                <w:rFonts w:cstheme="minorHAnsi"/>
                <w:b/>
                <w:bCs/>
                <w:color w:val="FFFFFF" w:themeColor="background1"/>
              </w:rPr>
              <w:t xml:space="preserve"> (lbs)</w:t>
            </w:r>
          </w:p>
        </w:tc>
        <w:tc>
          <w:tcPr>
            <w:tcW w:w="890" w:type="dxa"/>
            <w:shd w:val="clear" w:color="auto" w:fill="ED7D31" w:themeFill="accent2"/>
          </w:tcPr>
          <w:p w14:paraId="782C6C5A" w14:textId="3EB1CA01" w:rsidR="00D8225F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</w:p>
          <w:p w14:paraId="60FA614A" w14:textId="53D11403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1080" w:type="dxa"/>
            <w:shd w:val="clear" w:color="auto" w:fill="ED7D31" w:themeFill="accent2"/>
          </w:tcPr>
          <w:p w14:paraId="7DE6FAA8" w14:textId="407FBFD8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Lbs </w:t>
            </w:r>
            <w:r>
              <w:rPr>
                <w:rFonts w:cstheme="minorHAnsi"/>
                <w:b/>
                <w:bCs/>
                <w:color w:val="FFFFFF" w:themeColor="background1"/>
              </w:rPr>
              <w:br/>
              <w:t>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2022</w:t>
            </w:r>
          </w:p>
        </w:tc>
        <w:tc>
          <w:tcPr>
            <w:tcW w:w="990" w:type="dxa"/>
            <w:shd w:val="clear" w:color="auto" w:fill="ED7D31" w:themeFill="accent2"/>
          </w:tcPr>
          <w:p w14:paraId="212AEB88" w14:textId="5FC08CEC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Lbs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2020</w:t>
            </w:r>
          </w:p>
        </w:tc>
      </w:tr>
      <w:tr w:rsidR="00D8225F" w:rsidRPr="00B25DFD" w14:paraId="69D4AA5B" w14:textId="069A747C" w:rsidTr="00D97BC7">
        <w:trPr>
          <w:trHeight w:val="20"/>
        </w:trPr>
        <w:tc>
          <w:tcPr>
            <w:tcW w:w="2821" w:type="dxa"/>
            <w:vAlign w:val="center"/>
            <w:hideMark/>
          </w:tcPr>
          <w:p w14:paraId="2C1CDE46" w14:textId="178D4679" w:rsidR="00461D8C" w:rsidRPr="006A7A6E" w:rsidRDefault="00461D8C" w:rsidP="002F23A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 f</w:t>
            </w:r>
            <w:r w:rsidRPr="006A7A6E">
              <w:rPr>
                <w:rFonts w:cstheme="minorHAnsi"/>
                <w:b/>
                <w:bCs/>
              </w:rPr>
              <w:t>resh mushrooms</w:t>
            </w:r>
          </w:p>
        </w:tc>
        <w:tc>
          <w:tcPr>
            <w:tcW w:w="1025" w:type="dxa"/>
            <w:hideMark/>
          </w:tcPr>
          <w:p w14:paraId="6A87FED7" w14:textId="14C2936A" w:rsidR="00461D8C" w:rsidRPr="006A7A6E" w:rsidRDefault="00461D8C" w:rsidP="00677889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$</w:t>
            </w:r>
            <w:r w:rsidR="006E50F3">
              <w:rPr>
                <w:rFonts w:cstheme="minorHAnsi"/>
                <w:b/>
                <w:bCs/>
                <w:color w:val="000000" w:themeColor="text1"/>
              </w:rPr>
              <w:t>91.8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3A01C257" w14:textId="5BC053CF" w:rsidR="00461D8C" w:rsidRPr="006A7A6E" w:rsidRDefault="003223C7" w:rsidP="002F23A1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</w:t>
            </w:r>
            <w:r w:rsidR="00461D8C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011" w:type="dxa"/>
            <w:hideMark/>
          </w:tcPr>
          <w:p w14:paraId="7E486F05" w14:textId="39C126E3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6E50F3">
              <w:rPr>
                <w:rFonts w:cstheme="minorHAnsi"/>
                <w:b/>
                <w:bCs/>
                <w:color w:val="000000" w:themeColor="text1"/>
              </w:rPr>
              <w:t>7.8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3BD808C1" w14:textId="47DA6706" w:rsidR="00461D8C" w:rsidRPr="006A7A6E" w:rsidRDefault="00EB090C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6E50F3">
              <w:rPr>
                <w:rFonts w:cstheme="minorHAnsi"/>
                <w:b/>
                <w:bCs/>
                <w:color w:val="000000" w:themeColor="text1"/>
              </w:rPr>
              <w:t>21.8</w:t>
            </w:r>
            <w:r w:rsidR="00461D8C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E7375BC" w14:textId="69CA38E5" w:rsidR="00461D8C" w:rsidRPr="006A7A6E" w:rsidRDefault="006E50F3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19.6</w:t>
            </w:r>
            <w:r w:rsidR="00461D8C"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62317D86" w14:textId="460A43AB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100.0%</w:t>
            </w:r>
          </w:p>
        </w:tc>
        <w:tc>
          <w:tcPr>
            <w:tcW w:w="1080" w:type="dxa"/>
          </w:tcPr>
          <w:p w14:paraId="5E78B271" w14:textId="1B2A597E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6E50F3">
              <w:rPr>
                <w:rFonts w:cstheme="minorHAnsi"/>
                <w:b/>
                <w:bCs/>
                <w:color w:val="000000" w:themeColor="text1"/>
              </w:rPr>
              <w:t>10.6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576290B6" w14:textId="01751783" w:rsidR="00461D8C" w:rsidRPr="006A7A6E" w:rsidRDefault="006F1F55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6E50F3">
              <w:rPr>
                <w:rFonts w:cstheme="minorHAnsi"/>
                <w:b/>
                <w:bCs/>
                <w:color w:val="000000" w:themeColor="text1"/>
              </w:rPr>
              <w:t>29.3</w:t>
            </w:r>
            <w:r w:rsidR="00461D8C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</w:tr>
      <w:tr w:rsidR="0004266D" w:rsidRPr="00B25DFD" w14:paraId="20B4A675" w14:textId="7B567306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vAlign w:val="center"/>
            <w:hideMark/>
          </w:tcPr>
          <w:p w14:paraId="0674F69D" w14:textId="21733F06" w:rsidR="0004266D" w:rsidRPr="006A7A6E" w:rsidRDefault="0004266D" w:rsidP="0004266D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White mushrooms</w:t>
            </w:r>
          </w:p>
        </w:tc>
        <w:tc>
          <w:tcPr>
            <w:tcW w:w="1025" w:type="dxa"/>
            <w:hideMark/>
          </w:tcPr>
          <w:p w14:paraId="502595AA" w14:textId="1AF52CF3" w:rsidR="0004266D" w:rsidRPr="002F23A1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6E50F3">
              <w:rPr>
                <w:rFonts w:cstheme="minorHAnsi"/>
                <w:color w:val="000000" w:themeColor="text1"/>
              </w:rPr>
              <w:t>45.6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5E770B3E" w14:textId="1C2691D9" w:rsidR="0004266D" w:rsidRPr="00D96AEE" w:rsidRDefault="006E50F3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53.4</w:t>
            </w:r>
            <w:r w:rsidR="0004266D" w:rsidRPr="00D96AEE">
              <w:rPr>
                <w:rFonts w:cstheme="minorHAnsi"/>
              </w:rPr>
              <w:t>%</w:t>
            </w:r>
          </w:p>
        </w:tc>
        <w:tc>
          <w:tcPr>
            <w:tcW w:w="1011" w:type="dxa"/>
            <w:hideMark/>
          </w:tcPr>
          <w:p w14:paraId="4CEB702D" w14:textId="1422D6C3" w:rsidR="0004266D" w:rsidRPr="00D96AEE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D96AEE">
              <w:rPr>
                <w:rFonts w:cstheme="minorHAnsi"/>
                <w:color w:val="000000" w:themeColor="text1"/>
              </w:rPr>
              <w:t>-</w:t>
            </w:r>
            <w:r w:rsidR="006E50F3">
              <w:rPr>
                <w:rFonts w:cstheme="minorHAnsi"/>
                <w:color w:val="000000" w:themeColor="text1"/>
              </w:rPr>
              <w:t>14.2</w:t>
            </w:r>
            <w:r w:rsidRPr="00D96AEE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7F3B4AE1" w14:textId="56129D82" w:rsidR="0004266D" w:rsidRPr="0004266D" w:rsidRDefault="00445779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6E50F3">
              <w:rPr>
                <w:rFonts w:cstheme="minorHAnsi"/>
                <w:color w:val="000000" w:themeColor="text1"/>
              </w:rPr>
              <w:t>31.9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3E87B660" w14:textId="7724C45C" w:rsidR="0004266D" w:rsidRPr="0004266D" w:rsidRDefault="006E50F3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11.3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4385ED4A" w14:textId="5C00DDCD" w:rsidR="0004266D" w:rsidRPr="00337F18" w:rsidRDefault="006E50F3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60.8</w:t>
            </w:r>
            <w:r w:rsidR="0004266D" w:rsidRPr="00D96AEE">
              <w:rPr>
                <w:rFonts w:cstheme="minorHAnsi"/>
              </w:rPr>
              <w:t>%</w:t>
            </w:r>
          </w:p>
        </w:tc>
        <w:tc>
          <w:tcPr>
            <w:tcW w:w="1080" w:type="dxa"/>
          </w:tcPr>
          <w:p w14:paraId="776C4AD3" w14:textId="3BBBF35E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6E50F3">
              <w:rPr>
                <w:rFonts w:cstheme="minorHAnsi"/>
                <w:color w:val="000000" w:themeColor="text1"/>
              </w:rPr>
              <w:t>15.6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107F8B93" w14:textId="239A21A7" w:rsidR="0004266D" w:rsidRPr="00D96AEE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D96AEE">
              <w:rPr>
                <w:rFonts w:cstheme="minorHAnsi"/>
                <w:color w:val="000000" w:themeColor="text1"/>
              </w:rPr>
              <w:t>-</w:t>
            </w:r>
            <w:r w:rsidR="006E50F3">
              <w:rPr>
                <w:rFonts w:cstheme="minorHAnsi"/>
                <w:color w:val="000000" w:themeColor="text1"/>
              </w:rPr>
              <w:t>36.4</w:t>
            </w:r>
            <w:r w:rsidRPr="00D96AEE">
              <w:rPr>
                <w:rFonts w:cstheme="minorHAnsi"/>
                <w:color w:val="000000" w:themeColor="text1"/>
              </w:rPr>
              <w:t>%</w:t>
            </w:r>
          </w:p>
        </w:tc>
      </w:tr>
      <w:tr w:rsidR="0004266D" w:rsidRPr="00B25DFD" w14:paraId="6060C93B" w14:textId="081A30E4" w:rsidTr="00D97BC7">
        <w:trPr>
          <w:trHeight w:val="20"/>
        </w:trPr>
        <w:tc>
          <w:tcPr>
            <w:tcW w:w="2821" w:type="dxa"/>
            <w:vAlign w:val="center"/>
            <w:hideMark/>
          </w:tcPr>
          <w:p w14:paraId="4D628EC6" w14:textId="7F1F9492" w:rsidR="0004266D" w:rsidRPr="006A7A6E" w:rsidRDefault="0004266D" w:rsidP="0004266D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Brown mushrooms</w:t>
            </w:r>
          </w:p>
        </w:tc>
        <w:tc>
          <w:tcPr>
            <w:tcW w:w="1025" w:type="dxa"/>
            <w:hideMark/>
          </w:tcPr>
          <w:p w14:paraId="590C2B94" w14:textId="28DF6E91" w:rsidR="0004266D" w:rsidRPr="002F23A1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6E50F3">
              <w:rPr>
                <w:rFonts w:cstheme="minorHAnsi"/>
                <w:color w:val="000000" w:themeColor="text1"/>
              </w:rPr>
              <w:t>40.6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02395440" w14:textId="3941C1D1" w:rsidR="0004266D" w:rsidRPr="00337F18" w:rsidRDefault="006E50F3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41.1</w:t>
            </w:r>
            <w:r w:rsidR="0004266D" w:rsidRPr="00337F18">
              <w:rPr>
                <w:rFonts w:cstheme="minorHAnsi"/>
              </w:rPr>
              <w:t>%</w:t>
            </w:r>
          </w:p>
        </w:tc>
        <w:tc>
          <w:tcPr>
            <w:tcW w:w="1011" w:type="dxa"/>
            <w:hideMark/>
          </w:tcPr>
          <w:p w14:paraId="42F0AAF3" w14:textId="7FF0635A" w:rsidR="0004266D" w:rsidRPr="0004266D" w:rsidRDefault="006E50F3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-0.6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25DB127B" w14:textId="71488322" w:rsidR="0004266D" w:rsidRPr="0004266D" w:rsidRDefault="003223C7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6E50F3">
              <w:rPr>
                <w:rFonts w:cstheme="minorHAnsi"/>
                <w:color w:val="000000" w:themeColor="text1"/>
              </w:rPr>
              <w:t>8.7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FD24DED" w14:textId="741B658C" w:rsidR="0004266D" w:rsidRPr="0004266D" w:rsidRDefault="006E50F3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7.9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39529C18" w14:textId="7689B4DC" w:rsidR="0004266D" w:rsidRPr="00337F18" w:rsidRDefault="006E50F3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37.3</w:t>
            </w:r>
            <w:r w:rsidR="0004266D" w:rsidRPr="00337F18">
              <w:rPr>
                <w:rFonts w:cstheme="minorHAnsi"/>
              </w:rPr>
              <w:t>%</w:t>
            </w:r>
          </w:p>
        </w:tc>
        <w:tc>
          <w:tcPr>
            <w:tcW w:w="1080" w:type="dxa"/>
          </w:tcPr>
          <w:p w14:paraId="720478A7" w14:textId="575B5080" w:rsidR="0004266D" w:rsidRPr="0004266D" w:rsidRDefault="00EB090C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6E50F3">
              <w:rPr>
                <w:rFonts w:cstheme="minorHAnsi"/>
                <w:color w:val="000000" w:themeColor="text1"/>
              </w:rPr>
              <w:t>2.9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30958CBD" w14:textId="77A04A62" w:rsidR="0004266D" w:rsidRPr="00D96AEE" w:rsidRDefault="003223C7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6E50F3">
              <w:rPr>
                <w:rFonts w:cstheme="minorHAnsi"/>
                <w:color w:val="000000" w:themeColor="text1"/>
              </w:rPr>
              <w:t>16.9</w:t>
            </w:r>
            <w:r w:rsidR="0004266D" w:rsidRPr="00D96AEE">
              <w:rPr>
                <w:rFonts w:cstheme="minorHAnsi"/>
                <w:color w:val="000000" w:themeColor="text1"/>
              </w:rPr>
              <w:t>%</w:t>
            </w:r>
          </w:p>
        </w:tc>
      </w:tr>
      <w:tr w:rsidR="0004266D" w:rsidRPr="00B25DFD" w14:paraId="2B6B448E" w14:textId="7445020D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vAlign w:val="center"/>
            <w:hideMark/>
          </w:tcPr>
          <w:p w14:paraId="7C14C062" w14:textId="0BCE1D26" w:rsidR="0004266D" w:rsidRPr="006A7A6E" w:rsidRDefault="0004266D" w:rsidP="000426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Specialty </w:t>
            </w:r>
            <w:r w:rsidRPr="006A7A6E">
              <w:rPr>
                <w:rFonts w:cstheme="minorHAnsi"/>
              </w:rPr>
              <w:t>mushrooms</w:t>
            </w:r>
          </w:p>
        </w:tc>
        <w:tc>
          <w:tcPr>
            <w:tcW w:w="1025" w:type="dxa"/>
            <w:hideMark/>
          </w:tcPr>
          <w:p w14:paraId="43257BA5" w14:textId="5804C86C" w:rsidR="0004266D" w:rsidRPr="002F23A1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6E50F3">
              <w:rPr>
                <w:rFonts w:cstheme="minorHAnsi"/>
                <w:color w:val="000000" w:themeColor="text1"/>
              </w:rPr>
              <w:t>5.6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7EC04D31" w14:textId="6543E4ED" w:rsidR="0004266D" w:rsidRPr="00337F18" w:rsidRDefault="006E50F3" w:rsidP="00337F1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5.6</w:t>
            </w:r>
            <w:r w:rsidR="0004266D" w:rsidRPr="00337F18">
              <w:rPr>
                <w:rFonts w:cstheme="minorHAnsi"/>
              </w:rPr>
              <w:t>%</w:t>
            </w:r>
          </w:p>
        </w:tc>
        <w:tc>
          <w:tcPr>
            <w:tcW w:w="1011" w:type="dxa"/>
            <w:hideMark/>
          </w:tcPr>
          <w:p w14:paraId="10052F27" w14:textId="43A8F631" w:rsidR="0004266D" w:rsidRPr="0004266D" w:rsidRDefault="006E50F3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+1.0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31EEA636" w14:textId="14691197" w:rsidR="0004266D" w:rsidRPr="0004266D" w:rsidRDefault="003223C7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6E50F3">
              <w:rPr>
                <w:rFonts w:cstheme="minorHAnsi"/>
                <w:color w:val="000000" w:themeColor="text1"/>
              </w:rPr>
              <w:t>4.9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166CB34C" w14:textId="57B2BA30" w:rsidR="0004266D" w:rsidRPr="0004266D" w:rsidRDefault="006E50F3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0.4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417DE33D" w14:textId="28101068" w:rsidR="0004266D" w:rsidRPr="00337F18" w:rsidRDefault="006E50F3" w:rsidP="00337F1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1.9</w:t>
            </w:r>
            <w:r w:rsidR="00337F18" w:rsidRPr="00337F18">
              <w:rPr>
                <w:rFonts w:cstheme="minorHAnsi"/>
              </w:rPr>
              <w:t>%</w:t>
            </w:r>
          </w:p>
        </w:tc>
        <w:tc>
          <w:tcPr>
            <w:tcW w:w="1080" w:type="dxa"/>
          </w:tcPr>
          <w:p w14:paraId="632726C6" w14:textId="3D21950F" w:rsidR="0004266D" w:rsidRPr="0004266D" w:rsidRDefault="00EB090C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6E50F3">
              <w:rPr>
                <w:rFonts w:cstheme="minorHAnsi"/>
                <w:color w:val="000000" w:themeColor="text1"/>
              </w:rPr>
              <w:t>2.3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700774A9" w14:textId="6E9F085B" w:rsidR="0004266D" w:rsidRPr="0004266D" w:rsidRDefault="00445779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6E50F3">
              <w:rPr>
                <w:rFonts w:cstheme="minorHAnsi"/>
                <w:color w:val="000000" w:themeColor="text1"/>
              </w:rPr>
              <w:t>13.0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</w:tbl>
    <w:bookmarkEnd w:id="0"/>
    <w:p w14:paraId="45617577" w14:textId="472D48D9" w:rsidR="00555250" w:rsidRPr="00555250" w:rsidRDefault="00555250" w:rsidP="00782D09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>Circana</w:t>
      </w:r>
      <w:r w:rsidRPr="00555250">
        <w:rPr>
          <w:color w:val="7F7F7F" w:themeColor="text1" w:themeTint="80"/>
          <w:sz w:val="16"/>
          <w:szCs w:val="16"/>
        </w:rPr>
        <w:t xml:space="preserve">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3223C7">
        <w:rPr>
          <w:color w:val="7F7F7F" w:themeColor="text1" w:themeTint="80"/>
          <w:sz w:val="16"/>
          <w:szCs w:val="16"/>
        </w:rPr>
        <w:t>4/23</w:t>
      </w:r>
      <w:r w:rsidR="00EB090C">
        <w:rPr>
          <w:color w:val="7F7F7F" w:themeColor="text1" w:themeTint="80"/>
          <w:sz w:val="16"/>
          <w:szCs w:val="16"/>
        </w:rPr>
        <w:t>/2023</w:t>
      </w:r>
    </w:p>
    <w:p w14:paraId="0804BC52" w14:textId="568E8254" w:rsidR="0092088E" w:rsidRDefault="0092088E" w:rsidP="00472B02">
      <w:pPr>
        <w:pStyle w:val="NoSpacing"/>
      </w:pPr>
    </w:p>
    <w:p w14:paraId="59E70896" w14:textId="52CB107E" w:rsidR="004C2808" w:rsidRPr="004462C1" w:rsidRDefault="004C2808" w:rsidP="004462C1">
      <w:pPr>
        <w:pStyle w:val="Heading2"/>
        <w:rPr>
          <w:b/>
          <w:bCs/>
          <w:color w:val="ED7D31" w:themeColor="accent2"/>
        </w:rPr>
      </w:pPr>
      <w:r w:rsidRPr="004462C1">
        <w:rPr>
          <w:b/>
          <w:bCs/>
          <w:color w:val="ED7D31" w:themeColor="accent2"/>
        </w:rPr>
        <w:t>Additional observations:</w:t>
      </w:r>
    </w:p>
    <w:p w14:paraId="22421914" w14:textId="79EEAA2E" w:rsidR="00C9550B" w:rsidRDefault="00C9550B" w:rsidP="00174F0E">
      <w:pPr>
        <w:pStyle w:val="NoSpacing"/>
        <w:numPr>
          <w:ilvl w:val="0"/>
          <w:numId w:val="2"/>
        </w:numPr>
      </w:pPr>
      <w:r w:rsidRPr="00C9550B">
        <w:rPr>
          <w:u w:val="single"/>
        </w:rPr>
        <w:t>Package size</w:t>
      </w:r>
      <w:r w:rsidRPr="003045B7">
        <w:t>:</w:t>
      </w:r>
      <w:r>
        <w:t xml:space="preserve"> Eight-ounce packages are, by far, the biggest seller and </w:t>
      </w:r>
      <w:r w:rsidR="00030ABF">
        <w:t>is outperforming 16 ounces in growth</w:t>
      </w:r>
      <w:r>
        <w:t>.</w:t>
      </w:r>
    </w:p>
    <w:p w14:paraId="0C66834A" w14:textId="5D757539" w:rsidR="00EB30C7" w:rsidRDefault="004462C1" w:rsidP="00174F0E">
      <w:pPr>
        <w:pStyle w:val="NoSpacing"/>
        <w:numPr>
          <w:ilvl w:val="0"/>
          <w:numId w:val="2"/>
        </w:numPr>
      </w:pPr>
      <w:r w:rsidRPr="00C9550B">
        <w:rPr>
          <w:u w:val="single"/>
        </w:rPr>
        <w:t>Organic vs</w:t>
      </w:r>
      <w:r w:rsidR="005B6968" w:rsidRPr="00C9550B">
        <w:rPr>
          <w:u w:val="single"/>
        </w:rPr>
        <w:t>.</w:t>
      </w:r>
      <w:r w:rsidRPr="00C9550B">
        <w:rPr>
          <w:u w:val="single"/>
        </w:rPr>
        <w:t xml:space="preserve"> conventional</w:t>
      </w:r>
      <w:r w:rsidRPr="004462C1">
        <w:t>:</w:t>
      </w:r>
      <w:r>
        <w:t xml:space="preserve"> Organic </w:t>
      </w:r>
      <w:r w:rsidR="005B6968">
        <w:t xml:space="preserve">mushrooms </w:t>
      </w:r>
      <w:r>
        <w:t xml:space="preserve">made up </w:t>
      </w:r>
      <w:r w:rsidR="006E50F3">
        <w:t>10.7</w:t>
      </w:r>
      <w:r>
        <w:t xml:space="preserve">% of </w:t>
      </w:r>
      <w:r w:rsidR="00BE7EF2">
        <w:t xml:space="preserve">pounds </w:t>
      </w:r>
      <w:r w:rsidR="004C1DB1">
        <w:t>and are seeing dollar growth</w:t>
      </w:r>
      <w:r w:rsidR="005B6968">
        <w:t xml:space="preserve">. </w:t>
      </w:r>
    </w:p>
    <w:p w14:paraId="3D702F4A" w14:textId="7E1F028A" w:rsidR="003045B7" w:rsidRDefault="004462C1" w:rsidP="00C81CBF">
      <w:pPr>
        <w:pStyle w:val="NoSpacing"/>
        <w:numPr>
          <w:ilvl w:val="0"/>
          <w:numId w:val="2"/>
        </w:numPr>
      </w:pPr>
      <w:r w:rsidRPr="00EB30C7">
        <w:rPr>
          <w:u w:val="single"/>
        </w:rPr>
        <w:t>Cut/prepared versus whole mushrooms</w:t>
      </w:r>
      <w:r>
        <w:t xml:space="preserve">: </w:t>
      </w:r>
      <w:r w:rsidR="0090410F">
        <w:t>Cut</w:t>
      </w:r>
      <w:r w:rsidR="00BE7EF2">
        <w:t xml:space="preserve"> or </w:t>
      </w:r>
      <w:r w:rsidR="00BE7EF2" w:rsidRPr="00314DA1">
        <w:t xml:space="preserve">prepared mushrooms made up </w:t>
      </w:r>
      <w:r w:rsidR="006E50F3">
        <w:t>46.2</w:t>
      </w:r>
      <w:r w:rsidR="0090410F" w:rsidRPr="00314DA1">
        <w:t xml:space="preserve">% of </w:t>
      </w:r>
      <w:r w:rsidR="00C9550B" w:rsidRPr="00314DA1">
        <w:t xml:space="preserve">pound </w:t>
      </w:r>
      <w:r w:rsidR="0090410F" w:rsidRPr="00314DA1">
        <w:t xml:space="preserve">sales in </w:t>
      </w:r>
      <w:r w:rsidR="00BF5D9C" w:rsidRPr="00314DA1">
        <w:t>the four</w:t>
      </w:r>
      <w:r w:rsidR="00461D8C" w:rsidRPr="00314DA1">
        <w:t>-week period</w:t>
      </w:r>
      <w:r w:rsidR="00A51F5B" w:rsidRPr="00314DA1">
        <w:t>. Mushrooms without preparation had the better performance</w:t>
      </w:r>
      <w:r w:rsidR="00347E3A" w:rsidRPr="00314DA1">
        <w:t>.</w:t>
      </w:r>
    </w:p>
    <w:p w14:paraId="5DBFDF80" w14:textId="724FAFE8" w:rsidR="00B34EF7" w:rsidRPr="00B34EF7" w:rsidRDefault="00782D09" w:rsidP="00C9550B">
      <w:pPr>
        <w:pStyle w:val="NoSpacing"/>
      </w:pPr>
      <w:r w:rsidRPr="00EB30C7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>Circana</w:t>
      </w:r>
      <w:r w:rsidRPr="00EB30C7">
        <w:rPr>
          <w:color w:val="7F7F7F" w:themeColor="text1" w:themeTint="80"/>
          <w:sz w:val="16"/>
          <w:szCs w:val="16"/>
        </w:rPr>
        <w:t xml:space="preserve">, Integrated Fresh, MULO, </w:t>
      </w:r>
      <w:r w:rsidR="004B7951" w:rsidRPr="00EB30C7">
        <w:rPr>
          <w:color w:val="7F7F7F" w:themeColor="text1" w:themeTint="80"/>
          <w:sz w:val="16"/>
          <w:szCs w:val="16"/>
        </w:rPr>
        <w:t>4</w:t>
      </w:r>
      <w:r w:rsidRPr="00EB30C7">
        <w:rPr>
          <w:color w:val="7F7F7F" w:themeColor="text1" w:themeTint="80"/>
          <w:sz w:val="16"/>
          <w:szCs w:val="16"/>
        </w:rPr>
        <w:t xml:space="preserve"> weeks ending </w:t>
      </w:r>
      <w:r w:rsidR="003223C7">
        <w:rPr>
          <w:color w:val="7F7F7F" w:themeColor="text1" w:themeTint="80"/>
          <w:sz w:val="16"/>
          <w:szCs w:val="16"/>
        </w:rPr>
        <w:t>4/23</w:t>
      </w:r>
      <w:r w:rsidR="00EB090C">
        <w:rPr>
          <w:color w:val="7F7F7F" w:themeColor="text1" w:themeTint="80"/>
          <w:sz w:val="16"/>
          <w:szCs w:val="16"/>
        </w:rPr>
        <w:t>/2023</w:t>
      </w:r>
      <w:r w:rsidR="00B34EF7">
        <w:t xml:space="preserve"> </w:t>
      </w:r>
    </w:p>
    <w:sectPr w:rsidR="00B34EF7" w:rsidRPr="00B34EF7" w:rsidSect="005049A9">
      <w:pgSz w:w="12240" w:h="15840"/>
      <w:pgMar w:top="720" w:right="108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E75F2"/>
    <w:multiLevelType w:val="hybridMultilevel"/>
    <w:tmpl w:val="3E080B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106E38"/>
    <w:multiLevelType w:val="hybridMultilevel"/>
    <w:tmpl w:val="682851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0C5748"/>
    <w:multiLevelType w:val="hybridMultilevel"/>
    <w:tmpl w:val="6DF848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FC3B04"/>
    <w:multiLevelType w:val="hybridMultilevel"/>
    <w:tmpl w:val="7F3CC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260834"/>
    <w:multiLevelType w:val="hybridMultilevel"/>
    <w:tmpl w:val="E3142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97271D"/>
    <w:multiLevelType w:val="hybridMultilevel"/>
    <w:tmpl w:val="6812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309E8"/>
    <w:multiLevelType w:val="hybridMultilevel"/>
    <w:tmpl w:val="0F663C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185B61"/>
    <w:multiLevelType w:val="hybridMultilevel"/>
    <w:tmpl w:val="E54C3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39032F"/>
    <w:multiLevelType w:val="hybridMultilevel"/>
    <w:tmpl w:val="2C6C9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C266F7"/>
    <w:multiLevelType w:val="hybridMultilevel"/>
    <w:tmpl w:val="AB3EF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1B0A5F"/>
    <w:multiLevelType w:val="hybridMultilevel"/>
    <w:tmpl w:val="20560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BC79E5"/>
    <w:multiLevelType w:val="hybridMultilevel"/>
    <w:tmpl w:val="36A25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7742611">
    <w:abstractNumId w:val="5"/>
  </w:num>
  <w:num w:numId="2" w16cid:durableId="1372728414">
    <w:abstractNumId w:val="6"/>
  </w:num>
  <w:num w:numId="3" w16cid:durableId="1701122755">
    <w:abstractNumId w:val="8"/>
  </w:num>
  <w:num w:numId="4" w16cid:durableId="652493141">
    <w:abstractNumId w:val="3"/>
  </w:num>
  <w:num w:numId="5" w16cid:durableId="1938370069">
    <w:abstractNumId w:val="11"/>
  </w:num>
  <w:num w:numId="6" w16cid:durableId="1412433839">
    <w:abstractNumId w:val="7"/>
  </w:num>
  <w:num w:numId="7" w16cid:durableId="1855269113">
    <w:abstractNumId w:val="4"/>
  </w:num>
  <w:num w:numId="8" w16cid:durableId="1083114151">
    <w:abstractNumId w:val="2"/>
  </w:num>
  <w:num w:numId="9" w16cid:durableId="222523648">
    <w:abstractNumId w:val="0"/>
  </w:num>
  <w:num w:numId="10" w16cid:durableId="1314869853">
    <w:abstractNumId w:val="10"/>
  </w:num>
  <w:num w:numId="11" w16cid:durableId="1435054301">
    <w:abstractNumId w:val="1"/>
  </w:num>
  <w:num w:numId="12" w16cid:durableId="17085275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F7"/>
    <w:rsid w:val="00030ABF"/>
    <w:rsid w:val="00035D16"/>
    <w:rsid w:val="0004266D"/>
    <w:rsid w:val="0005390A"/>
    <w:rsid w:val="0007328F"/>
    <w:rsid w:val="000809C3"/>
    <w:rsid w:val="00085508"/>
    <w:rsid w:val="00085F10"/>
    <w:rsid w:val="000A4146"/>
    <w:rsid w:val="000C1DF9"/>
    <w:rsid w:val="000C29FA"/>
    <w:rsid w:val="000C3CC4"/>
    <w:rsid w:val="000D5A69"/>
    <w:rsid w:val="000D7A79"/>
    <w:rsid w:val="000E2A1D"/>
    <w:rsid w:val="000E61FF"/>
    <w:rsid w:val="001055A7"/>
    <w:rsid w:val="001119BD"/>
    <w:rsid w:val="00113A33"/>
    <w:rsid w:val="00124C8B"/>
    <w:rsid w:val="00124CB7"/>
    <w:rsid w:val="00133971"/>
    <w:rsid w:val="00145E27"/>
    <w:rsid w:val="00164656"/>
    <w:rsid w:val="00170260"/>
    <w:rsid w:val="001A4D44"/>
    <w:rsid w:val="001A601E"/>
    <w:rsid w:val="001B18A2"/>
    <w:rsid w:val="001B762B"/>
    <w:rsid w:val="001D16CA"/>
    <w:rsid w:val="001D2675"/>
    <w:rsid w:val="00200AD1"/>
    <w:rsid w:val="00221F2D"/>
    <w:rsid w:val="002225C6"/>
    <w:rsid w:val="00224A21"/>
    <w:rsid w:val="00240137"/>
    <w:rsid w:val="002437CE"/>
    <w:rsid w:val="00251BBC"/>
    <w:rsid w:val="00264EDA"/>
    <w:rsid w:val="00276C09"/>
    <w:rsid w:val="00281498"/>
    <w:rsid w:val="00283DB2"/>
    <w:rsid w:val="00291F75"/>
    <w:rsid w:val="00292678"/>
    <w:rsid w:val="002B7E48"/>
    <w:rsid w:val="002F23A1"/>
    <w:rsid w:val="003045B7"/>
    <w:rsid w:val="003070A2"/>
    <w:rsid w:val="00312734"/>
    <w:rsid w:val="00314DA1"/>
    <w:rsid w:val="00322039"/>
    <w:rsid w:val="003223C7"/>
    <w:rsid w:val="00337F18"/>
    <w:rsid w:val="00347118"/>
    <w:rsid w:val="00347E3A"/>
    <w:rsid w:val="00362BB1"/>
    <w:rsid w:val="003648C5"/>
    <w:rsid w:val="00396448"/>
    <w:rsid w:val="003A3323"/>
    <w:rsid w:val="003C1DD2"/>
    <w:rsid w:val="003C72DD"/>
    <w:rsid w:val="003D3BDA"/>
    <w:rsid w:val="003D6A0F"/>
    <w:rsid w:val="003E61D0"/>
    <w:rsid w:val="003F77CF"/>
    <w:rsid w:val="00403666"/>
    <w:rsid w:val="00417945"/>
    <w:rsid w:val="00421D7D"/>
    <w:rsid w:val="00445779"/>
    <w:rsid w:val="004462C1"/>
    <w:rsid w:val="00451263"/>
    <w:rsid w:val="00455F77"/>
    <w:rsid w:val="0045625B"/>
    <w:rsid w:val="00461D8C"/>
    <w:rsid w:val="00467FB5"/>
    <w:rsid w:val="00471DC7"/>
    <w:rsid w:val="00472B02"/>
    <w:rsid w:val="0047570E"/>
    <w:rsid w:val="00476C12"/>
    <w:rsid w:val="00483711"/>
    <w:rsid w:val="00485429"/>
    <w:rsid w:val="004A3A95"/>
    <w:rsid w:val="004A50D2"/>
    <w:rsid w:val="004B6371"/>
    <w:rsid w:val="004B7951"/>
    <w:rsid w:val="004C1DB1"/>
    <w:rsid w:val="004C2808"/>
    <w:rsid w:val="004C5B27"/>
    <w:rsid w:val="004E4F69"/>
    <w:rsid w:val="004E6889"/>
    <w:rsid w:val="00504377"/>
    <w:rsid w:val="005049A9"/>
    <w:rsid w:val="00525F06"/>
    <w:rsid w:val="00527BE9"/>
    <w:rsid w:val="00535D22"/>
    <w:rsid w:val="0054182D"/>
    <w:rsid w:val="00541AFF"/>
    <w:rsid w:val="00543607"/>
    <w:rsid w:val="00552C5D"/>
    <w:rsid w:val="005547EE"/>
    <w:rsid w:val="00555250"/>
    <w:rsid w:val="005571F3"/>
    <w:rsid w:val="0056284A"/>
    <w:rsid w:val="005A3316"/>
    <w:rsid w:val="005A54F2"/>
    <w:rsid w:val="005B6968"/>
    <w:rsid w:val="005C6AEE"/>
    <w:rsid w:val="005E1A66"/>
    <w:rsid w:val="005E5127"/>
    <w:rsid w:val="005F1173"/>
    <w:rsid w:val="006035CB"/>
    <w:rsid w:val="00615709"/>
    <w:rsid w:val="00621E2A"/>
    <w:rsid w:val="00632993"/>
    <w:rsid w:val="00645A58"/>
    <w:rsid w:val="006617FB"/>
    <w:rsid w:val="006636C7"/>
    <w:rsid w:val="00666D40"/>
    <w:rsid w:val="00677889"/>
    <w:rsid w:val="00694050"/>
    <w:rsid w:val="006A7A6E"/>
    <w:rsid w:val="006C6780"/>
    <w:rsid w:val="006E50F3"/>
    <w:rsid w:val="006F1F55"/>
    <w:rsid w:val="00706FA9"/>
    <w:rsid w:val="0071051A"/>
    <w:rsid w:val="00730897"/>
    <w:rsid w:val="00731BCD"/>
    <w:rsid w:val="00734289"/>
    <w:rsid w:val="00782D09"/>
    <w:rsid w:val="00787BBD"/>
    <w:rsid w:val="007A0B40"/>
    <w:rsid w:val="007A67D7"/>
    <w:rsid w:val="007D30DA"/>
    <w:rsid w:val="007D33D8"/>
    <w:rsid w:val="007D3D1C"/>
    <w:rsid w:val="007F098A"/>
    <w:rsid w:val="007F1F55"/>
    <w:rsid w:val="007F35D3"/>
    <w:rsid w:val="00826014"/>
    <w:rsid w:val="00832F0A"/>
    <w:rsid w:val="00837283"/>
    <w:rsid w:val="00851AC9"/>
    <w:rsid w:val="0086198D"/>
    <w:rsid w:val="0086536E"/>
    <w:rsid w:val="00873884"/>
    <w:rsid w:val="008A084A"/>
    <w:rsid w:val="008A1DBB"/>
    <w:rsid w:val="008A56E2"/>
    <w:rsid w:val="008B128D"/>
    <w:rsid w:val="008B633D"/>
    <w:rsid w:val="008B7FFD"/>
    <w:rsid w:val="008D2A88"/>
    <w:rsid w:val="008F5801"/>
    <w:rsid w:val="009040DB"/>
    <w:rsid w:val="0090410F"/>
    <w:rsid w:val="00904C5C"/>
    <w:rsid w:val="00910CD7"/>
    <w:rsid w:val="00911960"/>
    <w:rsid w:val="009169B9"/>
    <w:rsid w:val="0092088E"/>
    <w:rsid w:val="00927EAC"/>
    <w:rsid w:val="0094219B"/>
    <w:rsid w:val="00956FE2"/>
    <w:rsid w:val="00957F25"/>
    <w:rsid w:val="00972570"/>
    <w:rsid w:val="00977F7F"/>
    <w:rsid w:val="009B0330"/>
    <w:rsid w:val="009B71AE"/>
    <w:rsid w:val="009B7AC3"/>
    <w:rsid w:val="009D5574"/>
    <w:rsid w:val="00A00697"/>
    <w:rsid w:val="00A13601"/>
    <w:rsid w:val="00A142BB"/>
    <w:rsid w:val="00A14586"/>
    <w:rsid w:val="00A45D51"/>
    <w:rsid w:val="00A5084B"/>
    <w:rsid w:val="00A51F5B"/>
    <w:rsid w:val="00A52B14"/>
    <w:rsid w:val="00A52EB4"/>
    <w:rsid w:val="00A53BAA"/>
    <w:rsid w:val="00A657C4"/>
    <w:rsid w:val="00A668C3"/>
    <w:rsid w:val="00A72B72"/>
    <w:rsid w:val="00A94A88"/>
    <w:rsid w:val="00A96E20"/>
    <w:rsid w:val="00AA721E"/>
    <w:rsid w:val="00AB06EA"/>
    <w:rsid w:val="00AC2C09"/>
    <w:rsid w:val="00AD30B8"/>
    <w:rsid w:val="00AD7044"/>
    <w:rsid w:val="00AE0F54"/>
    <w:rsid w:val="00AE32A2"/>
    <w:rsid w:val="00AF14BD"/>
    <w:rsid w:val="00AF55E3"/>
    <w:rsid w:val="00B03343"/>
    <w:rsid w:val="00B13706"/>
    <w:rsid w:val="00B24BBD"/>
    <w:rsid w:val="00B25DFD"/>
    <w:rsid w:val="00B34EF7"/>
    <w:rsid w:val="00B40C43"/>
    <w:rsid w:val="00B542D1"/>
    <w:rsid w:val="00B562D5"/>
    <w:rsid w:val="00B8232B"/>
    <w:rsid w:val="00B979CF"/>
    <w:rsid w:val="00BB03F4"/>
    <w:rsid w:val="00BB197D"/>
    <w:rsid w:val="00BC34B2"/>
    <w:rsid w:val="00BE7EF2"/>
    <w:rsid w:val="00BF5D9C"/>
    <w:rsid w:val="00BF713B"/>
    <w:rsid w:val="00C12E18"/>
    <w:rsid w:val="00C329D7"/>
    <w:rsid w:val="00C71FDD"/>
    <w:rsid w:val="00C81CBF"/>
    <w:rsid w:val="00C8545B"/>
    <w:rsid w:val="00C92074"/>
    <w:rsid w:val="00C9550B"/>
    <w:rsid w:val="00CB0BBD"/>
    <w:rsid w:val="00CB4067"/>
    <w:rsid w:val="00CB592A"/>
    <w:rsid w:val="00CB6109"/>
    <w:rsid w:val="00CE27CF"/>
    <w:rsid w:val="00D03B05"/>
    <w:rsid w:val="00D1241B"/>
    <w:rsid w:val="00D131C5"/>
    <w:rsid w:val="00D2073F"/>
    <w:rsid w:val="00D22E21"/>
    <w:rsid w:val="00D26DE8"/>
    <w:rsid w:val="00D4752E"/>
    <w:rsid w:val="00D55AB1"/>
    <w:rsid w:val="00D66EF8"/>
    <w:rsid w:val="00D81FBA"/>
    <w:rsid w:val="00D8225F"/>
    <w:rsid w:val="00D9097A"/>
    <w:rsid w:val="00D96AEE"/>
    <w:rsid w:val="00D97BC7"/>
    <w:rsid w:val="00DB764D"/>
    <w:rsid w:val="00DD58ED"/>
    <w:rsid w:val="00DE4C4C"/>
    <w:rsid w:val="00E20285"/>
    <w:rsid w:val="00E20E22"/>
    <w:rsid w:val="00E34CF4"/>
    <w:rsid w:val="00E4438B"/>
    <w:rsid w:val="00E477C3"/>
    <w:rsid w:val="00E508BB"/>
    <w:rsid w:val="00E57C49"/>
    <w:rsid w:val="00E629E0"/>
    <w:rsid w:val="00E65269"/>
    <w:rsid w:val="00E65A4C"/>
    <w:rsid w:val="00E758A0"/>
    <w:rsid w:val="00EB090C"/>
    <w:rsid w:val="00EB30C7"/>
    <w:rsid w:val="00ED0859"/>
    <w:rsid w:val="00EE6AB6"/>
    <w:rsid w:val="00EF1E09"/>
    <w:rsid w:val="00EF25E4"/>
    <w:rsid w:val="00F02776"/>
    <w:rsid w:val="00F0742E"/>
    <w:rsid w:val="00F26DD2"/>
    <w:rsid w:val="00F4460A"/>
    <w:rsid w:val="00F47EA1"/>
    <w:rsid w:val="00F57DFC"/>
    <w:rsid w:val="00F86B08"/>
    <w:rsid w:val="00F96C98"/>
    <w:rsid w:val="00FA1CDF"/>
    <w:rsid w:val="00FB15C0"/>
    <w:rsid w:val="00FC53C7"/>
    <w:rsid w:val="00FE6030"/>
    <w:rsid w:val="00FF2D4A"/>
    <w:rsid w:val="00FF42F9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26CF"/>
  <w15:chartTrackingRefBased/>
  <w15:docId w15:val="{88E0E6D9-E49F-4D55-878F-F966AA6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4EF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34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2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27E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LightShading-Accent5">
    <w:name w:val="Light Shading Accent 5"/>
    <w:basedOn w:val="TableNormal"/>
    <w:uiPriority w:val="60"/>
    <w:rsid w:val="00D909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9097A"/>
  </w:style>
  <w:style w:type="table" w:styleId="GridTable4-Accent2">
    <w:name w:val="Grid Table 4 Accent 2"/>
    <w:basedOn w:val="TableNormal"/>
    <w:uiPriority w:val="49"/>
    <w:rsid w:val="00EE6A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C6D87633A914982032CB9EEE36AB5" ma:contentTypeVersion="7" ma:contentTypeDescription="Create a new document." ma:contentTypeScope="" ma:versionID="95650b1e668ecf14a7b37f6fab8a6ef2">
  <xsd:schema xmlns:xsd="http://www.w3.org/2001/XMLSchema" xmlns:xs="http://www.w3.org/2001/XMLSchema" xmlns:p="http://schemas.microsoft.com/office/2006/metadata/properties" xmlns:ns3="8dc0963e-725f-4df9-9ee5-3409d10e749b" xmlns:ns4="06c98763-7e7f-47de-a217-4e462391dcfe" targetNamespace="http://schemas.microsoft.com/office/2006/metadata/properties" ma:root="true" ma:fieldsID="fa4d687149612bc3b1b818fcaf75cf7f" ns3:_="" ns4:_="">
    <xsd:import namespace="8dc0963e-725f-4df9-9ee5-3409d10e749b"/>
    <xsd:import namespace="06c98763-7e7f-47de-a217-4e462391d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63e-725f-4df9-9ee5-3409d10e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98763-7e7f-47de-a217-4e462391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1464D6-CB41-44CB-870E-B5306D665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84B90F-70E5-47E2-B86D-1B566B264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FD535-1FFA-40C2-AD3A-BB227B2D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63e-725f-4df9-9ee5-3409d10e749b"/>
    <ds:schemaRef ds:uri="06c98763-7e7f-47de-a217-4e462391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1180</Words>
  <Characters>6731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Roerink</dc:creator>
  <cp:keywords/>
  <dc:description/>
  <cp:lastModifiedBy>Anne-Marie Roerink</cp:lastModifiedBy>
  <cp:revision>11</cp:revision>
  <dcterms:created xsi:type="dcterms:W3CDTF">2023-05-03T10:01:00Z</dcterms:created>
  <dcterms:modified xsi:type="dcterms:W3CDTF">2023-05-10T23:46:00Z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0x01010047CC6D87633A914982032CB9EEE36AB5</vt:lpwstr>
  </property>
</Properties>
</file>