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B6A7" w14:textId="39842917" w:rsidR="005049A9" w:rsidRDefault="005049A9" w:rsidP="005049A9">
      <w:pPr>
        <w:pStyle w:val="Title"/>
        <w:jc w:val="center"/>
      </w:pPr>
      <w:r w:rsidRPr="005049A9">
        <w:rPr>
          <w:noProof/>
          <w:lang w:val="nl-NL" w:eastAsia="nl-NL"/>
        </w:rPr>
        <w:drawing>
          <wp:anchor distT="0" distB="0" distL="114300" distR="114300" simplePos="0" relativeHeight="251658240" behindDoc="0" locked="0" layoutInCell="1" allowOverlap="1" wp14:anchorId="53E5FC2F" wp14:editId="1E292A74">
            <wp:simplePos x="0" y="0"/>
            <wp:positionH relativeFrom="margin">
              <wp:align>center</wp:align>
            </wp:positionH>
            <wp:positionV relativeFrom="paragraph">
              <wp:posOffset>0</wp:posOffset>
            </wp:positionV>
            <wp:extent cx="2098415" cy="75247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8415" cy="75247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A72B72" w:rsidRDefault="0054182D" w:rsidP="00B34EF7">
      <w:pPr>
        <w:pStyle w:val="Title"/>
        <w:rPr>
          <w:sz w:val="48"/>
          <w:szCs w:val="48"/>
        </w:rPr>
      </w:pPr>
    </w:p>
    <w:p w14:paraId="2AC16FEE" w14:textId="41F73C89"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xml:space="preserve">; </w:t>
      </w:r>
      <w:r w:rsidR="00D22E21">
        <w:rPr>
          <w:sz w:val="44"/>
          <w:szCs w:val="44"/>
        </w:rPr>
        <w:t xml:space="preserve">YTD and </w:t>
      </w:r>
      <w:r w:rsidR="000C3CC4" w:rsidRPr="000C3CC4">
        <w:rPr>
          <w:sz w:val="44"/>
          <w:szCs w:val="44"/>
        </w:rPr>
        <w:t>4 w</w:t>
      </w:r>
      <w:r w:rsidR="00D22E21">
        <w:rPr>
          <w:sz w:val="44"/>
          <w:szCs w:val="44"/>
        </w:rPr>
        <w:t>.e.</w:t>
      </w:r>
      <w:r w:rsidR="000C3CC4" w:rsidRPr="000C3CC4">
        <w:rPr>
          <w:sz w:val="44"/>
          <w:szCs w:val="44"/>
        </w:rPr>
        <w:t xml:space="preserve"> </w:t>
      </w:r>
      <w:r w:rsidR="00221F2D">
        <w:rPr>
          <w:sz w:val="44"/>
          <w:szCs w:val="44"/>
        </w:rPr>
        <w:t>2.26</w:t>
      </w:r>
      <w:r w:rsidR="00445779">
        <w:rPr>
          <w:sz w:val="44"/>
          <w:szCs w:val="44"/>
        </w:rPr>
        <w:t>.2023</w:t>
      </w:r>
    </w:p>
    <w:p w14:paraId="022A5B42" w14:textId="605814EC" w:rsidR="00B34EF7" w:rsidRDefault="00B34EF7" w:rsidP="00B34EF7">
      <w:pPr>
        <w:pStyle w:val="NoSpacing"/>
      </w:pPr>
    </w:p>
    <w:p w14:paraId="5B083E85" w14:textId="64A361CA" w:rsidR="00F86B08" w:rsidRDefault="00F86B08" w:rsidP="00927EAC">
      <w:pPr>
        <w:pStyle w:val="Heading2"/>
        <w:rPr>
          <w:b/>
          <w:bCs/>
          <w:color w:val="ED7D31" w:themeColor="accent2"/>
        </w:rPr>
      </w:pPr>
      <w:r>
        <w:rPr>
          <w:b/>
          <w:bCs/>
          <w:color w:val="ED7D31" w:themeColor="accent2"/>
        </w:rPr>
        <w:t>The Marketplace</w:t>
      </w:r>
    </w:p>
    <w:p w14:paraId="2231FBD5" w14:textId="2B6C3556" w:rsidR="00C92074" w:rsidRPr="00C92074" w:rsidRDefault="00264EDA" w:rsidP="00C92074">
      <w:pPr>
        <w:pStyle w:val="NoSpacing"/>
      </w:pPr>
      <w:r>
        <w:t xml:space="preserve">Inflation stayed in the spotlight in February 2023. </w:t>
      </w:r>
      <w:r w:rsidR="00314DA1">
        <w:t>F</w:t>
      </w:r>
      <w:r w:rsidR="00C92074">
        <w:t>ood and beverage prices rose double digits over last year’s double digits in both January (+13.2% vs. YA</w:t>
      </w:r>
      <w:r>
        <w:t xml:space="preserve"> on a per unit basis</w:t>
      </w:r>
      <w:r w:rsidR="00C92074">
        <w:t xml:space="preserve">) and February. </w:t>
      </w:r>
      <w:r>
        <w:t xml:space="preserve">This is prompting continued concern and a host of money-saving measures, especially among lower- and fixed-income households. </w:t>
      </w:r>
      <w:r w:rsidR="00C92074" w:rsidRPr="00C92074">
        <w:t xml:space="preserve"> </w:t>
      </w:r>
    </w:p>
    <w:p w14:paraId="58E7A238" w14:textId="327D1CB5" w:rsidR="00264EDA" w:rsidRDefault="00264EDA" w:rsidP="00264EDA">
      <w:pPr>
        <w:pStyle w:val="NoSpacing"/>
        <w:numPr>
          <w:ilvl w:val="0"/>
          <w:numId w:val="10"/>
        </w:numPr>
      </w:pPr>
      <w:r w:rsidRPr="00C92074">
        <w:t xml:space="preserve">96% </w:t>
      </w:r>
      <w:r w:rsidR="00314DA1">
        <w:t xml:space="preserve">of consumers are </w:t>
      </w:r>
      <w:r w:rsidRPr="00C92074">
        <w:t xml:space="preserve">concerned over the high cost of groceries, according to IRI. Eggs </w:t>
      </w:r>
      <w:r>
        <w:t xml:space="preserve">are the first and foremost example cited </w:t>
      </w:r>
      <w:r w:rsidRPr="00C92074">
        <w:t xml:space="preserve">by consumers for being more expensive, followed by milk, beef/pork, fresh produce, chicken/turkey and bread. </w:t>
      </w:r>
      <w:r>
        <w:t xml:space="preserve">In reality, inflation in fresh meat and produce is far below average. </w:t>
      </w:r>
    </w:p>
    <w:p w14:paraId="6A8A8C22" w14:textId="6DF7571E" w:rsidR="00264EDA" w:rsidRPr="00C92074" w:rsidRDefault="00264EDA" w:rsidP="00264EDA">
      <w:pPr>
        <w:pStyle w:val="NoSpacing"/>
        <w:numPr>
          <w:ilvl w:val="0"/>
          <w:numId w:val="10"/>
        </w:numPr>
      </w:pPr>
      <w:r>
        <w:t xml:space="preserve">Inflation </w:t>
      </w:r>
      <w:r w:rsidRPr="00C92074">
        <w:t xml:space="preserve">is prompting continued </w:t>
      </w:r>
      <w:r>
        <w:t xml:space="preserve">grocery </w:t>
      </w:r>
      <w:r w:rsidRPr="00C92074">
        <w:t xml:space="preserve">money-saving measures </w:t>
      </w:r>
      <w:r>
        <w:t xml:space="preserve">among </w:t>
      </w:r>
      <w:r w:rsidRPr="00C92074">
        <w:t>79% of Americans, such as buying what’s on sale (49%), cutting back on non-essentials (41%), looking for coupons (33%) and switching to store brand items (31%).</w:t>
      </w:r>
      <w:r>
        <w:t xml:space="preserve"> At the same time, consumers report seeing </w:t>
      </w:r>
      <w:r w:rsidRPr="00C92074">
        <w:t xml:space="preserve">fewer items on sale (54%) and the items on sale not being discounted as much (45%). </w:t>
      </w:r>
    </w:p>
    <w:p w14:paraId="602EDF1F" w14:textId="77777777" w:rsidR="00264EDA" w:rsidRPr="00C92074" w:rsidRDefault="00264EDA" w:rsidP="00264EDA">
      <w:pPr>
        <w:pStyle w:val="NoSpacing"/>
        <w:numPr>
          <w:ilvl w:val="0"/>
          <w:numId w:val="10"/>
        </w:numPr>
      </w:pPr>
      <w:r w:rsidRPr="00C92074">
        <w:t xml:space="preserve">45% stock up on certain items out of concern that prices may rise further or they might not be available. </w:t>
      </w:r>
    </w:p>
    <w:p w14:paraId="1650B10F" w14:textId="77777777" w:rsidR="00264EDA" w:rsidRDefault="00C92074" w:rsidP="002E16A7">
      <w:pPr>
        <w:pStyle w:val="NoSpacing"/>
        <w:numPr>
          <w:ilvl w:val="0"/>
          <w:numId w:val="10"/>
        </w:numPr>
      </w:pPr>
      <w:r w:rsidRPr="00C92074">
        <w:t xml:space="preserve">In-store shopping remained prevalent, at 85% of trips. Two-thirds of shoppers exclusively buy in-store, whereas 11% buy most or all groceries online. </w:t>
      </w:r>
    </w:p>
    <w:p w14:paraId="336176D2" w14:textId="77777777" w:rsidR="00264EDA" w:rsidRDefault="00C92074" w:rsidP="000360BA">
      <w:pPr>
        <w:pStyle w:val="NoSpacing"/>
        <w:numPr>
          <w:ilvl w:val="0"/>
          <w:numId w:val="10"/>
        </w:numPr>
      </w:pPr>
      <w:r w:rsidRPr="00C92074">
        <w:t xml:space="preserve">Special occasions remain a big opportunity for food retail in 2023. During the pandemic years, several foodservice holidays, such as Valentine’s Day and Mother’s Day, turned home-centric. This moved significant spending into retail, adding to holidays that were already mostly celebrated at home, such as Labor Day and the Fourth of July. Holidays typically boost spending far above a normal week with opportunities for departments around the store. </w:t>
      </w:r>
    </w:p>
    <w:p w14:paraId="6AEB6A9B" w14:textId="06D1E045" w:rsidR="00F86B08" w:rsidRDefault="00F86B08" w:rsidP="00F86B08">
      <w:pPr>
        <w:pStyle w:val="NoSpacing"/>
      </w:pPr>
    </w:p>
    <w:p w14:paraId="737234D5" w14:textId="7E09DA4A" w:rsidR="00927EAC" w:rsidRPr="00927EAC" w:rsidRDefault="00927EAC" w:rsidP="00927EAC">
      <w:pPr>
        <w:pStyle w:val="Heading2"/>
        <w:rPr>
          <w:b/>
          <w:bCs/>
          <w:color w:val="ED7D31" w:themeColor="accent2"/>
        </w:rPr>
      </w:pPr>
      <w:r w:rsidRPr="00927EAC">
        <w:rPr>
          <w:b/>
          <w:bCs/>
          <w:color w:val="ED7D31" w:themeColor="accent2"/>
        </w:rPr>
        <w:t>Dollars, Units and Volume Performance</w:t>
      </w:r>
    </w:p>
    <w:p w14:paraId="39C5E7B3" w14:textId="5300FE0B" w:rsidR="00826014" w:rsidRDefault="005A3316" w:rsidP="00472B02">
      <w:pPr>
        <w:pStyle w:val="NoSpacing"/>
      </w:pPr>
      <w:r>
        <w:t xml:space="preserve">The </w:t>
      </w:r>
      <w:r w:rsidR="00826014">
        <w:t xml:space="preserve">persistent </w:t>
      </w:r>
      <w:r>
        <w:t>high</w:t>
      </w:r>
      <w:r w:rsidR="00826014">
        <w:t xml:space="preserve"> level of</w:t>
      </w:r>
      <w:r>
        <w:t xml:space="preserve"> inflation is </w:t>
      </w:r>
      <w:r w:rsidR="00826014">
        <w:t>continuing the now familiar sales patterns for most departments around the store</w:t>
      </w:r>
      <w:r w:rsidR="00264EDA">
        <w:t>. Total food and beverage sales increased 9</w:t>
      </w:r>
      <w:r w:rsidR="00314DA1">
        <w:t>.0</w:t>
      </w:r>
      <w:r w:rsidR="00264EDA">
        <w:t xml:space="preserve">% over the quad-week period, above that of fresh produce (+1.6%) and mushrooms (-6.9%). This was fully related to </w:t>
      </w:r>
      <w:r w:rsidR="00314DA1">
        <w:t xml:space="preserve">differences in inflation levels as all areas had declines in units and volume. Inflation is especially low on the fresh fruit side of the business. </w:t>
      </w:r>
    </w:p>
    <w:p w14:paraId="38CFFFCE" w14:textId="77777777" w:rsidR="00826014" w:rsidRDefault="00826014" w:rsidP="00472B02">
      <w:pPr>
        <w:pStyle w:val="NoSpacing"/>
      </w:pPr>
    </w:p>
    <w:p w14:paraId="47797D03" w14:textId="04FE7414" w:rsidR="00472B02" w:rsidRDefault="007D30DA" w:rsidP="00472B02">
      <w:pPr>
        <w:pStyle w:val="NoSpacing"/>
      </w:pPr>
      <w:r>
        <w:t>For the four weeks</w:t>
      </w:r>
      <w:r w:rsidR="00F4460A">
        <w:t xml:space="preserve"> ending </w:t>
      </w:r>
      <w:r w:rsidR="00221F2D">
        <w:t>February 26</w:t>
      </w:r>
      <w:r w:rsidR="001D16CA">
        <w:rPr>
          <w:vertAlign w:val="superscript"/>
        </w:rPr>
        <w:t>th</w:t>
      </w:r>
      <w:r w:rsidR="00445779">
        <w:t>, 2023</w:t>
      </w:r>
      <w:r>
        <w:t xml:space="preserve">, </w:t>
      </w:r>
      <w:r w:rsidR="00124C8B">
        <w:t xml:space="preserve">fresh mushroom </w:t>
      </w:r>
      <w:r>
        <w:t>d</w:t>
      </w:r>
      <w:r w:rsidR="0092088E">
        <w:t xml:space="preserve">ollars </w:t>
      </w:r>
      <w:r>
        <w:t xml:space="preserve">decreased </w:t>
      </w:r>
      <w:r w:rsidR="00DE4C4C">
        <w:t>6.9</w:t>
      </w:r>
      <w:r w:rsidR="0092088E">
        <w:t>% year-over</w:t>
      </w:r>
      <w:r w:rsidR="00826014">
        <w:t>-</w:t>
      </w:r>
      <w:r w:rsidR="0092088E">
        <w:t>year</w:t>
      </w:r>
      <w:r w:rsidR="00D26DE8">
        <w:t xml:space="preserve"> </w:t>
      </w:r>
      <w:r w:rsidR="0092088E">
        <w:t xml:space="preserve">and volume declined </w:t>
      </w:r>
      <w:r>
        <w:t xml:space="preserve">by </w:t>
      </w:r>
      <w:r w:rsidR="00DE4C4C">
        <w:t>13.2</w:t>
      </w:r>
      <w:r w:rsidR="0092088E">
        <w:t xml:space="preserve">%. </w:t>
      </w:r>
      <w:r w:rsidR="00EF1E09">
        <w:t>Yea</w:t>
      </w:r>
      <w:r w:rsidR="00910CD7">
        <w:t xml:space="preserve">r-to-date, dollars were down </w:t>
      </w:r>
      <w:r w:rsidR="00DE4C4C">
        <w:t>4.4</w:t>
      </w:r>
      <w:r w:rsidR="00910CD7">
        <w:t xml:space="preserve">% versus year ago and pounds </w:t>
      </w:r>
      <w:r w:rsidR="00DE4C4C">
        <w:t>11.1</w:t>
      </w:r>
      <w:r w:rsidR="00EF1E09">
        <w:t xml:space="preserve">%. </w:t>
      </w:r>
      <w:r w:rsidR="00DE4C4C">
        <w:t>Dollars remained ahead of 2020 in the longer-term view, but were down 0.7% in the short-term view. Pou</w:t>
      </w:r>
      <w:r w:rsidR="00910CD7">
        <w:t xml:space="preserve">nds are now </w:t>
      </w:r>
      <w:r w:rsidR="00DE4C4C">
        <w:t>5.4</w:t>
      </w:r>
      <w:r w:rsidR="00826014">
        <w:t xml:space="preserve">% behind those of </w:t>
      </w:r>
      <w:r w:rsidR="00251BBC">
        <w:t>2020</w:t>
      </w:r>
      <w:r w:rsidR="00826014">
        <w:t xml:space="preserve"> in the year-to-date views</w:t>
      </w:r>
      <w:r w:rsidR="003F77CF">
        <w:t xml:space="preserve"> and</w:t>
      </w:r>
      <w:r w:rsidR="00910CD7">
        <w:t xml:space="preserve"> </w:t>
      </w:r>
      <w:r w:rsidR="00DE4C4C">
        <w:t>13.4</w:t>
      </w:r>
      <w:r w:rsidR="00030ABF">
        <w:t>% in the quad-week view versus pre-pandemic</w:t>
      </w:r>
      <w:r w:rsidR="00826014">
        <w:t xml:space="preserve">. </w:t>
      </w:r>
    </w:p>
    <w:p w14:paraId="40FAA348" w14:textId="6A56CCC2" w:rsidR="00AD7044" w:rsidRDefault="00AD7044" w:rsidP="00472B02">
      <w:pPr>
        <w:pStyle w:val="NoSpacing"/>
      </w:pPr>
    </w:p>
    <w:tbl>
      <w:tblPr>
        <w:tblStyle w:val="ListTable3-Accent2"/>
        <w:tblW w:w="10054" w:type="dxa"/>
        <w:tblLook w:val="04A0" w:firstRow="1" w:lastRow="0" w:firstColumn="1" w:lastColumn="0" w:noHBand="0" w:noVBand="1"/>
      </w:tblPr>
      <w:tblGrid>
        <w:gridCol w:w="1795"/>
        <w:gridCol w:w="1710"/>
        <w:gridCol w:w="1200"/>
        <w:gridCol w:w="1102"/>
        <w:gridCol w:w="1817"/>
        <w:gridCol w:w="135"/>
        <w:gridCol w:w="1098"/>
        <w:gridCol w:w="27"/>
        <w:gridCol w:w="1170"/>
      </w:tblGrid>
      <w:tr w:rsidR="00AD7044" w:rsidRPr="00124CB7" w14:paraId="5D073D77" w14:textId="77777777" w:rsidTr="00C920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5" w:type="dxa"/>
          </w:tcPr>
          <w:p w14:paraId="0624EE87" w14:textId="77777777" w:rsidR="00AD7044" w:rsidRPr="00124CB7" w:rsidRDefault="00AD7044" w:rsidP="00AD7044">
            <w:pPr>
              <w:pStyle w:val="NoSpacing"/>
            </w:pPr>
            <w:r w:rsidRPr="00124CB7">
              <w:t>Fresh mushrooms</w:t>
            </w:r>
          </w:p>
        </w:tc>
        <w:tc>
          <w:tcPr>
            <w:tcW w:w="1710" w:type="dxa"/>
          </w:tcPr>
          <w:p w14:paraId="51DF6E55" w14:textId="1C94E4D0" w:rsidR="00AD7044" w:rsidRPr="00124CB7" w:rsidRDefault="00AD7044" w:rsidP="00AD7044">
            <w:pPr>
              <w:pStyle w:val="NoSpacing"/>
              <w:jc w:val="right"/>
              <w:cnfStyle w:val="100000000000" w:firstRow="1" w:lastRow="0" w:firstColumn="0" w:lastColumn="0" w:oddVBand="0" w:evenVBand="0" w:oddHBand="0" w:evenHBand="0" w:firstRowFirstColumn="0" w:firstRowLastColumn="0" w:lastRowFirstColumn="0" w:lastRowLastColumn="0"/>
            </w:pPr>
            <w:r>
              <w:t xml:space="preserve">4 weeks ending </w:t>
            </w:r>
            <w:r w:rsidR="00221F2D">
              <w:t>2/26/2023</w:t>
            </w:r>
          </w:p>
        </w:tc>
        <w:tc>
          <w:tcPr>
            <w:tcW w:w="1200" w:type="dxa"/>
          </w:tcPr>
          <w:p w14:paraId="0398A30D" w14:textId="55C3EE23" w:rsidR="00AD7044" w:rsidRPr="00124CB7" w:rsidRDefault="00AD7044" w:rsidP="00AD7044">
            <w:pPr>
              <w:pStyle w:val="NoSpacing"/>
              <w:jc w:val="right"/>
              <w:cnfStyle w:val="100000000000" w:firstRow="1" w:lastRow="0" w:firstColumn="0" w:lastColumn="0" w:oddVBand="0" w:evenVBand="0" w:oddHBand="0" w:evenHBand="0" w:firstRowFirstColumn="0" w:firstRowLastColumn="0" w:lastRowFirstColumn="0" w:lastRowLastColumn="0"/>
            </w:pPr>
            <w:r w:rsidRPr="00124CB7">
              <w:t>Vs. 202</w:t>
            </w:r>
            <w:r w:rsidR="00251BBC">
              <w:t>2</w:t>
            </w:r>
          </w:p>
        </w:tc>
        <w:tc>
          <w:tcPr>
            <w:tcW w:w="1102" w:type="dxa"/>
            <w:tcBorders>
              <w:right w:val="single" w:sz="4" w:space="0" w:color="ED7D31" w:themeColor="accent2"/>
            </w:tcBorders>
          </w:tcPr>
          <w:p w14:paraId="11B3D9FB" w14:textId="5DBFCFDF" w:rsidR="00AD7044" w:rsidRPr="00124CB7" w:rsidRDefault="00AD7044" w:rsidP="00AD7044">
            <w:pPr>
              <w:pStyle w:val="NoSpacing"/>
              <w:jc w:val="right"/>
              <w:cnfStyle w:val="100000000000" w:firstRow="1" w:lastRow="0" w:firstColumn="0" w:lastColumn="0" w:oddVBand="0" w:evenVBand="0" w:oddHBand="0" w:evenHBand="0" w:firstRowFirstColumn="0" w:firstRowLastColumn="0" w:lastRowFirstColumn="0" w:lastRowLastColumn="0"/>
            </w:pPr>
            <w:r w:rsidRPr="00124CB7">
              <w:t>Vs. 20</w:t>
            </w:r>
            <w:r w:rsidR="00251BBC">
              <w:t>20</w:t>
            </w:r>
          </w:p>
        </w:tc>
        <w:tc>
          <w:tcPr>
            <w:tcW w:w="1952" w:type="dxa"/>
            <w:gridSpan w:val="2"/>
            <w:tcBorders>
              <w:top w:val="single" w:sz="4" w:space="0" w:color="ED7D31" w:themeColor="accent2"/>
              <w:left w:val="single" w:sz="4" w:space="0" w:color="ED7D31" w:themeColor="accent2"/>
              <w:bottom w:val="single" w:sz="4" w:space="0" w:color="ED7D31" w:themeColor="accent2"/>
            </w:tcBorders>
          </w:tcPr>
          <w:p w14:paraId="3BBE24C3" w14:textId="770B5006" w:rsidR="00AD7044" w:rsidRPr="00124CB7" w:rsidRDefault="00694050" w:rsidP="00AD7044">
            <w:pPr>
              <w:pStyle w:val="NoSpacing"/>
              <w:jc w:val="right"/>
              <w:cnfStyle w:val="100000000000" w:firstRow="1" w:lastRow="0" w:firstColumn="0" w:lastColumn="0" w:oddVBand="0" w:evenVBand="0" w:oddHBand="0" w:evenHBand="0" w:firstRowFirstColumn="0" w:firstRowLastColumn="0" w:lastRowFirstColumn="0" w:lastRowLastColumn="0"/>
            </w:pPr>
            <w:r>
              <w:t>Latest 52 w.e.</w:t>
            </w:r>
            <w:r w:rsidR="00AD7044">
              <w:t xml:space="preserve"> </w:t>
            </w:r>
            <w:r w:rsidR="00221F2D">
              <w:t>2/26/2023</w:t>
            </w:r>
          </w:p>
        </w:tc>
        <w:tc>
          <w:tcPr>
            <w:tcW w:w="1098" w:type="dxa"/>
          </w:tcPr>
          <w:p w14:paraId="0895179F" w14:textId="7C2E1DCC" w:rsidR="00AD7044" w:rsidRPr="00124CB7" w:rsidRDefault="00251BBC" w:rsidP="00AD7044">
            <w:pPr>
              <w:pStyle w:val="NoSpacing"/>
              <w:jc w:val="right"/>
              <w:cnfStyle w:val="100000000000" w:firstRow="1" w:lastRow="0" w:firstColumn="0" w:lastColumn="0" w:oddVBand="0" w:evenVBand="0" w:oddHBand="0" w:evenHBand="0" w:firstRowFirstColumn="0" w:firstRowLastColumn="0" w:lastRowFirstColumn="0" w:lastRowLastColumn="0"/>
            </w:pPr>
            <w:r>
              <w:t>Vs. 2022</w:t>
            </w:r>
          </w:p>
        </w:tc>
        <w:tc>
          <w:tcPr>
            <w:tcW w:w="1197" w:type="dxa"/>
            <w:gridSpan w:val="2"/>
          </w:tcPr>
          <w:p w14:paraId="5AB7ECE0" w14:textId="582BFE3B" w:rsidR="00AD7044" w:rsidRPr="00124CB7" w:rsidRDefault="00251BBC" w:rsidP="00251BBC">
            <w:pPr>
              <w:pStyle w:val="NoSpacing"/>
              <w:jc w:val="right"/>
              <w:cnfStyle w:val="100000000000" w:firstRow="1" w:lastRow="0" w:firstColumn="0" w:lastColumn="0" w:oddVBand="0" w:evenVBand="0" w:oddHBand="0" w:evenHBand="0" w:firstRowFirstColumn="0" w:firstRowLastColumn="0" w:lastRowFirstColumn="0" w:lastRowLastColumn="0"/>
            </w:pPr>
            <w:r>
              <w:t>Vs. 2020</w:t>
            </w:r>
          </w:p>
        </w:tc>
      </w:tr>
      <w:tr w:rsidR="00AD7044" w14:paraId="22401D5B" w14:textId="77777777" w:rsidTr="00C9207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5" w:type="dxa"/>
          </w:tcPr>
          <w:p w14:paraId="79CDF43D" w14:textId="77777777" w:rsidR="00AD7044" w:rsidRPr="00124CB7" w:rsidRDefault="00AD7044" w:rsidP="00AD7044">
            <w:pPr>
              <w:pStyle w:val="NoSpacing"/>
              <w:rPr>
                <w:b w:val="0"/>
                <w:bCs w:val="0"/>
              </w:rPr>
            </w:pPr>
            <w:r w:rsidRPr="00124CB7">
              <w:rPr>
                <w:b w:val="0"/>
                <w:bCs w:val="0"/>
              </w:rPr>
              <w:t>Dollars</w:t>
            </w:r>
          </w:p>
        </w:tc>
        <w:tc>
          <w:tcPr>
            <w:tcW w:w="1710" w:type="dxa"/>
          </w:tcPr>
          <w:p w14:paraId="6D1FCB95" w14:textId="48B9014C" w:rsidR="00AD7044" w:rsidRDefault="00910CD7" w:rsidP="00AD7044">
            <w:pPr>
              <w:pStyle w:val="NoSpacing"/>
              <w:jc w:val="right"/>
              <w:cnfStyle w:val="000000100000" w:firstRow="0" w:lastRow="0" w:firstColumn="0" w:lastColumn="0" w:oddVBand="0" w:evenVBand="0" w:oddHBand="1" w:evenHBand="0" w:firstRowFirstColumn="0" w:firstRowLastColumn="0" w:lastRowFirstColumn="0" w:lastRowLastColumn="0"/>
            </w:pPr>
            <w:r>
              <w:t>$</w:t>
            </w:r>
            <w:r w:rsidR="003A3323">
              <w:t>97</w:t>
            </w:r>
            <w:r w:rsidR="00AD7044">
              <w:t xml:space="preserve"> million</w:t>
            </w:r>
          </w:p>
        </w:tc>
        <w:tc>
          <w:tcPr>
            <w:tcW w:w="1200" w:type="dxa"/>
          </w:tcPr>
          <w:p w14:paraId="77D2040B" w14:textId="5E7347D7" w:rsidR="00AD7044" w:rsidRDefault="00910CD7" w:rsidP="00AD7044">
            <w:pPr>
              <w:pStyle w:val="NoSpacing"/>
              <w:jc w:val="right"/>
              <w:cnfStyle w:val="000000100000" w:firstRow="0" w:lastRow="0" w:firstColumn="0" w:lastColumn="0" w:oddVBand="0" w:evenVBand="0" w:oddHBand="1" w:evenHBand="0" w:firstRowFirstColumn="0" w:firstRowLastColumn="0" w:lastRowFirstColumn="0" w:lastRowLastColumn="0"/>
            </w:pPr>
            <w:r>
              <w:t>-</w:t>
            </w:r>
            <w:r w:rsidR="00251BBC">
              <w:t>6.9</w:t>
            </w:r>
            <w:r w:rsidR="00AD7044">
              <w:t>%</w:t>
            </w:r>
          </w:p>
        </w:tc>
        <w:tc>
          <w:tcPr>
            <w:tcW w:w="1102" w:type="dxa"/>
            <w:tcBorders>
              <w:right w:val="single" w:sz="4" w:space="0" w:color="ED7D31" w:themeColor="accent2"/>
            </w:tcBorders>
          </w:tcPr>
          <w:p w14:paraId="4EF21002" w14:textId="2C7A47AB" w:rsidR="00AD7044" w:rsidRDefault="00251BBC" w:rsidP="00AD7044">
            <w:pPr>
              <w:pStyle w:val="NoSpacing"/>
              <w:jc w:val="right"/>
              <w:cnfStyle w:val="000000100000" w:firstRow="0" w:lastRow="0" w:firstColumn="0" w:lastColumn="0" w:oddVBand="0" w:evenVBand="0" w:oddHBand="1" w:evenHBand="0" w:firstRowFirstColumn="0" w:firstRowLastColumn="0" w:lastRowFirstColumn="0" w:lastRowLastColumn="0"/>
            </w:pPr>
            <w:r>
              <w:t>-0.7</w:t>
            </w:r>
            <w:r w:rsidR="00AD7044">
              <w:t>%</w:t>
            </w:r>
          </w:p>
        </w:tc>
        <w:tc>
          <w:tcPr>
            <w:tcW w:w="1817" w:type="dxa"/>
            <w:tcBorders>
              <w:left w:val="single" w:sz="4" w:space="0" w:color="ED7D31" w:themeColor="accent2"/>
            </w:tcBorders>
          </w:tcPr>
          <w:p w14:paraId="375CF9DD" w14:textId="26D69C54" w:rsidR="00AD7044" w:rsidRDefault="00910CD7" w:rsidP="00AD7044">
            <w:pPr>
              <w:pStyle w:val="NoSpacing"/>
              <w:jc w:val="right"/>
              <w:cnfStyle w:val="000000100000" w:firstRow="0" w:lastRow="0" w:firstColumn="0" w:lastColumn="0" w:oddVBand="0" w:evenVBand="0" w:oddHBand="1" w:evenHBand="0" w:firstRowFirstColumn="0" w:firstRowLastColumn="0" w:lastRowFirstColumn="0" w:lastRowLastColumn="0"/>
            </w:pPr>
            <w:r>
              <w:t>$</w:t>
            </w:r>
            <w:r w:rsidR="003A3323">
              <w:t>1.2</w:t>
            </w:r>
            <w:r w:rsidR="00AD7044">
              <w:t xml:space="preserve"> billion</w:t>
            </w:r>
          </w:p>
        </w:tc>
        <w:tc>
          <w:tcPr>
            <w:tcW w:w="1260" w:type="dxa"/>
            <w:gridSpan w:val="3"/>
          </w:tcPr>
          <w:p w14:paraId="04EA64A9" w14:textId="4115D90D" w:rsidR="00AD7044" w:rsidRDefault="00910CD7" w:rsidP="00AD7044">
            <w:pPr>
              <w:pStyle w:val="NoSpacing"/>
              <w:jc w:val="right"/>
              <w:cnfStyle w:val="000000100000" w:firstRow="0" w:lastRow="0" w:firstColumn="0" w:lastColumn="0" w:oddVBand="0" w:evenVBand="0" w:oddHBand="1" w:evenHBand="0" w:firstRowFirstColumn="0" w:firstRowLastColumn="0" w:lastRowFirstColumn="0" w:lastRowLastColumn="0"/>
            </w:pPr>
            <w:r>
              <w:t>-</w:t>
            </w:r>
            <w:r w:rsidR="00251BBC">
              <w:t>4.4</w:t>
            </w:r>
            <w:r w:rsidR="00AD7044">
              <w:t>%</w:t>
            </w:r>
          </w:p>
        </w:tc>
        <w:tc>
          <w:tcPr>
            <w:tcW w:w="1170" w:type="dxa"/>
          </w:tcPr>
          <w:p w14:paraId="2F2464E9" w14:textId="6A2BCCF5" w:rsidR="00AD7044" w:rsidRDefault="00910CD7" w:rsidP="00AD7044">
            <w:pPr>
              <w:pStyle w:val="NoSpacing"/>
              <w:jc w:val="right"/>
              <w:cnfStyle w:val="000000100000" w:firstRow="0" w:lastRow="0" w:firstColumn="0" w:lastColumn="0" w:oddVBand="0" w:evenVBand="0" w:oddHBand="1" w:evenHBand="0" w:firstRowFirstColumn="0" w:firstRowLastColumn="0" w:lastRowFirstColumn="0" w:lastRowLastColumn="0"/>
            </w:pPr>
            <w:r>
              <w:t>+</w:t>
            </w:r>
            <w:r w:rsidR="00251BBC">
              <w:t>6.8</w:t>
            </w:r>
            <w:r w:rsidR="00AD7044">
              <w:t>%</w:t>
            </w:r>
          </w:p>
        </w:tc>
      </w:tr>
      <w:tr w:rsidR="00AD7044" w14:paraId="31FB8D29" w14:textId="77777777" w:rsidTr="00C92074">
        <w:tc>
          <w:tcPr>
            <w:cnfStyle w:val="001000000000" w:firstRow="0" w:lastRow="0" w:firstColumn="1" w:lastColumn="0" w:oddVBand="0" w:evenVBand="0" w:oddHBand="0" w:evenHBand="0" w:firstRowFirstColumn="0" w:firstRowLastColumn="0" w:lastRowFirstColumn="0" w:lastRowLastColumn="0"/>
            <w:tcW w:w="1795" w:type="dxa"/>
          </w:tcPr>
          <w:p w14:paraId="10B2F651" w14:textId="77777777" w:rsidR="00AD7044" w:rsidRPr="00124CB7" w:rsidRDefault="00AD7044" w:rsidP="00AD7044">
            <w:pPr>
              <w:pStyle w:val="NoSpacing"/>
              <w:rPr>
                <w:b w:val="0"/>
                <w:bCs w:val="0"/>
              </w:rPr>
            </w:pPr>
            <w:r w:rsidRPr="00124CB7">
              <w:rPr>
                <w:b w:val="0"/>
                <w:bCs w:val="0"/>
              </w:rPr>
              <w:t>Units</w:t>
            </w:r>
          </w:p>
        </w:tc>
        <w:tc>
          <w:tcPr>
            <w:tcW w:w="1710" w:type="dxa"/>
          </w:tcPr>
          <w:p w14:paraId="3CA03520" w14:textId="41232FCC" w:rsidR="00AD7044" w:rsidRDefault="00251BBC" w:rsidP="00485429">
            <w:pPr>
              <w:pStyle w:val="NoSpacing"/>
              <w:jc w:val="right"/>
              <w:cnfStyle w:val="000000000000" w:firstRow="0" w:lastRow="0" w:firstColumn="0" w:lastColumn="0" w:oddVBand="0" w:evenVBand="0" w:oddHBand="0" w:evenHBand="0" w:firstRowFirstColumn="0" w:firstRowLastColumn="0" w:lastRowFirstColumn="0" w:lastRowLastColumn="0"/>
            </w:pPr>
            <w:r>
              <w:t>31</w:t>
            </w:r>
            <w:r w:rsidR="00AD7044">
              <w:t xml:space="preserve"> million</w:t>
            </w:r>
          </w:p>
        </w:tc>
        <w:tc>
          <w:tcPr>
            <w:tcW w:w="1200" w:type="dxa"/>
          </w:tcPr>
          <w:p w14:paraId="6922F333" w14:textId="79CB2669" w:rsidR="00AD7044" w:rsidRDefault="00910CD7" w:rsidP="00AD7044">
            <w:pPr>
              <w:pStyle w:val="NoSpacing"/>
              <w:jc w:val="right"/>
              <w:cnfStyle w:val="000000000000" w:firstRow="0" w:lastRow="0" w:firstColumn="0" w:lastColumn="0" w:oddVBand="0" w:evenVBand="0" w:oddHBand="0" w:evenHBand="0" w:firstRowFirstColumn="0" w:firstRowLastColumn="0" w:lastRowFirstColumn="0" w:lastRowLastColumn="0"/>
            </w:pPr>
            <w:r>
              <w:t>-</w:t>
            </w:r>
            <w:r w:rsidR="00251BBC">
              <w:t>15.3</w:t>
            </w:r>
            <w:r w:rsidR="00AD7044">
              <w:t>%</w:t>
            </w:r>
          </w:p>
        </w:tc>
        <w:tc>
          <w:tcPr>
            <w:tcW w:w="1102" w:type="dxa"/>
            <w:tcBorders>
              <w:right w:val="single" w:sz="4" w:space="0" w:color="ED7D31" w:themeColor="accent2"/>
            </w:tcBorders>
          </w:tcPr>
          <w:p w14:paraId="7CD8DEEA" w14:textId="49DD032D" w:rsidR="00AD7044" w:rsidRDefault="00910CD7" w:rsidP="00AD7044">
            <w:pPr>
              <w:pStyle w:val="NoSpacing"/>
              <w:jc w:val="right"/>
              <w:cnfStyle w:val="000000000000" w:firstRow="0" w:lastRow="0" w:firstColumn="0" w:lastColumn="0" w:oddVBand="0" w:evenVBand="0" w:oddHBand="0" w:evenHBand="0" w:firstRowFirstColumn="0" w:firstRowLastColumn="0" w:lastRowFirstColumn="0" w:lastRowLastColumn="0"/>
            </w:pPr>
            <w:r>
              <w:t>-</w:t>
            </w:r>
            <w:r w:rsidR="00251BBC">
              <w:t>17.4</w:t>
            </w:r>
            <w:r w:rsidR="00AD7044">
              <w:t>%</w:t>
            </w:r>
          </w:p>
        </w:tc>
        <w:tc>
          <w:tcPr>
            <w:tcW w:w="1817" w:type="dxa"/>
            <w:tcBorders>
              <w:top w:val="single" w:sz="4" w:space="0" w:color="ED7D31" w:themeColor="accent2"/>
              <w:left w:val="single" w:sz="4" w:space="0" w:color="ED7D31" w:themeColor="accent2"/>
              <w:bottom w:val="single" w:sz="4" w:space="0" w:color="ED7D31" w:themeColor="accent2"/>
            </w:tcBorders>
          </w:tcPr>
          <w:p w14:paraId="26ECACB9" w14:textId="243D4038" w:rsidR="00AD7044" w:rsidRDefault="00251BBC" w:rsidP="00AD7044">
            <w:pPr>
              <w:pStyle w:val="NoSpacing"/>
              <w:jc w:val="right"/>
              <w:cnfStyle w:val="000000000000" w:firstRow="0" w:lastRow="0" w:firstColumn="0" w:lastColumn="0" w:oddVBand="0" w:evenVBand="0" w:oddHBand="0" w:evenHBand="0" w:firstRowFirstColumn="0" w:firstRowLastColumn="0" w:lastRowFirstColumn="0" w:lastRowLastColumn="0"/>
            </w:pPr>
            <w:r>
              <w:t>419</w:t>
            </w:r>
            <w:r w:rsidR="00AD7044">
              <w:t xml:space="preserve"> million</w:t>
            </w:r>
          </w:p>
        </w:tc>
        <w:tc>
          <w:tcPr>
            <w:tcW w:w="1260" w:type="dxa"/>
            <w:gridSpan w:val="3"/>
          </w:tcPr>
          <w:p w14:paraId="60AAF678" w14:textId="231335DE" w:rsidR="00AD7044" w:rsidRDefault="00910CD7" w:rsidP="00AD7044">
            <w:pPr>
              <w:pStyle w:val="NoSpacing"/>
              <w:jc w:val="right"/>
              <w:cnfStyle w:val="000000000000" w:firstRow="0" w:lastRow="0" w:firstColumn="0" w:lastColumn="0" w:oddVBand="0" w:evenVBand="0" w:oddHBand="0" w:evenHBand="0" w:firstRowFirstColumn="0" w:firstRowLastColumn="0" w:lastRowFirstColumn="0" w:lastRowLastColumn="0"/>
            </w:pPr>
            <w:r>
              <w:t>-</w:t>
            </w:r>
            <w:r w:rsidR="00251BBC">
              <w:t>11.5</w:t>
            </w:r>
            <w:r w:rsidR="00AD7044">
              <w:t>%</w:t>
            </w:r>
          </w:p>
        </w:tc>
        <w:tc>
          <w:tcPr>
            <w:tcW w:w="1170" w:type="dxa"/>
          </w:tcPr>
          <w:p w14:paraId="19BE3B74" w14:textId="2D9C3781" w:rsidR="00AD7044" w:rsidRDefault="00910CD7" w:rsidP="00AD7044">
            <w:pPr>
              <w:pStyle w:val="NoSpacing"/>
              <w:jc w:val="right"/>
              <w:cnfStyle w:val="000000000000" w:firstRow="0" w:lastRow="0" w:firstColumn="0" w:lastColumn="0" w:oddVBand="0" w:evenVBand="0" w:oddHBand="0" w:evenHBand="0" w:firstRowFirstColumn="0" w:firstRowLastColumn="0" w:lastRowFirstColumn="0" w:lastRowLastColumn="0"/>
            </w:pPr>
            <w:r>
              <w:t>-</w:t>
            </w:r>
            <w:r w:rsidR="00251BBC">
              <w:t>8.2</w:t>
            </w:r>
            <w:r w:rsidR="00AD7044">
              <w:t>%</w:t>
            </w:r>
          </w:p>
        </w:tc>
      </w:tr>
      <w:tr w:rsidR="00AD7044" w14:paraId="2EB720F3" w14:textId="77777777" w:rsidTr="00C92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A632454" w14:textId="77777777" w:rsidR="00AD7044" w:rsidRPr="00124CB7" w:rsidRDefault="00AD7044" w:rsidP="00AD7044">
            <w:pPr>
              <w:pStyle w:val="NoSpacing"/>
              <w:rPr>
                <w:b w:val="0"/>
                <w:bCs w:val="0"/>
              </w:rPr>
            </w:pPr>
            <w:r w:rsidRPr="00124CB7">
              <w:rPr>
                <w:b w:val="0"/>
                <w:bCs w:val="0"/>
              </w:rPr>
              <w:t>Volume</w:t>
            </w:r>
            <w:r>
              <w:rPr>
                <w:b w:val="0"/>
                <w:bCs w:val="0"/>
              </w:rPr>
              <w:t xml:space="preserve"> (pounds)</w:t>
            </w:r>
          </w:p>
        </w:tc>
        <w:tc>
          <w:tcPr>
            <w:tcW w:w="1710" w:type="dxa"/>
          </w:tcPr>
          <w:p w14:paraId="68757A76" w14:textId="0596AAD4" w:rsidR="00AD7044" w:rsidRDefault="00251BBC" w:rsidP="00485429">
            <w:pPr>
              <w:pStyle w:val="NoSpacing"/>
              <w:tabs>
                <w:tab w:val="center" w:pos="747"/>
                <w:tab w:val="right" w:pos="1494"/>
              </w:tabs>
              <w:cnfStyle w:val="000000100000" w:firstRow="0" w:lastRow="0" w:firstColumn="0" w:lastColumn="0" w:oddVBand="0" w:evenVBand="0" w:oddHBand="1" w:evenHBand="0" w:firstRowFirstColumn="0" w:firstRowLastColumn="0" w:lastRowFirstColumn="0" w:lastRowLastColumn="0"/>
            </w:pPr>
            <w:r>
              <w:t xml:space="preserve">            20</w:t>
            </w:r>
            <w:r w:rsidR="00485429">
              <w:tab/>
            </w:r>
            <w:r w:rsidR="00AD7044">
              <w:t>million</w:t>
            </w:r>
          </w:p>
        </w:tc>
        <w:tc>
          <w:tcPr>
            <w:tcW w:w="1200" w:type="dxa"/>
          </w:tcPr>
          <w:p w14:paraId="7DE7F9CC" w14:textId="522AF084" w:rsidR="00AD7044" w:rsidRDefault="00910CD7" w:rsidP="00AD7044">
            <w:pPr>
              <w:pStyle w:val="NoSpacing"/>
              <w:jc w:val="right"/>
              <w:cnfStyle w:val="000000100000" w:firstRow="0" w:lastRow="0" w:firstColumn="0" w:lastColumn="0" w:oddVBand="0" w:evenVBand="0" w:oddHBand="1" w:evenHBand="0" w:firstRowFirstColumn="0" w:firstRowLastColumn="0" w:lastRowFirstColumn="0" w:lastRowLastColumn="0"/>
            </w:pPr>
            <w:r>
              <w:t>-</w:t>
            </w:r>
            <w:r w:rsidR="00251BBC">
              <w:t>13.2</w:t>
            </w:r>
            <w:r w:rsidR="00AD7044">
              <w:t>%</w:t>
            </w:r>
          </w:p>
        </w:tc>
        <w:tc>
          <w:tcPr>
            <w:tcW w:w="1102" w:type="dxa"/>
            <w:tcBorders>
              <w:right w:val="single" w:sz="4" w:space="0" w:color="ED7D31" w:themeColor="accent2"/>
            </w:tcBorders>
          </w:tcPr>
          <w:p w14:paraId="47670DC1" w14:textId="389B6908" w:rsidR="00AD7044" w:rsidRDefault="00910CD7" w:rsidP="00AD7044">
            <w:pPr>
              <w:pStyle w:val="NoSpacing"/>
              <w:jc w:val="right"/>
              <w:cnfStyle w:val="000000100000" w:firstRow="0" w:lastRow="0" w:firstColumn="0" w:lastColumn="0" w:oddVBand="0" w:evenVBand="0" w:oddHBand="1" w:evenHBand="0" w:firstRowFirstColumn="0" w:firstRowLastColumn="0" w:lastRowFirstColumn="0" w:lastRowLastColumn="0"/>
            </w:pPr>
            <w:r>
              <w:t>-</w:t>
            </w:r>
            <w:r w:rsidR="00251BBC">
              <w:t>13.4</w:t>
            </w:r>
            <w:r w:rsidR="00AD7044">
              <w:t>%</w:t>
            </w:r>
          </w:p>
        </w:tc>
        <w:tc>
          <w:tcPr>
            <w:tcW w:w="1817" w:type="dxa"/>
            <w:tcBorders>
              <w:left w:val="single" w:sz="4" w:space="0" w:color="ED7D31" w:themeColor="accent2"/>
            </w:tcBorders>
          </w:tcPr>
          <w:p w14:paraId="57878EB0" w14:textId="28424879" w:rsidR="00AD7044" w:rsidRDefault="00910CD7" w:rsidP="00910CD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pPr>
            <w:r>
              <w:t xml:space="preserve">      </w:t>
            </w:r>
            <w:r w:rsidR="00251BBC">
              <w:t xml:space="preserve"> 266</w:t>
            </w:r>
            <w:r w:rsidR="00AD7044">
              <w:t xml:space="preserve"> million</w:t>
            </w:r>
          </w:p>
        </w:tc>
        <w:tc>
          <w:tcPr>
            <w:tcW w:w="1260" w:type="dxa"/>
            <w:gridSpan w:val="3"/>
          </w:tcPr>
          <w:p w14:paraId="0679CD28" w14:textId="22648930" w:rsidR="00AD7044" w:rsidRDefault="00910CD7" w:rsidP="00AD7044">
            <w:pPr>
              <w:pStyle w:val="NoSpacing"/>
              <w:jc w:val="right"/>
              <w:cnfStyle w:val="000000100000" w:firstRow="0" w:lastRow="0" w:firstColumn="0" w:lastColumn="0" w:oddVBand="0" w:evenVBand="0" w:oddHBand="1" w:evenHBand="0" w:firstRowFirstColumn="0" w:firstRowLastColumn="0" w:lastRowFirstColumn="0" w:lastRowLastColumn="0"/>
            </w:pPr>
            <w:r>
              <w:t>-</w:t>
            </w:r>
            <w:r w:rsidR="00251BBC">
              <w:t>11.1</w:t>
            </w:r>
            <w:r w:rsidR="00AD7044">
              <w:t>%</w:t>
            </w:r>
          </w:p>
        </w:tc>
        <w:tc>
          <w:tcPr>
            <w:tcW w:w="1170" w:type="dxa"/>
          </w:tcPr>
          <w:p w14:paraId="09C03B7F" w14:textId="7A105BA6" w:rsidR="00AD7044" w:rsidRDefault="00910CD7" w:rsidP="00AD7044">
            <w:pPr>
              <w:pStyle w:val="NoSpacing"/>
              <w:jc w:val="right"/>
              <w:cnfStyle w:val="000000100000" w:firstRow="0" w:lastRow="0" w:firstColumn="0" w:lastColumn="0" w:oddVBand="0" w:evenVBand="0" w:oddHBand="1" w:evenHBand="0" w:firstRowFirstColumn="0" w:firstRowLastColumn="0" w:lastRowFirstColumn="0" w:lastRowLastColumn="0"/>
            </w:pPr>
            <w:r>
              <w:t>-</w:t>
            </w:r>
            <w:r w:rsidR="00251BBC">
              <w:t>5.4</w:t>
            </w:r>
            <w:r w:rsidR="00AD7044">
              <w:t>%</w:t>
            </w:r>
          </w:p>
        </w:tc>
      </w:tr>
    </w:tbl>
    <w:p w14:paraId="5B1F1AF6" w14:textId="01E497DA"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sidR="00977F7F">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221F2D">
        <w:rPr>
          <w:color w:val="7F7F7F" w:themeColor="text1" w:themeTint="80"/>
          <w:sz w:val="16"/>
          <w:szCs w:val="16"/>
        </w:rPr>
        <w:t>2/26/2023</w:t>
      </w:r>
    </w:p>
    <w:p w14:paraId="693975F5" w14:textId="5C6F2673" w:rsidR="000809C3" w:rsidRDefault="000809C3" w:rsidP="00472B02">
      <w:pPr>
        <w:pStyle w:val="NoSpacing"/>
      </w:pPr>
    </w:p>
    <w:p w14:paraId="6A743FB2" w14:textId="6A42085A" w:rsidR="000809C3" w:rsidRDefault="00730897" w:rsidP="00FF42F9">
      <w:pPr>
        <w:pStyle w:val="NoSpacing"/>
      </w:pPr>
      <w:r>
        <w:t>W</w:t>
      </w:r>
      <w:r w:rsidR="005547EE">
        <w:t xml:space="preserve">eekly sales </w:t>
      </w:r>
      <w:r>
        <w:t xml:space="preserve">for mushrooms </w:t>
      </w:r>
      <w:r w:rsidR="00BE7EF2">
        <w:t>averaged between</w:t>
      </w:r>
      <w:r w:rsidR="00445779">
        <w:t xml:space="preserve"> $</w:t>
      </w:r>
      <w:r w:rsidR="004E4F69">
        <w:t>23.6</w:t>
      </w:r>
      <w:r w:rsidR="00085508">
        <w:t xml:space="preserve"> million and</w:t>
      </w:r>
      <w:r w:rsidR="00BE7EF2">
        <w:t xml:space="preserve"> $</w:t>
      </w:r>
      <w:r w:rsidR="004E4F69">
        <w:t>24.7</w:t>
      </w:r>
      <w:r w:rsidR="003A3323">
        <w:t xml:space="preserve"> million, which</w:t>
      </w:r>
      <w:r w:rsidR="00085508">
        <w:t xml:space="preserve"> </w:t>
      </w:r>
      <w:r w:rsidR="00314DA1">
        <w:t>was in line with the weekly levels of the past few months</w:t>
      </w:r>
      <w:r w:rsidR="00F47EA1">
        <w:t xml:space="preserve">. </w:t>
      </w:r>
      <w:r w:rsidR="00314DA1">
        <w:t>P</w:t>
      </w:r>
      <w:r w:rsidR="00F47EA1">
        <w:t>ound</w:t>
      </w:r>
      <w:r w:rsidR="00314DA1">
        <w:t xml:space="preserve"> </w:t>
      </w:r>
      <w:r w:rsidR="00F47EA1">
        <w:t>s</w:t>
      </w:r>
      <w:r w:rsidR="00314DA1">
        <w:t>ales</w:t>
      </w:r>
      <w:r w:rsidR="00F47EA1">
        <w:t xml:space="preserve"> </w:t>
      </w:r>
      <w:r w:rsidR="00314DA1">
        <w:t>averaged between 5.7 and 5.9 million per week. The period-over-period sales trend fell back into the prior-year patterns (as seen on the forecasting tab) but remains well below 2019 levels at this point in terms of absolute pounds</w:t>
      </w:r>
      <w:r w:rsidR="00EF1E09">
        <w:t xml:space="preserve">. </w:t>
      </w:r>
    </w:p>
    <w:p w14:paraId="71B34E16" w14:textId="77777777" w:rsidR="00FF42F9" w:rsidRDefault="00FF42F9" w:rsidP="00FF42F9">
      <w:pPr>
        <w:pStyle w:val="NoSpacing"/>
      </w:pPr>
    </w:p>
    <w:tbl>
      <w:tblPr>
        <w:tblStyle w:val="ListTable3-Accent2"/>
        <w:tblW w:w="9985" w:type="dxa"/>
        <w:tblLook w:val="04A0" w:firstRow="1" w:lastRow="0" w:firstColumn="1" w:lastColumn="0" w:noHBand="0" w:noVBand="1"/>
      </w:tblPr>
      <w:tblGrid>
        <w:gridCol w:w="2122"/>
        <w:gridCol w:w="997"/>
        <w:gridCol w:w="1291"/>
        <w:gridCol w:w="1291"/>
        <w:gridCol w:w="1134"/>
        <w:gridCol w:w="1530"/>
        <w:gridCol w:w="1620"/>
      </w:tblGrid>
      <w:tr w:rsidR="000809C3" w:rsidRPr="00DE633B" w14:paraId="5AF9AC2D" w14:textId="77777777" w:rsidTr="008B633D">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2122" w:type="dxa"/>
          </w:tcPr>
          <w:p w14:paraId="3CBC11F7" w14:textId="77777777" w:rsidR="000809C3" w:rsidRPr="006A7A6E" w:rsidRDefault="000809C3" w:rsidP="000809C3">
            <w:pPr>
              <w:rPr>
                <w:rFonts w:cstheme="minorHAnsi"/>
              </w:rPr>
            </w:pPr>
            <w:r w:rsidRPr="006A7A6E">
              <w:rPr>
                <w:rFonts w:cstheme="minorHAnsi"/>
              </w:rPr>
              <w:lastRenderedPageBreak/>
              <w:t>Fresh mushrooms</w:t>
            </w:r>
          </w:p>
        </w:tc>
        <w:tc>
          <w:tcPr>
            <w:tcW w:w="997" w:type="dxa"/>
          </w:tcPr>
          <w:p w14:paraId="160A0879" w14:textId="77777777"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Dollar </w:t>
            </w:r>
            <w:r w:rsidRPr="006A7A6E">
              <w:rPr>
                <w:rFonts w:cstheme="minorHAnsi"/>
              </w:rPr>
              <w:br/>
              <w:t>sales</w:t>
            </w:r>
          </w:p>
        </w:tc>
        <w:tc>
          <w:tcPr>
            <w:tcW w:w="1291" w:type="dxa"/>
          </w:tcPr>
          <w:p w14:paraId="19F3D856" w14:textId="26DDEF19"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Dollar gains vs. </w:t>
            </w:r>
            <w:r w:rsidR="00251BBC">
              <w:rPr>
                <w:rFonts w:cstheme="minorHAnsi"/>
              </w:rPr>
              <w:t>2022</w:t>
            </w:r>
          </w:p>
        </w:tc>
        <w:tc>
          <w:tcPr>
            <w:tcW w:w="1291" w:type="dxa"/>
            <w:tcBorders>
              <w:right w:val="single" w:sz="4" w:space="0" w:color="ED7D31" w:themeColor="accent2"/>
            </w:tcBorders>
          </w:tcPr>
          <w:p w14:paraId="3ABF0E92" w14:textId="2FF24334"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Dollar gains vs. </w:t>
            </w:r>
            <w:r w:rsidR="00251BBC">
              <w:rPr>
                <w:rFonts w:cstheme="minorHAnsi"/>
              </w:rPr>
              <w:t>2020</w:t>
            </w:r>
          </w:p>
        </w:tc>
        <w:tc>
          <w:tcPr>
            <w:tcW w:w="1134" w:type="dxa"/>
            <w:tcBorders>
              <w:left w:val="single" w:sz="4" w:space="0" w:color="ED7D31" w:themeColor="accent2"/>
            </w:tcBorders>
          </w:tcPr>
          <w:p w14:paraId="4E9EBAC6" w14:textId="64CD0FF1"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Volume </w:t>
            </w:r>
            <w:r w:rsidRPr="006A7A6E">
              <w:rPr>
                <w:rFonts w:cstheme="minorHAnsi"/>
              </w:rPr>
              <w:br/>
              <w:t>sales</w:t>
            </w:r>
          </w:p>
        </w:tc>
        <w:tc>
          <w:tcPr>
            <w:tcW w:w="1530" w:type="dxa"/>
          </w:tcPr>
          <w:p w14:paraId="3A701F90" w14:textId="1067C8DD"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Volume gains vs. </w:t>
            </w:r>
            <w:r w:rsidR="00251BBC">
              <w:rPr>
                <w:rFonts w:cstheme="minorHAnsi"/>
              </w:rPr>
              <w:t>2022</w:t>
            </w:r>
          </w:p>
        </w:tc>
        <w:tc>
          <w:tcPr>
            <w:tcW w:w="1620" w:type="dxa"/>
          </w:tcPr>
          <w:p w14:paraId="7A77A4C9" w14:textId="7B587886"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Volume gains vs. </w:t>
            </w:r>
            <w:r w:rsidR="00251BBC">
              <w:rPr>
                <w:rFonts w:cstheme="minorHAnsi"/>
              </w:rPr>
              <w:t>2020</w:t>
            </w:r>
          </w:p>
        </w:tc>
      </w:tr>
      <w:tr w:rsidR="000809C3" w14:paraId="69B1B691" w14:textId="77777777" w:rsidTr="008B63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22" w:type="dxa"/>
          </w:tcPr>
          <w:p w14:paraId="374F2F9C" w14:textId="1F32312C" w:rsidR="000809C3" w:rsidRPr="006A7A6E" w:rsidRDefault="000C3CC4" w:rsidP="000809C3">
            <w:pPr>
              <w:pStyle w:val="NoSpacing"/>
              <w:rPr>
                <w:rFonts w:cstheme="minorHAnsi"/>
                <w:color w:val="000000" w:themeColor="text1"/>
              </w:rPr>
            </w:pPr>
            <w:r>
              <w:rPr>
                <w:rFonts w:cstheme="minorHAnsi"/>
                <w:color w:val="000000" w:themeColor="text1"/>
              </w:rPr>
              <w:t xml:space="preserve">4 w.e. </w:t>
            </w:r>
            <w:r w:rsidR="00221F2D">
              <w:rPr>
                <w:rFonts w:cstheme="minorHAnsi"/>
                <w:color w:val="000000" w:themeColor="text1"/>
              </w:rPr>
              <w:t>2/26/2023</w:t>
            </w:r>
          </w:p>
        </w:tc>
        <w:tc>
          <w:tcPr>
            <w:tcW w:w="997" w:type="dxa"/>
          </w:tcPr>
          <w:p w14:paraId="73E257C6" w14:textId="20A4CD30" w:rsidR="000809C3" w:rsidRPr="006A7A6E" w:rsidRDefault="000809C3"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4E4F69">
              <w:rPr>
                <w:rFonts w:cstheme="minorHAnsi"/>
                <w:b/>
                <w:bCs/>
                <w:color w:val="000000" w:themeColor="text1"/>
              </w:rPr>
              <w:t>97.0</w:t>
            </w:r>
            <w:r w:rsidRPr="006A7A6E">
              <w:rPr>
                <w:rFonts w:cstheme="minorHAnsi"/>
                <w:b/>
                <w:bCs/>
                <w:color w:val="000000" w:themeColor="text1"/>
              </w:rPr>
              <w:t>M</w:t>
            </w:r>
          </w:p>
        </w:tc>
        <w:tc>
          <w:tcPr>
            <w:tcW w:w="1291" w:type="dxa"/>
          </w:tcPr>
          <w:p w14:paraId="4D4E3A8B" w14:textId="0A4076F7" w:rsidR="000809C3" w:rsidRPr="006A7A6E" w:rsidRDefault="000809C3"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4E4F69">
              <w:rPr>
                <w:rFonts w:cstheme="minorHAnsi"/>
                <w:b/>
                <w:bCs/>
                <w:color w:val="000000" w:themeColor="text1"/>
              </w:rPr>
              <w:t>6.9</w:t>
            </w:r>
            <w:r w:rsidRPr="006A7A6E">
              <w:rPr>
                <w:rFonts w:cstheme="minorHAnsi"/>
                <w:b/>
                <w:bCs/>
                <w:color w:val="000000" w:themeColor="text1"/>
              </w:rPr>
              <w:t>%</w:t>
            </w:r>
          </w:p>
        </w:tc>
        <w:tc>
          <w:tcPr>
            <w:tcW w:w="1291" w:type="dxa"/>
            <w:tcBorders>
              <w:right w:val="single" w:sz="4" w:space="0" w:color="ED7D31" w:themeColor="accent2"/>
            </w:tcBorders>
          </w:tcPr>
          <w:p w14:paraId="4D28CAD3" w14:textId="38B47742" w:rsidR="000809C3" w:rsidRPr="006A7A6E" w:rsidRDefault="004E4F69"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Pr>
                <w:rFonts w:cstheme="minorHAnsi"/>
                <w:b/>
                <w:bCs/>
                <w:color w:val="000000" w:themeColor="text1"/>
              </w:rPr>
              <w:t>-0.7%</w:t>
            </w:r>
          </w:p>
        </w:tc>
        <w:tc>
          <w:tcPr>
            <w:tcW w:w="1134" w:type="dxa"/>
            <w:tcBorders>
              <w:left w:val="single" w:sz="4" w:space="0" w:color="ED7D31" w:themeColor="accent2"/>
            </w:tcBorders>
          </w:tcPr>
          <w:p w14:paraId="30F9E2CF" w14:textId="103B3DF8" w:rsidR="000809C3" w:rsidRPr="006A7A6E" w:rsidRDefault="004E4F69"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Pr>
                <w:rFonts w:cstheme="minorHAnsi"/>
                <w:b/>
                <w:bCs/>
                <w:color w:val="000000" w:themeColor="text1"/>
              </w:rPr>
              <w:t>20.3</w:t>
            </w:r>
            <w:r w:rsidR="000809C3" w:rsidRPr="006A7A6E">
              <w:rPr>
                <w:rFonts w:cstheme="minorHAnsi"/>
                <w:b/>
                <w:bCs/>
                <w:color w:val="000000" w:themeColor="text1"/>
              </w:rPr>
              <w:t>M</w:t>
            </w:r>
          </w:p>
        </w:tc>
        <w:tc>
          <w:tcPr>
            <w:tcW w:w="1530" w:type="dxa"/>
          </w:tcPr>
          <w:p w14:paraId="7D7EF716" w14:textId="01DA6167" w:rsidR="000809C3" w:rsidRPr="006A7A6E" w:rsidRDefault="000809C3"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4E4F69">
              <w:rPr>
                <w:rFonts w:cstheme="minorHAnsi"/>
                <w:b/>
                <w:bCs/>
                <w:color w:val="000000" w:themeColor="text1"/>
              </w:rPr>
              <w:t>13.2</w:t>
            </w:r>
            <w:r w:rsidRPr="006A7A6E">
              <w:rPr>
                <w:rFonts w:cstheme="minorHAnsi"/>
                <w:b/>
                <w:bCs/>
                <w:color w:val="000000" w:themeColor="text1"/>
              </w:rPr>
              <w:t>%</w:t>
            </w:r>
          </w:p>
        </w:tc>
        <w:tc>
          <w:tcPr>
            <w:tcW w:w="1620" w:type="dxa"/>
          </w:tcPr>
          <w:p w14:paraId="0ADA09AC" w14:textId="660A0C16" w:rsidR="000809C3" w:rsidRPr="006A7A6E" w:rsidRDefault="0086198D" w:rsidP="000809C3">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Pr>
                <w:rFonts w:cstheme="minorHAnsi"/>
                <w:b/>
                <w:bCs/>
                <w:color w:val="000000" w:themeColor="text1"/>
              </w:rPr>
              <w:t>-</w:t>
            </w:r>
            <w:r w:rsidR="004E4F69">
              <w:rPr>
                <w:rFonts w:cstheme="minorHAnsi"/>
                <w:b/>
                <w:bCs/>
                <w:color w:val="000000" w:themeColor="text1"/>
              </w:rPr>
              <w:t>13.4</w:t>
            </w:r>
            <w:r w:rsidR="000809C3" w:rsidRPr="006A7A6E">
              <w:rPr>
                <w:rFonts w:cstheme="minorHAnsi"/>
                <w:b/>
                <w:bCs/>
                <w:color w:val="000000" w:themeColor="text1"/>
              </w:rPr>
              <w:t>%</w:t>
            </w:r>
          </w:p>
        </w:tc>
      </w:tr>
      <w:tr w:rsidR="0004266D" w14:paraId="4161B78F" w14:textId="77777777" w:rsidTr="008B633D">
        <w:trPr>
          <w:trHeight w:val="255"/>
        </w:trPr>
        <w:tc>
          <w:tcPr>
            <w:cnfStyle w:val="001000000000" w:firstRow="0" w:lastRow="0" w:firstColumn="1" w:lastColumn="0" w:oddVBand="0" w:evenVBand="0" w:oddHBand="0" w:evenHBand="0" w:firstRowFirstColumn="0" w:firstRowLastColumn="0" w:lastRowFirstColumn="0" w:lastRowLastColumn="0"/>
            <w:tcW w:w="2122" w:type="dxa"/>
          </w:tcPr>
          <w:p w14:paraId="61B5C386" w14:textId="04A99C47" w:rsidR="0004266D" w:rsidRPr="006A7A6E" w:rsidRDefault="0004266D" w:rsidP="0004266D">
            <w:pPr>
              <w:pStyle w:val="NoSpacing"/>
              <w:rPr>
                <w:rFonts w:cstheme="minorHAnsi"/>
                <w:b w:val="0"/>
                <w:color w:val="000000" w:themeColor="text1"/>
              </w:rPr>
            </w:pPr>
            <w:r w:rsidRPr="006A7A6E">
              <w:rPr>
                <w:rFonts w:cstheme="minorHAnsi"/>
                <w:b w:val="0"/>
                <w:color w:val="000000" w:themeColor="text1"/>
              </w:rPr>
              <w:t xml:space="preserve">w.e. </w:t>
            </w:r>
            <w:r w:rsidR="00221F2D">
              <w:rPr>
                <w:rFonts w:cstheme="minorHAnsi"/>
                <w:b w:val="0"/>
                <w:color w:val="000000" w:themeColor="text1"/>
              </w:rPr>
              <w:t>2</w:t>
            </w:r>
            <w:r w:rsidRPr="006A7A6E">
              <w:rPr>
                <w:rFonts w:cstheme="minorHAnsi"/>
                <w:b w:val="0"/>
                <w:color w:val="000000" w:themeColor="text1"/>
              </w:rPr>
              <w:t>/</w:t>
            </w:r>
            <w:r w:rsidR="00221F2D">
              <w:rPr>
                <w:rFonts w:cstheme="minorHAnsi"/>
                <w:b w:val="0"/>
                <w:color w:val="000000" w:themeColor="text1"/>
              </w:rPr>
              <w:t>5</w:t>
            </w:r>
            <w:r w:rsidR="00694050">
              <w:rPr>
                <w:rFonts w:cstheme="minorHAnsi"/>
                <w:b w:val="0"/>
                <w:color w:val="000000" w:themeColor="text1"/>
              </w:rPr>
              <w:t>/2023</w:t>
            </w:r>
          </w:p>
        </w:tc>
        <w:tc>
          <w:tcPr>
            <w:tcW w:w="997" w:type="dxa"/>
          </w:tcPr>
          <w:p w14:paraId="151AC645" w14:textId="2A46B973" w:rsidR="0004266D" w:rsidRPr="0004266D" w:rsidRDefault="0004266D" w:rsidP="0004266D">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4E4F69">
              <w:rPr>
                <w:rFonts w:cstheme="minorHAnsi"/>
                <w:color w:val="000000" w:themeColor="text1"/>
              </w:rPr>
              <w:t>24.4</w:t>
            </w:r>
            <w:r w:rsidRPr="0004266D">
              <w:rPr>
                <w:rFonts w:cstheme="minorHAnsi"/>
                <w:color w:val="000000" w:themeColor="text1"/>
              </w:rPr>
              <w:t>M</w:t>
            </w:r>
          </w:p>
        </w:tc>
        <w:tc>
          <w:tcPr>
            <w:tcW w:w="1291" w:type="dxa"/>
          </w:tcPr>
          <w:p w14:paraId="3F350FB2" w14:textId="416C854F" w:rsidR="0004266D" w:rsidRPr="0004266D" w:rsidRDefault="0004266D" w:rsidP="0004266D">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4E4F69">
              <w:rPr>
                <w:rFonts w:cstheme="minorHAnsi"/>
                <w:color w:val="000000" w:themeColor="text1"/>
              </w:rPr>
              <w:t>8.4</w:t>
            </w:r>
            <w:r w:rsidRPr="0004266D">
              <w:rPr>
                <w:rFonts w:cstheme="minorHAnsi"/>
                <w:color w:val="000000" w:themeColor="text1"/>
              </w:rPr>
              <w:t>%</w:t>
            </w:r>
          </w:p>
        </w:tc>
        <w:tc>
          <w:tcPr>
            <w:tcW w:w="1291" w:type="dxa"/>
            <w:tcBorders>
              <w:right w:val="single" w:sz="4" w:space="0" w:color="ED7D31" w:themeColor="accent2"/>
            </w:tcBorders>
          </w:tcPr>
          <w:p w14:paraId="71A7F634" w14:textId="1F5C9906" w:rsidR="0004266D" w:rsidRPr="0004266D" w:rsidRDefault="00FF42F9" w:rsidP="0004266D">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w:t>
            </w:r>
            <w:r w:rsidR="004E4F69">
              <w:rPr>
                <w:rFonts w:cstheme="minorHAnsi"/>
                <w:color w:val="000000" w:themeColor="text1"/>
              </w:rPr>
              <w:t>2.1</w:t>
            </w:r>
            <w:r w:rsidR="0004266D" w:rsidRPr="0004266D">
              <w:rPr>
                <w:rFonts w:cstheme="minorHAnsi"/>
                <w:color w:val="000000" w:themeColor="text1"/>
              </w:rPr>
              <w:t>%</w:t>
            </w:r>
          </w:p>
        </w:tc>
        <w:tc>
          <w:tcPr>
            <w:tcW w:w="1134" w:type="dxa"/>
            <w:tcBorders>
              <w:left w:val="single" w:sz="4" w:space="0" w:color="ED7D31" w:themeColor="accent2"/>
            </w:tcBorders>
          </w:tcPr>
          <w:p w14:paraId="539D2139" w14:textId="5BAA178C" w:rsidR="0004266D" w:rsidRPr="0004266D" w:rsidRDefault="004E4F69" w:rsidP="0004266D">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5.9</w:t>
            </w:r>
            <w:r w:rsidR="0004266D" w:rsidRPr="0004266D">
              <w:rPr>
                <w:rFonts w:cstheme="minorHAnsi"/>
                <w:color w:val="000000" w:themeColor="text1"/>
              </w:rPr>
              <w:t>M</w:t>
            </w:r>
          </w:p>
        </w:tc>
        <w:tc>
          <w:tcPr>
            <w:tcW w:w="1530" w:type="dxa"/>
          </w:tcPr>
          <w:p w14:paraId="4E107D1E" w14:textId="47DFD2D1" w:rsidR="0004266D" w:rsidRPr="0004266D" w:rsidRDefault="0004266D" w:rsidP="0004266D">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4E4F69">
              <w:rPr>
                <w:rFonts w:cstheme="minorHAnsi"/>
                <w:color w:val="000000" w:themeColor="text1"/>
              </w:rPr>
              <w:t>14.7</w:t>
            </w:r>
            <w:r w:rsidRPr="0004266D">
              <w:rPr>
                <w:rFonts w:cstheme="minorHAnsi"/>
                <w:color w:val="000000" w:themeColor="text1"/>
              </w:rPr>
              <w:t>%</w:t>
            </w:r>
          </w:p>
        </w:tc>
        <w:tc>
          <w:tcPr>
            <w:tcW w:w="1620" w:type="dxa"/>
          </w:tcPr>
          <w:p w14:paraId="699CD9F0" w14:textId="0A1253C5" w:rsidR="0004266D" w:rsidRPr="0004266D" w:rsidRDefault="00910CD7" w:rsidP="0004266D">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w:t>
            </w:r>
            <w:r w:rsidR="004E4F69">
              <w:rPr>
                <w:rFonts w:cstheme="minorHAnsi"/>
                <w:color w:val="000000" w:themeColor="text1"/>
              </w:rPr>
              <w:t>11.9</w:t>
            </w:r>
            <w:r w:rsidR="0004266D" w:rsidRPr="0004266D">
              <w:rPr>
                <w:rFonts w:cstheme="minorHAnsi"/>
                <w:color w:val="000000" w:themeColor="text1"/>
              </w:rPr>
              <w:t>%</w:t>
            </w:r>
          </w:p>
        </w:tc>
      </w:tr>
      <w:tr w:rsidR="005547EE" w14:paraId="46E32385" w14:textId="77777777" w:rsidTr="008B63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22" w:type="dxa"/>
          </w:tcPr>
          <w:p w14:paraId="5CCBCDF3" w14:textId="073AF357" w:rsidR="005547EE" w:rsidRPr="006A7A6E" w:rsidRDefault="005547EE" w:rsidP="00694050">
            <w:pPr>
              <w:rPr>
                <w:rFonts w:cstheme="minorHAnsi"/>
                <w:color w:val="000000" w:themeColor="text1"/>
              </w:rPr>
            </w:pPr>
            <w:r w:rsidRPr="006A7A6E">
              <w:rPr>
                <w:rFonts w:cstheme="minorHAnsi"/>
                <w:b w:val="0"/>
                <w:color w:val="000000" w:themeColor="text1"/>
              </w:rPr>
              <w:t xml:space="preserve">w.e. </w:t>
            </w:r>
            <w:r w:rsidR="00221F2D">
              <w:rPr>
                <w:rFonts w:cstheme="minorHAnsi"/>
                <w:b w:val="0"/>
                <w:color w:val="000000" w:themeColor="text1"/>
              </w:rPr>
              <w:t>2</w:t>
            </w:r>
            <w:r w:rsidRPr="006A7A6E">
              <w:rPr>
                <w:rFonts w:cstheme="minorHAnsi"/>
                <w:b w:val="0"/>
                <w:color w:val="000000" w:themeColor="text1"/>
              </w:rPr>
              <w:t>/</w:t>
            </w:r>
            <w:r w:rsidR="00221F2D">
              <w:rPr>
                <w:rFonts w:cstheme="minorHAnsi"/>
                <w:b w:val="0"/>
                <w:color w:val="000000" w:themeColor="text1"/>
              </w:rPr>
              <w:t>12</w:t>
            </w:r>
            <w:r w:rsidR="00694050">
              <w:rPr>
                <w:rFonts w:cstheme="minorHAnsi"/>
                <w:b w:val="0"/>
                <w:color w:val="000000" w:themeColor="text1"/>
              </w:rPr>
              <w:t>/2023</w:t>
            </w:r>
          </w:p>
        </w:tc>
        <w:tc>
          <w:tcPr>
            <w:tcW w:w="997" w:type="dxa"/>
          </w:tcPr>
          <w:p w14:paraId="11A8DDCA" w14:textId="28904189" w:rsidR="005547EE" w:rsidRPr="0004266D" w:rsidRDefault="005547EE" w:rsidP="005547EE">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4E4F69">
              <w:rPr>
                <w:rFonts w:cstheme="minorHAnsi"/>
                <w:color w:val="000000" w:themeColor="text1"/>
              </w:rPr>
              <w:t>24.7</w:t>
            </w:r>
            <w:r w:rsidRPr="0004266D">
              <w:rPr>
                <w:rFonts w:cstheme="minorHAnsi"/>
                <w:color w:val="000000" w:themeColor="text1"/>
              </w:rPr>
              <w:t>M</w:t>
            </w:r>
          </w:p>
        </w:tc>
        <w:tc>
          <w:tcPr>
            <w:tcW w:w="1291" w:type="dxa"/>
          </w:tcPr>
          <w:p w14:paraId="16514130" w14:textId="2ACE6B50" w:rsidR="005547EE" w:rsidRPr="0004266D" w:rsidRDefault="005547EE" w:rsidP="005547EE">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4E4F69">
              <w:rPr>
                <w:rFonts w:cstheme="minorHAnsi"/>
                <w:color w:val="000000" w:themeColor="text1"/>
              </w:rPr>
              <w:t>6.9</w:t>
            </w:r>
            <w:r w:rsidRPr="0004266D">
              <w:rPr>
                <w:rFonts w:cstheme="minorHAnsi"/>
                <w:color w:val="000000" w:themeColor="text1"/>
              </w:rPr>
              <w:t>%</w:t>
            </w:r>
          </w:p>
        </w:tc>
        <w:tc>
          <w:tcPr>
            <w:tcW w:w="1291" w:type="dxa"/>
            <w:tcBorders>
              <w:right w:val="single" w:sz="4" w:space="0" w:color="ED7D31" w:themeColor="accent2"/>
            </w:tcBorders>
          </w:tcPr>
          <w:p w14:paraId="463E87C2" w14:textId="6ADA7798" w:rsidR="005547EE" w:rsidRPr="0004266D" w:rsidRDefault="004E4F69" w:rsidP="005547EE">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-1.9</w:t>
            </w:r>
            <w:r w:rsidR="005547EE" w:rsidRPr="0004266D">
              <w:rPr>
                <w:rFonts w:cstheme="minorHAnsi"/>
                <w:color w:val="000000" w:themeColor="text1"/>
              </w:rPr>
              <w:t>%</w:t>
            </w:r>
          </w:p>
        </w:tc>
        <w:tc>
          <w:tcPr>
            <w:tcW w:w="1134" w:type="dxa"/>
            <w:tcBorders>
              <w:left w:val="single" w:sz="4" w:space="0" w:color="ED7D31" w:themeColor="accent2"/>
            </w:tcBorders>
          </w:tcPr>
          <w:p w14:paraId="67EAF597" w14:textId="5F333B28" w:rsidR="005547EE" w:rsidRPr="0004266D" w:rsidRDefault="004E4F69" w:rsidP="005547EE">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5.9</w:t>
            </w:r>
            <w:r w:rsidR="005547EE" w:rsidRPr="0004266D">
              <w:rPr>
                <w:rFonts w:cstheme="minorHAnsi"/>
                <w:color w:val="000000" w:themeColor="text1"/>
              </w:rPr>
              <w:t>M</w:t>
            </w:r>
          </w:p>
        </w:tc>
        <w:tc>
          <w:tcPr>
            <w:tcW w:w="1530" w:type="dxa"/>
          </w:tcPr>
          <w:p w14:paraId="3BDC9313" w14:textId="3518B9B8" w:rsidR="005547EE" w:rsidRPr="0004266D" w:rsidRDefault="005547EE" w:rsidP="005547EE">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4E4F69">
              <w:rPr>
                <w:rFonts w:cstheme="minorHAnsi"/>
                <w:color w:val="000000" w:themeColor="text1"/>
              </w:rPr>
              <w:t>13.3</w:t>
            </w:r>
            <w:r w:rsidRPr="0004266D">
              <w:rPr>
                <w:rFonts w:cstheme="minorHAnsi"/>
                <w:color w:val="000000" w:themeColor="text1"/>
              </w:rPr>
              <w:t>%</w:t>
            </w:r>
          </w:p>
        </w:tc>
        <w:tc>
          <w:tcPr>
            <w:tcW w:w="1620" w:type="dxa"/>
          </w:tcPr>
          <w:p w14:paraId="180304FD" w14:textId="5B02738E" w:rsidR="005547EE" w:rsidRPr="0004266D" w:rsidRDefault="00145E27" w:rsidP="005547EE">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w:t>
            </w:r>
            <w:r w:rsidR="004E4F69">
              <w:rPr>
                <w:rFonts w:cstheme="minorHAnsi"/>
                <w:color w:val="000000" w:themeColor="text1"/>
              </w:rPr>
              <w:t>14.0</w:t>
            </w:r>
            <w:r w:rsidR="005547EE" w:rsidRPr="0004266D">
              <w:rPr>
                <w:rFonts w:cstheme="minorHAnsi"/>
                <w:color w:val="000000" w:themeColor="text1"/>
              </w:rPr>
              <w:t>%</w:t>
            </w:r>
          </w:p>
        </w:tc>
      </w:tr>
      <w:tr w:rsidR="005547EE" w14:paraId="29C076C3" w14:textId="77777777" w:rsidTr="008B633D">
        <w:trPr>
          <w:trHeight w:val="255"/>
        </w:trPr>
        <w:tc>
          <w:tcPr>
            <w:cnfStyle w:val="001000000000" w:firstRow="0" w:lastRow="0" w:firstColumn="1" w:lastColumn="0" w:oddVBand="0" w:evenVBand="0" w:oddHBand="0" w:evenHBand="0" w:firstRowFirstColumn="0" w:firstRowLastColumn="0" w:lastRowFirstColumn="0" w:lastRowLastColumn="0"/>
            <w:tcW w:w="2122" w:type="dxa"/>
          </w:tcPr>
          <w:p w14:paraId="12D67558" w14:textId="704FB7A0" w:rsidR="005547EE" w:rsidRPr="006A7A6E" w:rsidRDefault="005547EE" w:rsidP="005547EE">
            <w:pPr>
              <w:rPr>
                <w:rFonts w:cstheme="minorHAnsi"/>
                <w:color w:val="000000" w:themeColor="text1"/>
              </w:rPr>
            </w:pPr>
            <w:r w:rsidRPr="006A7A6E">
              <w:rPr>
                <w:rFonts w:cstheme="minorHAnsi"/>
                <w:b w:val="0"/>
                <w:color w:val="000000" w:themeColor="text1"/>
              </w:rPr>
              <w:t xml:space="preserve">w.e. </w:t>
            </w:r>
            <w:r w:rsidR="00221F2D">
              <w:rPr>
                <w:rFonts w:cstheme="minorHAnsi"/>
                <w:b w:val="0"/>
                <w:color w:val="000000" w:themeColor="text1"/>
              </w:rPr>
              <w:t>2</w:t>
            </w:r>
            <w:r w:rsidRPr="006A7A6E">
              <w:rPr>
                <w:rFonts w:cstheme="minorHAnsi"/>
                <w:b w:val="0"/>
                <w:color w:val="000000" w:themeColor="text1"/>
              </w:rPr>
              <w:t>/</w:t>
            </w:r>
            <w:r w:rsidR="00221F2D">
              <w:rPr>
                <w:rFonts w:cstheme="minorHAnsi"/>
                <w:b w:val="0"/>
                <w:color w:val="000000" w:themeColor="text1"/>
              </w:rPr>
              <w:t>19</w:t>
            </w:r>
            <w:r w:rsidR="00694050">
              <w:rPr>
                <w:rFonts w:cstheme="minorHAnsi"/>
                <w:b w:val="0"/>
                <w:color w:val="000000" w:themeColor="text1"/>
              </w:rPr>
              <w:t>/2023</w:t>
            </w:r>
          </w:p>
        </w:tc>
        <w:tc>
          <w:tcPr>
            <w:tcW w:w="997" w:type="dxa"/>
          </w:tcPr>
          <w:p w14:paraId="48606425" w14:textId="64CA742A" w:rsidR="005547EE" w:rsidRPr="0004266D" w:rsidRDefault="005547EE" w:rsidP="005547EE">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4E4F69">
              <w:rPr>
                <w:rFonts w:cstheme="minorHAnsi"/>
                <w:color w:val="000000" w:themeColor="text1"/>
              </w:rPr>
              <w:t>23.6</w:t>
            </w:r>
            <w:r w:rsidRPr="0004266D">
              <w:rPr>
                <w:rFonts w:cstheme="minorHAnsi"/>
                <w:color w:val="000000" w:themeColor="text1"/>
              </w:rPr>
              <w:t>M</w:t>
            </w:r>
          </w:p>
        </w:tc>
        <w:tc>
          <w:tcPr>
            <w:tcW w:w="1291" w:type="dxa"/>
          </w:tcPr>
          <w:p w14:paraId="34EEBB9B" w14:textId="2114F01A" w:rsidR="005547EE" w:rsidRPr="0004266D" w:rsidRDefault="005547EE" w:rsidP="005547EE">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4E4F69">
              <w:rPr>
                <w:rFonts w:cstheme="minorHAnsi"/>
                <w:color w:val="000000" w:themeColor="text1"/>
              </w:rPr>
              <w:t>6.7</w:t>
            </w:r>
            <w:r w:rsidRPr="0004266D">
              <w:rPr>
                <w:rFonts w:cstheme="minorHAnsi"/>
                <w:color w:val="000000" w:themeColor="text1"/>
              </w:rPr>
              <w:t>%</w:t>
            </w:r>
          </w:p>
        </w:tc>
        <w:tc>
          <w:tcPr>
            <w:tcW w:w="1291" w:type="dxa"/>
            <w:tcBorders>
              <w:right w:val="single" w:sz="4" w:space="0" w:color="ED7D31" w:themeColor="accent2"/>
            </w:tcBorders>
          </w:tcPr>
          <w:p w14:paraId="459FECD2" w14:textId="48B66914" w:rsidR="005547EE" w:rsidRPr="0004266D" w:rsidRDefault="004E4F69" w:rsidP="005547EE">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-2.7</w:t>
            </w:r>
            <w:r w:rsidR="005547EE" w:rsidRPr="0004266D">
              <w:rPr>
                <w:rFonts w:cstheme="minorHAnsi"/>
                <w:color w:val="000000" w:themeColor="text1"/>
              </w:rPr>
              <w:t>%</w:t>
            </w:r>
          </w:p>
        </w:tc>
        <w:tc>
          <w:tcPr>
            <w:tcW w:w="1134" w:type="dxa"/>
            <w:tcBorders>
              <w:left w:val="single" w:sz="4" w:space="0" w:color="ED7D31" w:themeColor="accent2"/>
            </w:tcBorders>
          </w:tcPr>
          <w:p w14:paraId="234D0105" w14:textId="2C8D3719" w:rsidR="005547EE" w:rsidRPr="0004266D" w:rsidRDefault="004E4F69" w:rsidP="005547EE">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5.7</w:t>
            </w:r>
            <w:r w:rsidR="005547EE" w:rsidRPr="0004266D">
              <w:rPr>
                <w:rFonts w:cstheme="minorHAnsi"/>
                <w:color w:val="000000" w:themeColor="text1"/>
              </w:rPr>
              <w:t>M</w:t>
            </w:r>
          </w:p>
        </w:tc>
        <w:tc>
          <w:tcPr>
            <w:tcW w:w="1530" w:type="dxa"/>
          </w:tcPr>
          <w:p w14:paraId="5C2CD04A" w14:textId="60D84FED" w:rsidR="005547EE" w:rsidRPr="0004266D" w:rsidRDefault="005547EE" w:rsidP="005547EE">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4E4F69">
              <w:rPr>
                <w:rFonts w:cstheme="minorHAnsi"/>
                <w:color w:val="000000" w:themeColor="text1"/>
              </w:rPr>
              <w:t>14.2</w:t>
            </w:r>
            <w:r w:rsidRPr="0004266D">
              <w:rPr>
                <w:rFonts w:cstheme="minorHAnsi"/>
                <w:color w:val="000000" w:themeColor="text1"/>
              </w:rPr>
              <w:t>%</w:t>
            </w:r>
          </w:p>
        </w:tc>
        <w:tc>
          <w:tcPr>
            <w:tcW w:w="1620" w:type="dxa"/>
          </w:tcPr>
          <w:p w14:paraId="3E3F9EEB" w14:textId="1BDBF920" w:rsidR="005547EE" w:rsidRPr="0004266D" w:rsidRDefault="00145E27" w:rsidP="005547EE">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w:t>
            </w:r>
            <w:r w:rsidR="004E4F69">
              <w:rPr>
                <w:rFonts w:cstheme="minorHAnsi"/>
                <w:color w:val="000000" w:themeColor="text1"/>
              </w:rPr>
              <w:t>15.9</w:t>
            </w:r>
            <w:r w:rsidR="005547EE" w:rsidRPr="0004266D">
              <w:rPr>
                <w:rFonts w:cstheme="minorHAnsi"/>
                <w:color w:val="000000" w:themeColor="text1"/>
              </w:rPr>
              <w:t>%</w:t>
            </w:r>
          </w:p>
        </w:tc>
      </w:tr>
      <w:tr w:rsidR="005547EE" w14:paraId="7E43EA98" w14:textId="77777777" w:rsidTr="008B63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22" w:type="dxa"/>
          </w:tcPr>
          <w:p w14:paraId="5798E510" w14:textId="695F7DF8" w:rsidR="005547EE" w:rsidRPr="006A7A6E" w:rsidRDefault="005547EE" w:rsidP="005547EE">
            <w:pPr>
              <w:rPr>
                <w:rFonts w:cstheme="minorHAnsi"/>
                <w:color w:val="000000" w:themeColor="text1"/>
              </w:rPr>
            </w:pPr>
            <w:r w:rsidRPr="006A7A6E">
              <w:rPr>
                <w:rFonts w:cstheme="minorHAnsi"/>
                <w:b w:val="0"/>
                <w:color w:val="000000" w:themeColor="text1"/>
              </w:rPr>
              <w:t xml:space="preserve">w.e. </w:t>
            </w:r>
            <w:r w:rsidR="00221F2D">
              <w:rPr>
                <w:rFonts w:cstheme="minorHAnsi"/>
                <w:b w:val="0"/>
                <w:color w:val="000000" w:themeColor="text1"/>
              </w:rPr>
              <w:t>2/26/2023</w:t>
            </w:r>
          </w:p>
        </w:tc>
        <w:tc>
          <w:tcPr>
            <w:tcW w:w="997" w:type="dxa"/>
          </w:tcPr>
          <w:p w14:paraId="1F9888EE" w14:textId="576C18A7" w:rsidR="005547EE" w:rsidRPr="0004266D" w:rsidRDefault="005547EE" w:rsidP="005547EE">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4E4F69">
              <w:rPr>
                <w:rFonts w:cstheme="minorHAnsi"/>
                <w:color w:val="000000" w:themeColor="text1"/>
              </w:rPr>
              <w:t>24.3</w:t>
            </w:r>
            <w:r w:rsidRPr="0004266D">
              <w:rPr>
                <w:rFonts w:cstheme="minorHAnsi"/>
                <w:color w:val="000000" w:themeColor="text1"/>
              </w:rPr>
              <w:t>M</w:t>
            </w:r>
          </w:p>
        </w:tc>
        <w:tc>
          <w:tcPr>
            <w:tcW w:w="1291" w:type="dxa"/>
          </w:tcPr>
          <w:p w14:paraId="39C9DE70" w14:textId="635B1A6D" w:rsidR="005547EE" w:rsidRPr="0004266D" w:rsidRDefault="005547EE" w:rsidP="005547EE">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4E4F69">
              <w:rPr>
                <w:rFonts w:cstheme="minorHAnsi"/>
                <w:color w:val="000000" w:themeColor="text1"/>
              </w:rPr>
              <w:t>5.8</w:t>
            </w:r>
            <w:r w:rsidRPr="0004266D">
              <w:rPr>
                <w:rFonts w:cstheme="minorHAnsi"/>
                <w:color w:val="000000" w:themeColor="text1"/>
              </w:rPr>
              <w:t>%</w:t>
            </w:r>
          </w:p>
        </w:tc>
        <w:tc>
          <w:tcPr>
            <w:tcW w:w="1291" w:type="dxa"/>
            <w:tcBorders>
              <w:right w:val="single" w:sz="4" w:space="0" w:color="ED7D31" w:themeColor="accent2"/>
            </w:tcBorders>
          </w:tcPr>
          <w:p w14:paraId="10674F93" w14:textId="18683CAB" w:rsidR="005547EE" w:rsidRPr="0004266D" w:rsidRDefault="004E4F69" w:rsidP="005547EE">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-0.1</w:t>
            </w:r>
            <w:r w:rsidR="005547EE" w:rsidRPr="0004266D">
              <w:rPr>
                <w:rFonts w:cstheme="minorHAnsi"/>
                <w:color w:val="000000" w:themeColor="text1"/>
              </w:rPr>
              <w:t>%</w:t>
            </w:r>
          </w:p>
        </w:tc>
        <w:tc>
          <w:tcPr>
            <w:tcW w:w="1134" w:type="dxa"/>
            <w:tcBorders>
              <w:left w:val="single" w:sz="4" w:space="0" w:color="ED7D31" w:themeColor="accent2"/>
            </w:tcBorders>
          </w:tcPr>
          <w:p w14:paraId="6664688E" w14:textId="0A52B43D" w:rsidR="005547EE" w:rsidRPr="0004266D" w:rsidRDefault="004E4F69" w:rsidP="005547EE">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5.7</w:t>
            </w:r>
            <w:r w:rsidR="005547EE" w:rsidRPr="0004266D">
              <w:rPr>
                <w:rFonts w:cstheme="minorHAnsi"/>
                <w:color w:val="000000" w:themeColor="text1"/>
              </w:rPr>
              <w:t>M</w:t>
            </w:r>
          </w:p>
        </w:tc>
        <w:tc>
          <w:tcPr>
            <w:tcW w:w="1530" w:type="dxa"/>
          </w:tcPr>
          <w:p w14:paraId="350C0B98" w14:textId="703011F2" w:rsidR="005547EE" w:rsidRPr="0004266D" w:rsidRDefault="005547EE" w:rsidP="005547EE">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4E4F69">
              <w:rPr>
                <w:rFonts w:cstheme="minorHAnsi"/>
                <w:color w:val="000000" w:themeColor="text1"/>
              </w:rPr>
              <w:t>10.7</w:t>
            </w:r>
            <w:r w:rsidRPr="0004266D">
              <w:rPr>
                <w:rFonts w:cstheme="minorHAnsi"/>
                <w:color w:val="000000" w:themeColor="text1"/>
              </w:rPr>
              <w:t>%</w:t>
            </w:r>
          </w:p>
        </w:tc>
        <w:tc>
          <w:tcPr>
            <w:tcW w:w="1620" w:type="dxa"/>
          </w:tcPr>
          <w:p w14:paraId="2A25914C" w14:textId="4F3A6EE4" w:rsidR="005547EE" w:rsidRPr="0004266D" w:rsidRDefault="00145E27" w:rsidP="005547EE">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w:t>
            </w:r>
            <w:r w:rsidR="004E4F69">
              <w:rPr>
                <w:rFonts w:cstheme="minorHAnsi"/>
                <w:color w:val="000000" w:themeColor="text1"/>
              </w:rPr>
              <w:t>11.5</w:t>
            </w:r>
            <w:r w:rsidR="005547EE" w:rsidRPr="0004266D">
              <w:rPr>
                <w:rFonts w:cstheme="minorHAnsi"/>
                <w:color w:val="000000" w:themeColor="text1"/>
              </w:rPr>
              <w:t>%</w:t>
            </w:r>
          </w:p>
        </w:tc>
      </w:tr>
    </w:tbl>
    <w:p w14:paraId="712DC4DB" w14:textId="69EFBD63" w:rsidR="00541AFF" w:rsidRDefault="00541AFF" w:rsidP="00541AFF">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sidR="007D30DA">
        <w:rPr>
          <w:color w:val="7F7F7F" w:themeColor="text1" w:themeTint="80"/>
          <w:sz w:val="16"/>
          <w:szCs w:val="16"/>
        </w:rPr>
        <w:t>4</w:t>
      </w:r>
      <w:r w:rsidRPr="00555250">
        <w:rPr>
          <w:color w:val="7F7F7F" w:themeColor="text1" w:themeTint="80"/>
          <w:sz w:val="16"/>
          <w:szCs w:val="16"/>
        </w:rPr>
        <w:t xml:space="preserve"> weeks ending </w:t>
      </w:r>
      <w:r w:rsidR="00221F2D">
        <w:rPr>
          <w:color w:val="7F7F7F" w:themeColor="text1" w:themeTint="80"/>
          <w:sz w:val="16"/>
          <w:szCs w:val="16"/>
        </w:rPr>
        <w:t>2/26/2023</w:t>
      </w:r>
    </w:p>
    <w:p w14:paraId="0C708971" w14:textId="77777777" w:rsidR="003D3BDA" w:rsidRPr="00555250" w:rsidRDefault="003D3BDA" w:rsidP="00541AFF">
      <w:pPr>
        <w:pStyle w:val="NoSpacing"/>
        <w:spacing w:before="120"/>
        <w:rPr>
          <w:color w:val="7F7F7F" w:themeColor="text1" w:themeTint="80"/>
          <w:sz w:val="16"/>
          <w:szCs w:val="16"/>
        </w:rPr>
      </w:pPr>
    </w:p>
    <w:p w14:paraId="2A45DBD8" w14:textId="04A1650F" w:rsidR="00666D40" w:rsidRPr="00927EAC" w:rsidRDefault="00666D40" w:rsidP="00927EAC">
      <w:pPr>
        <w:pStyle w:val="Heading2"/>
        <w:rPr>
          <w:b/>
          <w:bCs/>
          <w:color w:val="ED7D31" w:themeColor="accent2"/>
        </w:rPr>
      </w:pPr>
      <w:r w:rsidRPr="00927EAC">
        <w:rPr>
          <w:b/>
          <w:bCs/>
          <w:color w:val="ED7D31" w:themeColor="accent2"/>
        </w:rPr>
        <w:t>Inflation</w:t>
      </w:r>
    </w:p>
    <w:p w14:paraId="4A3C02BB" w14:textId="0D85FCC0" w:rsidR="00666D40" w:rsidRDefault="00030ABF" w:rsidP="00472B02">
      <w:pPr>
        <w:pStyle w:val="NoSpacing"/>
      </w:pPr>
      <w:r>
        <w:t>M</w:t>
      </w:r>
      <w:r w:rsidR="000E2A1D">
        <w:t xml:space="preserve">ushroom prices </w:t>
      </w:r>
      <w:r w:rsidR="00C9550B">
        <w:t xml:space="preserve">per unit </w:t>
      </w:r>
      <w:r w:rsidR="000E2A1D">
        <w:t>increase</w:t>
      </w:r>
      <w:r w:rsidR="00322039">
        <w:t>d</w:t>
      </w:r>
      <w:r w:rsidR="000E2A1D">
        <w:t xml:space="preserve"> </w:t>
      </w:r>
      <w:r w:rsidR="00A14586">
        <w:t xml:space="preserve">by </w:t>
      </w:r>
      <w:r w:rsidR="00DE4C4C">
        <w:t>9.9</w:t>
      </w:r>
      <w:r w:rsidR="00322039">
        <w:t xml:space="preserve">% versus year ago </w:t>
      </w:r>
      <w:r w:rsidR="000E2A1D">
        <w:t>in the latest quad-week period</w:t>
      </w:r>
      <w:r>
        <w:t xml:space="preserve">. This means the rate of inflation jumped ahead of that </w:t>
      </w:r>
      <w:r w:rsidR="000E2A1D">
        <w:t xml:space="preserve">for total </w:t>
      </w:r>
      <w:r>
        <w:t xml:space="preserve">fresh </w:t>
      </w:r>
      <w:r w:rsidR="000E2A1D">
        <w:t>vegetables</w:t>
      </w:r>
      <w:r w:rsidR="00A14586">
        <w:t xml:space="preserve"> (+</w:t>
      </w:r>
      <w:r w:rsidR="00DE4C4C">
        <w:t>7.3</w:t>
      </w:r>
      <w:r w:rsidR="00322039">
        <w:t>%)</w:t>
      </w:r>
      <w:r w:rsidR="00C9550B">
        <w:t xml:space="preserve"> and</w:t>
      </w:r>
      <w:r w:rsidR="000E2A1D">
        <w:t xml:space="preserve"> </w:t>
      </w:r>
      <w:r>
        <w:t xml:space="preserve">total fresh </w:t>
      </w:r>
      <w:r w:rsidR="000E2A1D">
        <w:t xml:space="preserve">produce </w:t>
      </w:r>
      <w:r w:rsidR="00A14586">
        <w:t>(+</w:t>
      </w:r>
      <w:r w:rsidR="00DE4C4C">
        <w:t>2.4</w:t>
      </w:r>
      <w:r w:rsidR="00322039">
        <w:t>%)</w:t>
      </w:r>
      <w:r w:rsidR="000E2A1D">
        <w:t xml:space="preserve">. </w:t>
      </w:r>
    </w:p>
    <w:p w14:paraId="484C35C9" w14:textId="2EB83AFC" w:rsidR="0094219B" w:rsidRDefault="0094219B" w:rsidP="00472B02">
      <w:pPr>
        <w:pStyle w:val="NoSpacing"/>
      </w:pPr>
    </w:p>
    <w:tbl>
      <w:tblPr>
        <w:tblStyle w:val="ListTable3-Accent2"/>
        <w:tblW w:w="10075" w:type="dxa"/>
        <w:tblLook w:val="04A0" w:firstRow="1" w:lastRow="0" w:firstColumn="1" w:lastColumn="0" w:noHBand="0" w:noVBand="1"/>
      </w:tblPr>
      <w:tblGrid>
        <w:gridCol w:w="3256"/>
        <w:gridCol w:w="299"/>
        <w:gridCol w:w="1146"/>
        <w:gridCol w:w="973"/>
        <w:gridCol w:w="909"/>
        <w:gridCol w:w="1776"/>
        <w:gridCol w:w="817"/>
        <w:gridCol w:w="899"/>
      </w:tblGrid>
      <w:tr w:rsidR="000C3CC4" w:rsidRPr="00124CB7" w14:paraId="6E9D1AEF" w14:textId="162D7E86" w:rsidTr="006778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74759AF7" w14:textId="77777777" w:rsidR="000C3CC4" w:rsidRPr="00124CB7" w:rsidRDefault="000C3CC4" w:rsidP="000C3CC4">
            <w:pPr>
              <w:pStyle w:val="NoSpacing"/>
            </w:pPr>
            <w:r w:rsidRPr="00124CB7">
              <w:t>Fresh mushrooms</w:t>
            </w:r>
          </w:p>
        </w:tc>
        <w:tc>
          <w:tcPr>
            <w:tcW w:w="1445" w:type="dxa"/>
            <w:gridSpan w:val="2"/>
          </w:tcPr>
          <w:p w14:paraId="5EC6EFF0" w14:textId="41C7482D" w:rsidR="000C3CC4" w:rsidRPr="00124CB7" w:rsidRDefault="000C3CC4" w:rsidP="00B03343">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221F2D">
              <w:t>2/26/2023</w:t>
            </w:r>
          </w:p>
        </w:tc>
        <w:tc>
          <w:tcPr>
            <w:tcW w:w="973" w:type="dxa"/>
          </w:tcPr>
          <w:p w14:paraId="10EFADEC" w14:textId="03181B90"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2022</w:t>
            </w:r>
          </w:p>
        </w:tc>
        <w:tc>
          <w:tcPr>
            <w:tcW w:w="909" w:type="dxa"/>
            <w:tcBorders>
              <w:right w:val="single" w:sz="4" w:space="0" w:color="ED7D31"/>
            </w:tcBorders>
          </w:tcPr>
          <w:p w14:paraId="55EFE125" w14:textId="0D145010"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2020</w:t>
            </w:r>
          </w:p>
        </w:tc>
        <w:tc>
          <w:tcPr>
            <w:tcW w:w="1776" w:type="dxa"/>
            <w:tcBorders>
              <w:left w:val="single" w:sz="4" w:space="0" w:color="ED7D31"/>
            </w:tcBorders>
          </w:tcPr>
          <w:p w14:paraId="6A5B944C" w14:textId="58253A50" w:rsidR="000C3CC4"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Latest 52 w.e.</w:t>
            </w:r>
            <w:r w:rsidR="000C3CC4">
              <w:t xml:space="preserve"> </w:t>
            </w:r>
            <w:r w:rsidR="00221F2D">
              <w:t>2/26/2023</w:t>
            </w:r>
          </w:p>
        </w:tc>
        <w:tc>
          <w:tcPr>
            <w:tcW w:w="817" w:type="dxa"/>
          </w:tcPr>
          <w:p w14:paraId="56551B99" w14:textId="71D2CC9A"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2022</w:t>
            </w:r>
          </w:p>
        </w:tc>
        <w:tc>
          <w:tcPr>
            <w:tcW w:w="899" w:type="dxa"/>
          </w:tcPr>
          <w:p w14:paraId="1A109D51" w14:textId="22B9DD22"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2020</w:t>
            </w:r>
          </w:p>
        </w:tc>
      </w:tr>
      <w:tr w:rsidR="000C3CC4" w14:paraId="2B35BE12" w14:textId="0A6FF303" w:rsidTr="00677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5" w:type="dxa"/>
            <w:gridSpan w:val="2"/>
          </w:tcPr>
          <w:p w14:paraId="5B4CB702" w14:textId="77777777" w:rsidR="000C3CC4" w:rsidRPr="00124CB7" w:rsidRDefault="000C3CC4" w:rsidP="000C3CC4">
            <w:pPr>
              <w:pStyle w:val="NoSpacing"/>
              <w:rPr>
                <w:b w:val="0"/>
                <w:bCs w:val="0"/>
              </w:rPr>
            </w:pPr>
            <w:r>
              <w:rPr>
                <w:b w:val="0"/>
                <w:bCs w:val="0"/>
              </w:rPr>
              <w:t>Price/unit</w:t>
            </w:r>
          </w:p>
        </w:tc>
        <w:tc>
          <w:tcPr>
            <w:tcW w:w="1146" w:type="dxa"/>
          </w:tcPr>
          <w:p w14:paraId="2915A28B" w14:textId="3CCDFB57"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DE4C4C">
              <w:t>3.08</w:t>
            </w:r>
          </w:p>
        </w:tc>
        <w:tc>
          <w:tcPr>
            <w:tcW w:w="973" w:type="dxa"/>
          </w:tcPr>
          <w:p w14:paraId="3E0967AB" w14:textId="685DC3DC" w:rsidR="000C3CC4" w:rsidRDefault="00145E27"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DE4C4C">
              <w:t>9.9</w:t>
            </w:r>
            <w:r w:rsidR="000C3CC4">
              <w:t>%</w:t>
            </w:r>
          </w:p>
        </w:tc>
        <w:tc>
          <w:tcPr>
            <w:tcW w:w="909" w:type="dxa"/>
            <w:tcBorders>
              <w:right w:val="single" w:sz="4" w:space="0" w:color="ED7D31"/>
            </w:tcBorders>
          </w:tcPr>
          <w:p w14:paraId="09DAD54E" w14:textId="6E3E64F9"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DE4C4C">
              <w:t>20.2</w:t>
            </w:r>
            <w:r>
              <w:t>%</w:t>
            </w:r>
          </w:p>
        </w:tc>
        <w:tc>
          <w:tcPr>
            <w:tcW w:w="1776" w:type="dxa"/>
            <w:tcBorders>
              <w:left w:val="single" w:sz="4" w:space="0" w:color="ED7D31"/>
            </w:tcBorders>
          </w:tcPr>
          <w:p w14:paraId="03CA719E" w14:textId="19A214BF"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DE4C4C">
              <w:t>2.97</w:t>
            </w:r>
          </w:p>
        </w:tc>
        <w:tc>
          <w:tcPr>
            <w:tcW w:w="817" w:type="dxa"/>
          </w:tcPr>
          <w:p w14:paraId="08755E5E" w14:textId="654D602B"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DE4C4C">
              <w:t>8.0</w:t>
            </w:r>
            <w:r>
              <w:t>%</w:t>
            </w:r>
          </w:p>
        </w:tc>
        <w:tc>
          <w:tcPr>
            <w:tcW w:w="899" w:type="dxa"/>
          </w:tcPr>
          <w:p w14:paraId="19B1F6D2" w14:textId="079CE48F" w:rsidR="000C3CC4" w:rsidRDefault="000C3CC4" w:rsidP="00677889">
            <w:pPr>
              <w:pStyle w:val="NoSpacing"/>
              <w:jc w:val="right"/>
              <w:cnfStyle w:val="000000100000" w:firstRow="0" w:lastRow="0" w:firstColumn="0" w:lastColumn="0" w:oddVBand="0" w:evenVBand="0" w:oddHBand="1" w:evenHBand="0" w:firstRowFirstColumn="0" w:firstRowLastColumn="0" w:lastRowFirstColumn="0" w:lastRowLastColumn="0"/>
            </w:pPr>
            <w:r>
              <w:t>+</w:t>
            </w:r>
            <w:r w:rsidR="00DE4C4C">
              <w:t>16.4</w:t>
            </w:r>
            <w:r>
              <w:t>%</w:t>
            </w:r>
          </w:p>
        </w:tc>
      </w:tr>
      <w:tr w:rsidR="0004266D" w14:paraId="7C18640F" w14:textId="5B569261" w:rsidTr="00677889">
        <w:tc>
          <w:tcPr>
            <w:cnfStyle w:val="001000000000" w:firstRow="0" w:lastRow="0" w:firstColumn="1" w:lastColumn="0" w:oddVBand="0" w:evenVBand="0" w:oddHBand="0" w:evenHBand="0" w:firstRowFirstColumn="0" w:firstRowLastColumn="0" w:lastRowFirstColumn="0" w:lastRowLastColumn="0"/>
            <w:tcW w:w="3555" w:type="dxa"/>
            <w:gridSpan w:val="2"/>
          </w:tcPr>
          <w:p w14:paraId="47C97CE0" w14:textId="77777777" w:rsidR="0004266D" w:rsidRPr="00124CB7" w:rsidRDefault="0004266D" w:rsidP="0004266D">
            <w:pPr>
              <w:pStyle w:val="NoSpacing"/>
              <w:rPr>
                <w:b w:val="0"/>
                <w:bCs w:val="0"/>
              </w:rPr>
            </w:pPr>
            <w:r>
              <w:rPr>
                <w:b w:val="0"/>
                <w:bCs w:val="0"/>
              </w:rPr>
              <w:t>Price/volume</w:t>
            </w:r>
          </w:p>
        </w:tc>
        <w:tc>
          <w:tcPr>
            <w:tcW w:w="1146" w:type="dxa"/>
          </w:tcPr>
          <w:p w14:paraId="17C86A08" w14:textId="00A25376"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DE4C4C">
              <w:t>4.79</w:t>
            </w:r>
          </w:p>
        </w:tc>
        <w:tc>
          <w:tcPr>
            <w:tcW w:w="973" w:type="dxa"/>
          </w:tcPr>
          <w:p w14:paraId="7E986169" w14:textId="79FA393E"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DE4C4C">
              <w:t>7.3</w:t>
            </w:r>
            <w:r>
              <w:t>%</w:t>
            </w:r>
          </w:p>
        </w:tc>
        <w:tc>
          <w:tcPr>
            <w:tcW w:w="909" w:type="dxa"/>
            <w:tcBorders>
              <w:right w:val="single" w:sz="4" w:space="0" w:color="ED7D31"/>
            </w:tcBorders>
          </w:tcPr>
          <w:p w14:paraId="36DDF54D" w14:textId="5FF54E9F" w:rsidR="0004266D" w:rsidRDefault="0004266D" w:rsidP="00483711">
            <w:pPr>
              <w:pStyle w:val="NoSpacing"/>
              <w:jc w:val="right"/>
              <w:cnfStyle w:val="000000000000" w:firstRow="0" w:lastRow="0" w:firstColumn="0" w:lastColumn="0" w:oddVBand="0" w:evenVBand="0" w:oddHBand="0" w:evenHBand="0" w:firstRowFirstColumn="0" w:firstRowLastColumn="0" w:lastRowFirstColumn="0" w:lastRowLastColumn="0"/>
            </w:pPr>
            <w:r>
              <w:t>+</w:t>
            </w:r>
            <w:r w:rsidR="00DE4C4C">
              <w:t>14.6</w:t>
            </w:r>
            <w:r>
              <w:t>%</w:t>
            </w:r>
          </w:p>
        </w:tc>
        <w:tc>
          <w:tcPr>
            <w:tcW w:w="1776" w:type="dxa"/>
            <w:tcBorders>
              <w:left w:val="single" w:sz="4" w:space="0" w:color="ED7D31"/>
            </w:tcBorders>
          </w:tcPr>
          <w:p w14:paraId="233A8701" w14:textId="6DDBE503"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DE4C4C">
              <w:t>4.68</w:t>
            </w:r>
          </w:p>
        </w:tc>
        <w:tc>
          <w:tcPr>
            <w:tcW w:w="817" w:type="dxa"/>
          </w:tcPr>
          <w:p w14:paraId="1759FD32" w14:textId="38B5946C"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DE4C4C">
              <w:t>7.5</w:t>
            </w:r>
            <w:r>
              <w:t>%</w:t>
            </w:r>
          </w:p>
        </w:tc>
        <w:tc>
          <w:tcPr>
            <w:tcW w:w="899" w:type="dxa"/>
          </w:tcPr>
          <w:p w14:paraId="725313BE" w14:textId="6F72B88B"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DE4C4C">
              <w:t>12.9</w:t>
            </w:r>
            <w:r w:rsidR="00483711">
              <w:t>%</w:t>
            </w:r>
          </w:p>
        </w:tc>
      </w:tr>
    </w:tbl>
    <w:p w14:paraId="5CF68DB9" w14:textId="77777777" w:rsidR="00170260" w:rsidRDefault="00170260" w:rsidP="00170260">
      <w:pPr>
        <w:pStyle w:val="NoSpacing"/>
      </w:pPr>
    </w:p>
    <w:p w14:paraId="611C2D9A" w14:textId="157954FE" w:rsidR="00170260" w:rsidRDefault="006636C7" w:rsidP="00170260">
      <w:pPr>
        <w:pStyle w:val="NoSpacing"/>
      </w:pPr>
      <w:r>
        <w:t>Promotional activity improved during the latest quad-week period</w:t>
      </w:r>
      <w:r w:rsidR="00FF2D4A">
        <w:t xml:space="preserve">, at </w:t>
      </w:r>
      <w:r>
        <w:t>15.7</w:t>
      </w:r>
      <w:r w:rsidR="00FF2D4A">
        <w:t xml:space="preserve">% of total </w:t>
      </w:r>
      <w:r w:rsidR="00085508">
        <w:t xml:space="preserve">fresh mushroom </w:t>
      </w:r>
      <w:r w:rsidR="00FF2D4A">
        <w:t xml:space="preserve">dollars and </w:t>
      </w:r>
      <w:r>
        <w:t>18.7</w:t>
      </w:r>
      <w:r w:rsidR="00FF2D4A">
        <w:t>%</w:t>
      </w:r>
      <w:r w:rsidR="00E508BB">
        <w:t xml:space="preserve"> of total pounds sold. Promotional levels </w:t>
      </w:r>
      <w:r w:rsidR="00C9550B">
        <w:t xml:space="preserve">for total fresh produce as well as total food and beverages are also up a bit year-on-year, but still below the </w:t>
      </w:r>
      <w:r w:rsidR="00251BBC">
        <w:t>2020</w:t>
      </w:r>
      <w:r w:rsidR="00C9550B">
        <w:t xml:space="preserve"> pre-pandemic levels</w:t>
      </w:r>
      <w:r w:rsidR="00E508BB">
        <w:t xml:space="preserve">. </w:t>
      </w:r>
      <w:r>
        <w:t xml:space="preserve"> </w:t>
      </w:r>
    </w:p>
    <w:p w14:paraId="363D2F2B" w14:textId="77777777" w:rsidR="00170260" w:rsidRDefault="00170260" w:rsidP="00170260">
      <w:pPr>
        <w:pStyle w:val="NoSpacing"/>
      </w:pPr>
    </w:p>
    <w:tbl>
      <w:tblPr>
        <w:tblStyle w:val="ListTable3-Accent2"/>
        <w:tblW w:w="10070" w:type="dxa"/>
        <w:tblLook w:val="04A0" w:firstRow="1" w:lastRow="0" w:firstColumn="1" w:lastColumn="0" w:noHBand="0" w:noVBand="1"/>
      </w:tblPr>
      <w:tblGrid>
        <w:gridCol w:w="3539"/>
        <w:gridCol w:w="397"/>
        <w:gridCol w:w="1342"/>
        <w:gridCol w:w="1369"/>
        <w:gridCol w:w="2054"/>
        <w:gridCol w:w="1369"/>
      </w:tblGrid>
      <w:tr w:rsidR="00972570" w:rsidRPr="00124CB7" w14:paraId="5DFB9CAB" w14:textId="77777777" w:rsidTr="00694050">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3539" w:type="dxa"/>
          </w:tcPr>
          <w:p w14:paraId="4168BC1A" w14:textId="77777777" w:rsidR="00972570" w:rsidRPr="00124CB7" w:rsidRDefault="00972570" w:rsidP="00FF6A85">
            <w:pPr>
              <w:pStyle w:val="NoSpacing"/>
            </w:pPr>
            <w:r w:rsidRPr="00124CB7">
              <w:t>Fresh mushrooms</w:t>
            </w:r>
          </w:p>
        </w:tc>
        <w:tc>
          <w:tcPr>
            <w:tcW w:w="1739" w:type="dxa"/>
            <w:gridSpan w:val="2"/>
          </w:tcPr>
          <w:p w14:paraId="6A0500B8" w14:textId="1DF3CA54"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221F2D">
              <w:t>2/26/2023</w:t>
            </w:r>
          </w:p>
        </w:tc>
        <w:tc>
          <w:tcPr>
            <w:tcW w:w="1369" w:type="dxa"/>
            <w:tcBorders>
              <w:right w:val="single" w:sz="4" w:space="0" w:color="ED7D31"/>
            </w:tcBorders>
          </w:tcPr>
          <w:p w14:paraId="5CF9736D" w14:textId="00DD2640"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2022</w:t>
            </w:r>
          </w:p>
        </w:tc>
        <w:tc>
          <w:tcPr>
            <w:tcW w:w="2054" w:type="dxa"/>
            <w:tcBorders>
              <w:left w:val="single" w:sz="4" w:space="0" w:color="ED7D31"/>
            </w:tcBorders>
          </w:tcPr>
          <w:p w14:paraId="413A4F70" w14:textId="6D02E714" w:rsidR="00972570"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Latest 52 w.e.</w:t>
            </w:r>
            <w:r w:rsidR="00972570">
              <w:t xml:space="preserve"> </w:t>
            </w:r>
            <w:r w:rsidR="00221F2D">
              <w:t>2/26/2023</w:t>
            </w:r>
          </w:p>
        </w:tc>
        <w:tc>
          <w:tcPr>
            <w:tcW w:w="1369" w:type="dxa"/>
          </w:tcPr>
          <w:p w14:paraId="75064544" w14:textId="0F8976C1"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2022</w:t>
            </w:r>
          </w:p>
        </w:tc>
      </w:tr>
      <w:tr w:rsidR="004A50D2" w14:paraId="3B76FFA3" w14:textId="78296325" w:rsidTr="00314DA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936" w:type="dxa"/>
            <w:gridSpan w:val="2"/>
          </w:tcPr>
          <w:p w14:paraId="2B5B6C81" w14:textId="6313A9FC" w:rsidR="004A50D2" w:rsidRDefault="004A50D2" w:rsidP="004A50D2">
            <w:pPr>
              <w:pStyle w:val="NoSpacing"/>
              <w:rPr>
                <w:b w:val="0"/>
                <w:bCs w:val="0"/>
              </w:rPr>
            </w:pPr>
            <w:r>
              <w:rPr>
                <w:b w:val="0"/>
                <w:bCs w:val="0"/>
              </w:rPr>
              <w:t>Share of dollars sold on promotion</w:t>
            </w:r>
          </w:p>
        </w:tc>
        <w:tc>
          <w:tcPr>
            <w:tcW w:w="1342" w:type="dxa"/>
            <w:shd w:val="clear" w:color="auto" w:fill="auto"/>
          </w:tcPr>
          <w:p w14:paraId="6D5E5F03" w14:textId="073298C2" w:rsidR="004A50D2" w:rsidRPr="006617FB" w:rsidRDefault="00DE4C4C" w:rsidP="004A50D2">
            <w:pPr>
              <w:pStyle w:val="NoSpacing"/>
              <w:jc w:val="right"/>
              <w:cnfStyle w:val="000000100000" w:firstRow="0" w:lastRow="0" w:firstColumn="0" w:lastColumn="0" w:oddVBand="0" w:evenVBand="0" w:oddHBand="1" w:evenHBand="0" w:firstRowFirstColumn="0" w:firstRowLastColumn="0" w:lastRowFirstColumn="0" w:lastRowLastColumn="0"/>
            </w:pPr>
            <w:r>
              <w:t>15.7</w:t>
            </w:r>
            <w:r w:rsidR="004A50D2" w:rsidRPr="006617FB">
              <w:t>%</w:t>
            </w:r>
          </w:p>
        </w:tc>
        <w:tc>
          <w:tcPr>
            <w:tcW w:w="1369" w:type="dxa"/>
            <w:tcBorders>
              <w:right w:val="single" w:sz="4" w:space="0" w:color="ED7D31"/>
            </w:tcBorders>
          </w:tcPr>
          <w:p w14:paraId="586FECBD" w14:textId="12779DEA" w:rsidR="004A50D2" w:rsidRPr="009B0330" w:rsidRDefault="00445779" w:rsidP="004A50D2">
            <w:pPr>
              <w:pStyle w:val="NoSpacing"/>
              <w:jc w:val="right"/>
              <w:cnfStyle w:val="000000100000" w:firstRow="0" w:lastRow="0" w:firstColumn="0" w:lastColumn="0" w:oddVBand="0" w:evenVBand="0" w:oddHBand="1" w:evenHBand="0" w:firstRowFirstColumn="0" w:firstRowLastColumn="0" w:lastRowFirstColumn="0" w:lastRowLastColumn="0"/>
            </w:pPr>
            <w:r>
              <w:t>+</w:t>
            </w:r>
            <w:r w:rsidR="00B8232B">
              <w:t>4.3</w:t>
            </w:r>
            <w:r w:rsidR="004A50D2" w:rsidRPr="009B0330">
              <w:t>%</w:t>
            </w:r>
          </w:p>
        </w:tc>
        <w:tc>
          <w:tcPr>
            <w:tcW w:w="2054" w:type="dxa"/>
            <w:tcBorders>
              <w:left w:val="single" w:sz="4" w:space="0" w:color="ED7D31"/>
            </w:tcBorders>
          </w:tcPr>
          <w:p w14:paraId="66CD7DD9" w14:textId="2DB84616" w:rsidR="004A50D2" w:rsidRPr="009B0330" w:rsidRDefault="00DE4C4C" w:rsidP="009B0330">
            <w:pPr>
              <w:pStyle w:val="NoSpacing"/>
              <w:jc w:val="right"/>
              <w:cnfStyle w:val="000000100000" w:firstRow="0" w:lastRow="0" w:firstColumn="0" w:lastColumn="0" w:oddVBand="0" w:evenVBand="0" w:oddHBand="1" w:evenHBand="0" w:firstRowFirstColumn="0" w:firstRowLastColumn="0" w:lastRowFirstColumn="0" w:lastRowLastColumn="0"/>
            </w:pPr>
            <w:r>
              <w:t>16.1</w:t>
            </w:r>
            <w:r w:rsidR="004A50D2" w:rsidRPr="009B0330">
              <w:t>%</w:t>
            </w:r>
          </w:p>
        </w:tc>
        <w:tc>
          <w:tcPr>
            <w:tcW w:w="1369" w:type="dxa"/>
            <w:shd w:val="clear" w:color="auto" w:fill="auto"/>
          </w:tcPr>
          <w:p w14:paraId="7461CDF6" w14:textId="3A52F788" w:rsidR="004A50D2" w:rsidRPr="00314DA1" w:rsidRDefault="00445779" w:rsidP="00145E27">
            <w:pPr>
              <w:pStyle w:val="NoSpacing"/>
              <w:jc w:val="right"/>
              <w:cnfStyle w:val="000000100000" w:firstRow="0" w:lastRow="0" w:firstColumn="0" w:lastColumn="0" w:oddVBand="0" w:evenVBand="0" w:oddHBand="1" w:evenHBand="0" w:firstRowFirstColumn="0" w:firstRowLastColumn="0" w:lastRowFirstColumn="0" w:lastRowLastColumn="0"/>
            </w:pPr>
            <w:r w:rsidRPr="00314DA1">
              <w:t>+</w:t>
            </w:r>
            <w:r w:rsidR="00314DA1" w:rsidRPr="00314DA1">
              <w:t>10.5</w:t>
            </w:r>
            <w:r w:rsidR="004A50D2" w:rsidRPr="00314DA1">
              <w:t>%</w:t>
            </w:r>
          </w:p>
        </w:tc>
      </w:tr>
      <w:tr w:rsidR="004A50D2" w14:paraId="6BDC46F0" w14:textId="6B730DE2" w:rsidTr="00314DA1">
        <w:trPr>
          <w:trHeight w:val="257"/>
        </w:trPr>
        <w:tc>
          <w:tcPr>
            <w:cnfStyle w:val="001000000000" w:firstRow="0" w:lastRow="0" w:firstColumn="1" w:lastColumn="0" w:oddVBand="0" w:evenVBand="0" w:oddHBand="0" w:evenHBand="0" w:firstRowFirstColumn="0" w:firstRowLastColumn="0" w:lastRowFirstColumn="0" w:lastRowLastColumn="0"/>
            <w:tcW w:w="3936" w:type="dxa"/>
            <w:gridSpan w:val="2"/>
          </w:tcPr>
          <w:p w14:paraId="5F39E628" w14:textId="6809D4FA" w:rsidR="004A50D2" w:rsidRDefault="004A50D2" w:rsidP="004A50D2">
            <w:pPr>
              <w:pStyle w:val="NoSpacing"/>
              <w:rPr>
                <w:b w:val="0"/>
                <w:bCs w:val="0"/>
              </w:rPr>
            </w:pPr>
            <w:r>
              <w:rPr>
                <w:b w:val="0"/>
                <w:bCs w:val="0"/>
              </w:rPr>
              <w:t>Share of pounds sold on promotion</w:t>
            </w:r>
          </w:p>
        </w:tc>
        <w:tc>
          <w:tcPr>
            <w:tcW w:w="1342" w:type="dxa"/>
            <w:shd w:val="clear" w:color="auto" w:fill="auto"/>
          </w:tcPr>
          <w:p w14:paraId="4B3F737B" w14:textId="7EAEB158" w:rsidR="004A50D2" w:rsidRPr="006617FB" w:rsidRDefault="00DE4C4C" w:rsidP="00FA1CDF">
            <w:pPr>
              <w:pStyle w:val="NoSpacing"/>
              <w:jc w:val="right"/>
              <w:cnfStyle w:val="000000000000" w:firstRow="0" w:lastRow="0" w:firstColumn="0" w:lastColumn="0" w:oddVBand="0" w:evenVBand="0" w:oddHBand="0" w:evenHBand="0" w:firstRowFirstColumn="0" w:firstRowLastColumn="0" w:lastRowFirstColumn="0" w:lastRowLastColumn="0"/>
            </w:pPr>
            <w:r>
              <w:t>18.7</w:t>
            </w:r>
            <w:r w:rsidR="004A50D2" w:rsidRPr="006617FB">
              <w:t>%</w:t>
            </w:r>
          </w:p>
        </w:tc>
        <w:tc>
          <w:tcPr>
            <w:tcW w:w="1369" w:type="dxa"/>
            <w:tcBorders>
              <w:right w:val="single" w:sz="4" w:space="0" w:color="ED7D31"/>
            </w:tcBorders>
          </w:tcPr>
          <w:p w14:paraId="5C3E258D" w14:textId="38668C2A" w:rsidR="004A50D2" w:rsidRPr="009B0330" w:rsidRDefault="00910CD7" w:rsidP="004A50D2">
            <w:pPr>
              <w:pStyle w:val="NoSpacing"/>
              <w:jc w:val="right"/>
              <w:cnfStyle w:val="000000000000" w:firstRow="0" w:lastRow="0" w:firstColumn="0" w:lastColumn="0" w:oddVBand="0" w:evenVBand="0" w:oddHBand="0" w:evenHBand="0" w:firstRowFirstColumn="0" w:firstRowLastColumn="0" w:lastRowFirstColumn="0" w:lastRowLastColumn="0"/>
            </w:pPr>
            <w:r>
              <w:t>+</w:t>
            </w:r>
            <w:r w:rsidR="00E477C3">
              <w:t>9.9</w:t>
            </w:r>
            <w:r w:rsidR="004A50D2" w:rsidRPr="009B0330">
              <w:t>%</w:t>
            </w:r>
          </w:p>
        </w:tc>
        <w:tc>
          <w:tcPr>
            <w:tcW w:w="2054" w:type="dxa"/>
            <w:tcBorders>
              <w:left w:val="single" w:sz="4" w:space="0" w:color="ED7D31"/>
            </w:tcBorders>
          </w:tcPr>
          <w:p w14:paraId="37E892BC" w14:textId="5170EE81" w:rsidR="004A50D2" w:rsidRPr="009B0330" w:rsidRDefault="00DE4C4C" w:rsidP="004A50D2">
            <w:pPr>
              <w:pStyle w:val="NoSpacing"/>
              <w:jc w:val="right"/>
              <w:cnfStyle w:val="000000000000" w:firstRow="0" w:lastRow="0" w:firstColumn="0" w:lastColumn="0" w:oddVBand="0" w:evenVBand="0" w:oddHBand="0" w:evenHBand="0" w:firstRowFirstColumn="0" w:firstRowLastColumn="0" w:lastRowFirstColumn="0" w:lastRowLastColumn="0"/>
            </w:pPr>
            <w:r>
              <w:t>19.4</w:t>
            </w:r>
            <w:r w:rsidR="004A50D2" w:rsidRPr="009B0330">
              <w:t>%</w:t>
            </w:r>
          </w:p>
        </w:tc>
        <w:tc>
          <w:tcPr>
            <w:tcW w:w="1369" w:type="dxa"/>
            <w:shd w:val="clear" w:color="auto" w:fill="auto"/>
          </w:tcPr>
          <w:p w14:paraId="7052050B" w14:textId="5211A0C4" w:rsidR="004A50D2" w:rsidRPr="00314DA1" w:rsidRDefault="00677889" w:rsidP="004A50D2">
            <w:pPr>
              <w:pStyle w:val="NoSpacing"/>
              <w:jc w:val="right"/>
              <w:cnfStyle w:val="000000000000" w:firstRow="0" w:lastRow="0" w:firstColumn="0" w:lastColumn="0" w:oddVBand="0" w:evenVBand="0" w:oddHBand="0" w:evenHBand="0" w:firstRowFirstColumn="0" w:firstRowLastColumn="0" w:lastRowFirstColumn="0" w:lastRowLastColumn="0"/>
            </w:pPr>
            <w:r w:rsidRPr="00314DA1">
              <w:t>+</w:t>
            </w:r>
            <w:r w:rsidR="00314DA1" w:rsidRPr="00314DA1">
              <w:t>12.6</w:t>
            </w:r>
            <w:r w:rsidR="004A50D2" w:rsidRPr="00314DA1">
              <w:t>%</w:t>
            </w:r>
          </w:p>
        </w:tc>
      </w:tr>
    </w:tbl>
    <w:p w14:paraId="23606064" w14:textId="61C0B030"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sidR="00A657C4">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221F2D">
        <w:rPr>
          <w:color w:val="7F7F7F" w:themeColor="text1" w:themeTint="80"/>
          <w:sz w:val="16"/>
          <w:szCs w:val="16"/>
        </w:rPr>
        <w:t>2/26/2023</w:t>
      </w:r>
    </w:p>
    <w:p w14:paraId="6CBB9CA7" w14:textId="00F915EB" w:rsidR="0094219B" w:rsidRDefault="0094219B" w:rsidP="00472B02">
      <w:pPr>
        <w:pStyle w:val="NoSpacing"/>
      </w:pPr>
    </w:p>
    <w:p w14:paraId="6ECA980F" w14:textId="1C95F143" w:rsidR="005C6AEE" w:rsidRPr="00927EAC" w:rsidRDefault="005C6AEE" w:rsidP="00927EAC">
      <w:pPr>
        <w:pStyle w:val="Heading2"/>
        <w:rPr>
          <w:b/>
          <w:bCs/>
          <w:color w:val="ED7D31" w:themeColor="accent2"/>
        </w:rPr>
      </w:pPr>
      <w:r w:rsidRPr="00927EAC">
        <w:rPr>
          <w:b/>
          <w:bCs/>
          <w:color w:val="ED7D31" w:themeColor="accent2"/>
        </w:rPr>
        <w:t>Performance by segment</w:t>
      </w:r>
    </w:p>
    <w:p w14:paraId="3F555681" w14:textId="03E46B66" w:rsidR="00927EAC" w:rsidRDefault="004B7951" w:rsidP="00927EAC">
      <w:pPr>
        <w:pStyle w:val="NoSpacing"/>
      </w:pPr>
      <w:r>
        <w:t>W</w:t>
      </w:r>
      <w:r w:rsidR="00927EAC">
        <w:t>hite mushrooms represent</w:t>
      </w:r>
      <w:r w:rsidR="00461D8C">
        <w:t>ed</w:t>
      </w:r>
      <w:r w:rsidR="00927EAC">
        <w:t xml:space="preserve"> </w:t>
      </w:r>
      <w:r w:rsidR="00ED0859">
        <w:t>49.4</w:t>
      </w:r>
      <w:r w:rsidR="00927EAC">
        <w:t xml:space="preserve">% of total fresh mushroom sales and </w:t>
      </w:r>
      <w:r w:rsidR="00ED0859">
        <w:t>56.7</w:t>
      </w:r>
      <w:r w:rsidR="00927EAC">
        <w:t>% of pounds</w:t>
      </w:r>
      <w:r w:rsidR="00AC2C09">
        <w:t xml:space="preserve"> in</w:t>
      </w:r>
      <w:r>
        <w:t xml:space="preserve"> the four</w:t>
      </w:r>
      <w:r w:rsidR="00461D8C">
        <w:t>-week period</w:t>
      </w:r>
      <w:r w:rsidR="00927EAC">
        <w:t xml:space="preserve">. </w:t>
      </w:r>
      <w:r>
        <w:t xml:space="preserve">However, it was brown </w:t>
      </w:r>
      <w:r w:rsidR="00B25DFD">
        <w:t>mushrooms</w:t>
      </w:r>
      <w:r>
        <w:t>, the combination of cr</w:t>
      </w:r>
      <w:r w:rsidR="002437CE">
        <w:t>i</w:t>
      </w:r>
      <w:r>
        <w:t>minis and portabellas, that</w:t>
      </w:r>
      <w:r w:rsidR="00B25DFD">
        <w:t xml:space="preserve"> </w:t>
      </w:r>
      <w:r>
        <w:t>fared better</w:t>
      </w:r>
      <w:r w:rsidR="00CB4067">
        <w:t xml:space="preserve"> with </w:t>
      </w:r>
      <w:r w:rsidR="00ED0859">
        <w:t>1.8</w:t>
      </w:r>
      <w:r w:rsidR="00CB4067">
        <w:t xml:space="preserve">% pound growth over the </w:t>
      </w:r>
      <w:r w:rsidR="00251BBC">
        <w:t>2020</w:t>
      </w:r>
      <w:r w:rsidR="00CB4067">
        <w:t xml:space="preserve"> levels</w:t>
      </w:r>
      <w:r w:rsidR="00EB30C7">
        <w:t xml:space="preserve">, whereas white mushrooms were down </w:t>
      </w:r>
      <w:r w:rsidR="00ED0859">
        <w:t>22.0</w:t>
      </w:r>
      <w:r w:rsidR="00EB30C7">
        <w:t>%</w:t>
      </w:r>
      <w:r w:rsidR="00CB4067">
        <w:t xml:space="preserve">. </w:t>
      </w:r>
    </w:p>
    <w:p w14:paraId="29B3DB23" w14:textId="73EA9AE3" w:rsidR="00B25DFD" w:rsidRDefault="00B25DFD" w:rsidP="00927EAC">
      <w:pPr>
        <w:pStyle w:val="NoSpacing"/>
      </w:pPr>
    </w:p>
    <w:tbl>
      <w:tblPr>
        <w:tblStyle w:val="ListTable3-Accent2"/>
        <w:tblW w:w="10615" w:type="dxa"/>
        <w:tblLook w:val="0400" w:firstRow="0" w:lastRow="0" w:firstColumn="0" w:lastColumn="0" w:noHBand="0" w:noVBand="1"/>
      </w:tblPr>
      <w:tblGrid>
        <w:gridCol w:w="2821"/>
        <w:gridCol w:w="1025"/>
        <w:gridCol w:w="882"/>
        <w:gridCol w:w="1011"/>
        <w:gridCol w:w="989"/>
        <w:gridCol w:w="927"/>
        <w:gridCol w:w="890"/>
        <w:gridCol w:w="1080"/>
        <w:gridCol w:w="990"/>
      </w:tblGrid>
      <w:tr w:rsidR="00D8225F" w:rsidRPr="00B25DFD" w14:paraId="66036A96" w14:textId="09558220" w:rsidTr="00D97BC7">
        <w:trPr>
          <w:cnfStyle w:val="000000100000" w:firstRow="0" w:lastRow="0" w:firstColumn="0" w:lastColumn="0" w:oddVBand="0" w:evenVBand="0" w:oddHBand="1" w:evenHBand="0" w:firstRowFirstColumn="0" w:firstRowLastColumn="0" w:lastRowFirstColumn="0" w:lastRowLastColumn="0"/>
          <w:trHeight w:val="20"/>
        </w:trPr>
        <w:tc>
          <w:tcPr>
            <w:tcW w:w="2821" w:type="dxa"/>
            <w:shd w:val="clear" w:color="auto" w:fill="ED7D31" w:themeFill="accent2"/>
            <w:vAlign w:val="center"/>
            <w:hideMark/>
          </w:tcPr>
          <w:p w14:paraId="4B138C18" w14:textId="3FD96655" w:rsidR="00461D8C" w:rsidRPr="006A7A6E" w:rsidRDefault="00461D8C" w:rsidP="00CE27CF">
            <w:pPr>
              <w:pStyle w:val="NoSpacing"/>
              <w:rPr>
                <w:rFonts w:cstheme="minorHAnsi"/>
                <w:b/>
                <w:bCs/>
                <w:color w:val="FFFFFF" w:themeColor="background1"/>
              </w:rPr>
            </w:pPr>
            <w:bookmarkStart w:id="0" w:name="_Hlk97115006"/>
            <w:r w:rsidRPr="006A7A6E">
              <w:rPr>
                <w:rFonts w:cstheme="minorHAnsi"/>
                <w:b/>
                <w:bCs/>
                <w:color w:val="FFFFFF" w:themeColor="background1"/>
              </w:rPr>
              <w:t xml:space="preserve">4 weeks ending </w:t>
            </w:r>
            <w:r w:rsidR="00221F2D">
              <w:rPr>
                <w:rFonts w:cstheme="minorHAnsi"/>
                <w:b/>
                <w:bCs/>
                <w:color w:val="FFFFFF" w:themeColor="background1"/>
              </w:rPr>
              <w:t>2/26/2023</w:t>
            </w:r>
          </w:p>
        </w:tc>
        <w:tc>
          <w:tcPr>
            <w:tcW w:w="1025" w:type="dxa"/>
            <w:shd w:val="clear" w:color="auto" w:fill="ED7D31" w:themeFill="accent2"/>
            <w:hideMark/>
          </w:tcPr>
          <w:p w14:paraId="47F253CD" w14:textId="6F53405A"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Dollars</w:t>
            </w:r>
          </w:p>
        </w:tc>
        <w:tc>
          <w:tcPr>
            <w:tcW w:w="882" w:type="dxa"/>
            <w:shd w:val="clear" w:color="auto" w:fill="ED7D31" w:themeFill="accent2"/>
          </w:tcPr>
          <w:p w14:paraId="385A94D8" w14:textId="1A4D75AA"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Dollar s</w:t>
            </w:r>
            <w:r w:rsidR="00461D8C">
              <w:rPr>
                <w:rFonts w:cstheme="minorHAnsi"/>
                <w:b/>
                <w:bCs/>
                <w:color w:val="FFFFFF" w:themeColor="background1"/>
              </w:rPr>
              <w:t>hare</w:t>
            </w:r>
          </w:p>
        </w:tc>
        <w:tc>
          <w:tcPr>
            <w:tcW w:w="1011" w:type="dxa"/>
            <w:shd w:val="clear" w:color="auto" w:fill="ED7D31" w:themeFill="accent2"/>
            <w:hideMark/>
          </w:tcPr>
          <w:p w14:paraId="3685CC92" w14:textId="5F7AA071"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 xml:space="preserve">s. </w:t>
            </w:r>
            <w:r w:rsidR="00251BBC">
              <w:rPr>
                <w:rFonts w:cstheme="minorHAnsi"/>
                <w:b/>
                <w:bCs/>
                <w:color w:val="FFFFFF" w:themeColor="background1"/>
              </w:rPr>
              <w:t>2022</w:t>
            </w:r>
          </w:p>
        </w:tc>
        <w:tc>
          <w:tcPr>
            <w:tcW w:w="989" w:type="dxa"/>
            <w:tcBorders>
              <w:right w:val="single" w:sz="4" w:space="0" w:color="ED7D31"/>
            </w:tcBorders>
            <w:shd w:val="clear" w:color="auto" w:fill="ED7D31" w:themeFill="accent2"/>
            <w:hideMark/>
          </w:tcPr>
          <w:p w14:paraId="4605C27F" w14:textId="0095037F"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 xml:space="preserve">s. </w:t>
            </w:r>
            <w:r w:rsidR="00251BBC">
              <w:rPr>
                <w:rFonts w:cstheme="minorHAnsi"/>
                <w:b/>
                <w:bCs/>
                <w:color w:val="FFFFFF" w:themeColor="background1"/>
              </w:rPr>
              <w:t>2020</w:t>
            </w:r>
          </w:p>
        </w:tc>
        <w:tc>
          <w:tcPr>
            <w:tcW w:w="927" w:type="dxa"/>
            <w:tcBorders>
              <w:left w:val="single" w:sz="4" w:space="0" w:color="ED7D31"/>
            </w:tcBorders>
            <w:shd w:val="clear" w:color="auto" w:fill="ED7D31" w:themeFill="accent2"/>
          </w:tcPr>
          <w:p w14:paraId="306DC338" w14:textId="78470F88"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Volume</w:t>
            </w:r>
            <w:r w:rsidR="00D8225F">
              <w:rPr>
                <w:rFonts w:cstheme="minorHAnsi"/>
                <w:b/>
                <w:bCs/>
                <w:color w:val="FFFFFF" w:themeColor="background1"/>
              </w:rPr>
              <w:t xml:space="preserve"> (lbs)</w:t>
            </w:r>
          </w:p>
        </w:tc>
        <w:tc>
          <w:tcPr>
            <w:tcW w:w="890" w:type="dxa"/>
            <w:shd w:val="clear" w:color="auto" w:fill="ED7D31" w:themeFill="accent2"/>
          </w:tcPr>
          <w:p w14:paraId="782C6C5A" w14:textId="3EB1CA01" w:rsidR="00D8225F" w:rsidRDefault="00D8225F" w:rsidP="00CE27CF">
            <w:pPr>
              <w:pStyle w:val="NoSpacing"/>
              <w:jc w:val="right"/>
              <w:rPr>
                <w:rFonts w:cstheme="minorHAnsi"/>
                <w:b/>
                <w:bCs/>
                <w:color w:val="FFFFFF" w:themeColor="background1"/>
              </w:rPr>
            </w:pPr>
            <w:r>
              <w:rPr>
                <w:rFonts w:cstheme="minorHAnsi"/>
                <w:b/>
                <w:bCs/>
                <w:color w:val="FFFFFF" w:themeColor="background1"/>
              </w:rPr>
              <w:t>Lbs</w:t>
            </w:r>
          </w:p>
          <w:p w14:paraId="60FA614A" w14:textId="53D11403"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s</w:t>
            </w:r>
            <w:r w:rsidR="00461D8C">
              <w:rPr>
                <w:rFonts w:cstheme="minorHAnsi"/>
                <w:b/>
                <w:bCs/>
                <w:color w:val="FFFFFF" w:themeColor="background1"/>
              </w:rPr>
              <w:t>hare</w:t>
            </w:r>
          </w:p>
        </w:tc>
        <w:tc>
          <w:tcPr>
            <w:tcW w:w="1080" w:type="dxa"/>
            <w:shd w:val="clear" w:color="auto" w:fill="ED7D31" w:themeFill="accent2"/>
          </w:tcPr>
          <w:p w14:paraId="7DE6FAA8" w14:textId="407FBFD8"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xml:space="preserve">Lbs </w:t>
            </w:r>
            <w:r>
              <w:rPr>
                <w:rFonts w:cstheme="minorHAnsi"/>
                <w:b/>
                <w:bCs/>
                <w:color w:val="FFFFFF" w:themeColor="background1"/>
              </w:rPr>
              <w:br/>
              <w:t>v</w:t>
            </w:r>
            <w:r w:rsidR="00461D8C" w:rsidRPr="006A7A6E">
              <w:rPr>
                <w:rFonts w:cstheme="minorHAnsi"/>
                <w:b/>
                <w:bCs/>
                <w:color w:val="FFFFFF" w:themeColor="background1"/>
              </w:rPr>
              <w:t xml:space="preserve">s. </w:t>
            </w:r>
            <w:r w:rsidR="00251BBC">
              <w:rPr>
                <w:rFonts w:cstheme="minorHAnsi"/>
                <w:b/>
                <w:bCs/>
                <w:color w:val="FFFFFF" w:themeColor="background1"/>
              </w:rPr>
              <w:t>2022</w:t>
            </w:r>
          </w:p>
        </w:tc>
        <w:tc>
          <w:tcPr>
            <w:tcW w:w="990" w:type="dxa"/>
            <w:shd w:val="clear" w:color="auto" w:fill="ED7D31" w:themeFill="accent2"/>
          </w:tcPr>
          <w:p w14:paraId="212AEB88" w14:textId="5FC08CEC"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Lbs v</w:t>
            </w:r>
            <w:r w:rsidR="00461D8C" w:rsidRPr="006A7A6E">
              <w:rPr>
                <w:rFonts w:cstheme="minorHAnsi"/>
                <w:b/>
                <w:bCs/>
                <w:color w:val="FFFFFF" w:themeColor="background1"/>
              </w:rPr>
              <w:t xml:space="preserve">s. </w:t>
            </w:r>
            <w:r w:rsidR="00251BBC">
              <w:rPr>
                <w:rFonts w:cstheme="minorHAnsi"/>
                <w:b/>
                <w:bCs/>
                <w:color w:val="FFFFFF" w:themeColor="background1"/>
              </w:rPr>
              <w:t>2020</w:t>
            </w:r>
          </w:p>
        </w:tc>
      </w:tr>
      <w:tr w:rsidR="00D8225F" w:rsidRPr="00B25DFD" w14:paraId="69D4AA5B" w14:textId="069A747C" w:rsidTr="00D97BC7">
        <w:trPr>
          <w:trHeight w:val="20"/>
        </w:trPr>
        <w:tc>
          <w:tcPr>
            <w:tcW w:w="2821" w:type="dxa"/>
            <w:vAlign w:val="center"/>
            <w:hideMark/>
          </w:tcPr>
          <w:p w14:paraId="2C1CDE46" w14:textId="178D4679" w:rsidR="00461D8C" w:rsidRPr="006A7A6E" w:rsidRDefault="00461D8C" w:rsidP="002F23A1">
            <w:pPr>
              <w:rPr>
                <w:rFonts w:cstheme="minorHAnsi"/>
                <w:b/>
                <w:bCs/>
              </w:rPr>
            </w:pPr>
            <w:r>
              <w:rPr>
                <w:rFonts w:cstheme="minorHAnsi"/>
                <w:b/>
                <w:bCs/>
              </w:rPr>
              <w:t>Total f</w:t>
            </w:r>
            <w:r w:rsidRPr="006A7A6E">
              <w:rPr>
                <w:rFonts w:cstheme="minorHAnsi"/>
                <w:b/>
                <w:bCs/>
              </w:rPr>
              <w:t>resh mushrooms</w:t>
            </w:r>
          </w:p>
        </w:tc>
        <w:tc>
          <w:tcPr>
            <w:tcW w:w="1025" w:type="dxa"/>
            <w:hideMark/>
          </w:tcPr>
          <w:p w14:paraId="6A87FED7" w14:textId="6AE02A44" w:rsidR="00461D8C" w:rsidRPr="006A7A6E" w:rsidRDefault="00461D8C" w:rsidP="00677889">
            <w:pPr>
              <w:pStyle w:val="NoSpacing"/>
              <w:jc w:val="right"/>
              <w:rPr>
                <w:rFonts w:cstheme="minorHAnsi"/>
                <w:b/>
                <w:bCs/>
              </w:rPr>
            </w:pPr>
            <w:r w:rsidRPr="006A7A6E">
              <w:rPr>
                <w:rFonts w:cstheme="minorHAnsi"/>
                <w:b/>
                <w:bCs/>
                <w:color w:val="000000" w:themeColor="text1"/>
              </w:rPr>
              <w:t>$</w:t>
            </w:r>
            <w:r w:rsidR="00E477C3">
              <w:rPr>
                <w:rFonts w:cstheme="minorHAnsi"/>
                <w:b/>
                <w:bCs/>
                <w:color w:val="000000" w:themeColor="text1"/>
              </w:rPr>
              <w:t>97.0</w:t>
            </w:r>
            <w:r w:rsidRPr="006A7A6E">
              <w:rPr>
                <w:rFonts w:cstheme="minorHAnsi"/>
                <w:b/>
                <w:bCs/>
                <w:color w:val="000000" w:themeColor="text1"/>
              </w:rPr>
              <w:t>M</w:t>
            </w:r>
          </w:p>
        </w:tc>
        <w:tc>
          <w:tcPr>
            <w:tcW w:w="882" w:type="dxa"/>
          </w:tcPr>
          <w:p w14:paraId="3A01C257" w14:textId="24C4CBC7" w:rsidR="00461D8C" w:rsidRPr="006A7A6E" w:rsidRDefault="00910CD7" w:rsidP="002F23A1">
            <w:pPr>
              <w:pStyle w:val="NoSpacing"/>
              <w:jc w:val="right"/>
              <w:rPr>
                <w:rFonts w:cstheme="minorHAnsi"/>
                <w:b/>
                <w:bCs/>
                <w:color w:val="000000" w:themeColor="text1"/>
              </w:rPr>
            </w:pPr>
            <w:r>
              <w:rPr>
                <w:rFonts w:cstheme="minorHAnsi"/>
                <w:b/>
                <w:bCs/>
                <w:color w:val="000000" w:themeColor="text1"/>
              </w:rPr>
              <w:t>100.0</w:t>
            </w:r>
            <w:r w:rsidR="00461D8C">
              <w:rPr>
                <w:rFonts w:cstheme="minorHAnsi"/>
                <w:b/>
                <w:bCs/>
                <w:color w:val="000000" w:themeColor="text1"/>
              </w:rPr>
              <w:t>%</w:t>
            </w:r>
          </w:p>
        </w:tc>
        <w:tc>
          <w:tcPr>
            <w:tcW w:w="1011" w:type="dxa"/>
            <w:hideMark/>
          </w:tcPr>
          <w:p w14:paraId="7E486F05" w14:textId="076B4239" w:rsidR="00461D8C" w:rsidRPr="006A7A6E" w:rsidRDefault="00461D8C" w:rsidP="002F23A1">
            <w:pPr>
              <w:pStyle w:val="NoSpacing"/>
              <w:jc w:val="right"/>
              <w:rPr>
                <w:rFonts w:cstheme="minorHAnsi"/>
                <w:b/>
                <w:bCs/>
              </w:rPr>
            </w:pPr>
            <w:r w:rsidRPr="006A7A6E">
              <w:rPr>
                <w:rFonts w:cstheme="minorHAnsi"/>
                <w:b/>
                <w:bCs/>
                <w:color w:val="000000" w:themeColor="text1"/>
              </w:rPr>
              <w:t>-</w:t>
            </w:r>
            <w:r w:rsidR="00E477C3">
              <w:rPr>
                <w:rFonts w:cstheme="minorHAnsi"/>
                <w:b/>
                <w:bCs/>
                <w:color w:val="000000" w:themeColor="text1"/>
              </w:rPr>
              <w:t>6.9</w:t>
            </w:r>
            <w:r w:rsidRPr="006A7A6E">
              <w:rPr>
                <w:rFonts w:cstheme="minorHAnsi"/>
                <w:b/>
                <w:bCs/>
                <w:color w:val="000000" w:themeColor="text1"/>
              </w:rPr>
              <w:t>%</w:t>
            </w:r>
          </w:p>
        </w:tc>
        <w:tc>
          <w:tcPr>
            <w:tcW w:w="989" w:type="dxa"/>
            <w:tcBorders>
              <w:right w:val="single" w:sz="4" w:space="0" w:color="ED7D31"/>
            </w:tcBorders>
            <w:hideMark/>
          </w:tcPr>
          <w:p w14:paraId="3BD808C1" w14:textId="32965317" w:rsidR="00461D8C" w:rsidRPr="006A7A6E" w:rsidRDefault="00E477C3" w:rsidP="002F23A1">
            <w:pPr>
              <w:pStyle w:val="NoSpacing"/>
              <w:jc w:val="right"/>
              <w:rPr>
                <w:rFonts w:cstheme="minorHAnsi"/>
                <w:b/>
                <w:bCs/>
              </w:rPr>
            </w:pPr>
            <w:r>
              <w:rPr>
                <w:rFonts w:cstheme="minorHAnsi"/>
                <w:b/>
                <w:bCs/>
                <w:color w:val="000000" w:themeColor="text1"/>
              </w:rPr>
              <w:t>-0.7</w:t>
            </w:r>
            <w:r w:rsidR="00461D8C" w:rsidRPr="006A7A6E">
              <w:rPr>
                <w:rFonts w:cstheme="minorHAnsi"/>
                <w:b/>
                <w:bCs/>
                <w:color w:val="000000" w:themeColor="text1"/>
              </w:rPr>
              <w:t>%</w:t>
            </w:r>
          </w:p>
        </w:tc>
        <w:tc>
          <w:tcPr>
            <w:tcW w:w="927" w:type="dxa"/>
            <w:tcBorders>
              <w:left w:val="single" w:sz="4" w:space="0" w:color="ED7D31"/>
            </w:tcBorders>
          </w:tcPr>
          <w:p w14:paraId="6E7375BC" w14:textId="0097678D" w:rsidR="00461D8C" w:rsidRPr="006A7A6E" w:rsidRDefault="00E477C3" w:rsidP="002F23A1">
            <w:pPr>
              <w:pStyle w:val="NoSpacing"/>
              <w:jc w:val="right"/>
              <w:rPr>
                <w:rFonts w:cstheme="minorHAnsi"/>
                <w:b/>
                <w:bCs/>
              </w:rPr>
            </w:pPr>
            <w:r>
              <w:rPr>
                <w:rFonts w:cstheme="minorHAnsi"/>
                <w:b/>
                <w:bCs/>
                <w:color w:val="000000" w:themeColor="text1"/>
              </w:rPr>
              <w:t>20.3</w:t>
            </w:r>
            <w:r w:rsidR="00461D8C" w:rsidRPr="006A7A6E">
              <w:rPr>
                <w:rFonts w:cstheme="minorHAnsi"/>
                <w:b/>
                <w:bCs/>
                <w:color w:val="000000" w:themeColor="text1"/>
              </w:rPr>
              <w:t>M</w:t>
            </w:r>
          </w:p>
        </w:tc>
        <w:tc>
          <w:tcPr>
            <w:tcW w:w="890" w:type="dxa"/>
          </w:tcPr>
          <w:p w14:paraId="62317D86" w14:textId="460A43AB" w:rsidR="00461D8C" w:rsidRPr="006A7A6E" w:rsidRDefault="00461D8C" w:rsidP="002F23A1">
            <w:pPr>
              <w:pStyle w:val="NoSpacing"/>
              <w:jc w:val="right"/>
              <w:rPr>
                <w:rFonts w:cstheme="minorHAnsi"/>
                <w:b/>
                <w:bCs/>
                <w:color w:val="000000" w:themeColor="text1"/>
              </w:rPr>
            </w:pPr>
            <w:r>
              <w:rPr>
                <w:rFonts w:cstheme="minorHAnsi"/>
                <w:b/>
                <w:bCs/>
                <w:color w:val="000000" w:themeColor="text1"/>
              </w:rPr>
              <w:t>100.0%</w:t>
            </w:r>
          </w:p>
        </w:tc>
        <w:tc>
          <w:tcPr>
            <w:tcW w:w="1080" w:type="dxa"/>
          </w:tcPr>
          <w:p w14:paraId="5E78B271" w14:textId="12BF42D5" w:rsidR="00461D8C" w:rsidRPr="006A7A6E" w:rsidRDefault="00461D8C" w:rsidP="002F23A1">
            <w:pPr>
              <w:pStyle w:val="NoSpacing"/>
              <w:jc w:val="right"/>
              <w:rPr>
                <w:rFonts w:cstheme="minorHAnsi"/>
                <w:b/>
                <w:bCs/>
              </w:rPr>
            </w:pPr>
            <w:r w:rsidRPr="006A7A6E">
              <w:rPr>
                <w:rFonts w:cstheme="minorHAnsi"/>
                <w:b/>
                <w:bCs/>
                <w:color w:val="000000" w:themeColor="text1"/>
              </w:rPr>
              <w:t>-</w:t>
            </w:r>
            <w:r w:rsidR="00E477C3">
              <w:rPr>
                <w:rFonts w:cstheme="minorHAnsi"/>
                <w:b/>
                <w:bCs/>
                <w:color w:val="000000" w:themeColor="text1"/>
              </w:rPr>
              <w:t>13.2</w:t>
            </w:r>
            <w:r w:rsidRPr="006A7A6E">
              <w:rPr>
                <w:rFonts w:cstheme="minorHAnsi"/>
                <w:b/>
                <w:bCs/>
                <w:color w:val="000000" w:themeColor="text1"/>
              </w:rPr>
              <w:t>%</w:t>
            </w:r>
          </w:p>
        </w:tc>
        <w:tc>
          <w:tcPr>
            <w:tcW w:w="990" w:type="dxa"/>
          </w:tcPr>
          <w:p w14:paraId="576290B6" w14:textId="0FB7DF36" w:rsidR="00461D8C" w:rsidRPr="006A7A6E" w:rsidRDefault="006F1F55" w:rsidP="002F23A1">
            <w:pPr>
              <w:pStyle w:val="NoSpacing"/>
              <w:jc w:val="right"/>
              <w:rPr>
                <w:rFonts w:cstheme="minorHAnsi"/>
                <w:b/>
                <w:bCs/>
              </w:rPr>
            </w:pPr>
            <w:r>
              <w:rPr>
                <w:rFonts w:cstheme="minorHAnsi"/>
                <w:b/>
                <w:bCs/>
                <w:color w:val="000000" w:themeColor="text1"/>
              </w:rPr>
              <w:t>-</w:t>
            </w:r>
            <w:r w:rsidR="00ED0859">
              <w:rPr>
                <w:rFonts w:cstheme="minorHAnsi"/>
                <w:b/>
                <w:bCs/>
                <w:color w:val="000000" w:themeColor="text1"/>
              </w:rPr>
              <w:t>13.4</w:t>
            </w:r>
            <w:r w:rsidR="00461D8C" w:rsidRPr="006A7A6E">
              <w:rPr>
                <w:rFonts w:cstheme="minorHAnsi"/>
                <w:b/>
                <w:bCs/>
                <w:color w:val="000000" w:themeColor="text1"/>
              </w:rPr>
              <w:t>%</w:t>
            </w:r>
          </w:p>
        </w:tc>
      </w:tr>
      <w:tr w:rsidR="0004266D" w:rsidRPr="00B25DFD" w14:paraId="20B4A675" w14:textId="7B567306" w:rsidTr="00D97BC7">
        <w:trPr>
          <w:cnfStyle w:val="000000100000" w:firstRow="0" w:lastRow="0" w:firstColumn="0" w:lastColumn="0" w:oddVBand="0" w:evenVBand="0" w:oddHBand="1" w:evenHBand="0" w:firstRowFirstColumn="0" w:firstRowLastColumn="0" w:lastRowFirstColumn="0" w:lastRowLastColumn="0"/>
          <w:trHeight w:val="20"/>
        </w:trPr>
        <w:tc>
          <w:tcPr>
            <w:tcW w:w="2821" w:type="dxa"/>
            <w:vAlign w:val="center"/>
            <w:hideMark/>
          </w:tcPr>
          <w:p w14:paraId="0674F69D" w14:textId="21733F06" w:rsidR="0004266D" w:rsidRPr="006A7A6E" w:rsidRDefault="0004266D" w:rsidP="0004266D">
            <w:pPr>
              <w:rPr>
                <w:rFonts w:cstheme="minorHAnsi"/>
              </w:rPr>
            </w:pPr>
            <w:r w:rsidRPr="006A7A6E">
              <w:rPr>
                <w:rFonts w:cstheme="minorHAnsi"/>
              </w:rPr>
              <w:t>White mushrooms</w:t>
            </w:r>
          </w:p>
        </w:tc>
        <w:tc>
          <w:tcPr>
            <w:tcW w:w="1025" w:type="dxa"/>
            <w:hideMark/>
          </w:tcPr>
          <w:p w14:paraId="502595AA" w14:textId="100AB90A" w:rsidR="0004266D" w:rsidRPr="002F23A1" w:rsidRDefault="0004266D" w:rsidP="0004266D">
            <w:pPr>
              <w:pStyle w:val="NoSpacing"/>
              <w:jc w:val="right"/>
              <w:rPr>
                <w:rFonts w:cstheme="minorHAnsi"/>
              </w:rPr>
            </w:pPr>
            <w:r w:rsidRPr="002F23A1">
              <w:rPr>
                <w:rFonts w:cstheme="minorHAnsi"/>
                <w:color w:val="000000" w:themeColor="text1"/>
              </w:rPr>
              <w:t>$</w:t>
            </w:r>
            <w:r w:rsidR="00E477C3">
              <w:rPr>
                <w:rFonts w:cstheme="minorHAnsi"/>
                <w:color w:val="000000" w:themeColor="text1"/>
              </w:rPr>
              <w:t>47.9</w:t>
            </w:r>
            <w:r w:rsidRPr="002F23A1">
              <w:rPr>
                <w:rFonts w:cstheme="minorHAnsi"/>
                <w:color w:val="000000" w:themeColor="text1"/>
              </w:rPr>
              <w:t>M</w:t>
            </w:r>
          </w:p>
        </w:tc>
        <w:tc>
          <w:tcPr>
            <w:tcW w:w="882" w:type="dxa"/>
          </w:tcPr>
          <w:p w14:paraId="5E770B3E" w14:textId="24D25A29" w:rsidR="0004266D" w:rsidRPr="00D96AEE" w:rsidRDefault="00E477C3" w:rsidP="0004266D">
            <w:pPr>
              <w:pStyle w:val="NoSpacing"/>
              <w:jc w:val="right"/>
              <w:rPr>
                <w:rFonts w:cstheme="minorHAnsi"/>
              </w:rPr>
            </w:pPr>
            <w:r>
              <w:rPr>
                <w:rFonts w:cstheme="minorHAnsi"/>
              </w:rPr>
              <w:t>49.4</w:t>
            </w:r>
            <w:r w:rsidR="0004266D" w:rsidRPr="00D96AEE">
              <w:rPr>
                <w:rFonts w:cstheme="minorHAnsi"/>
              </w:rPr>
              <w:t>%</w:t>
            </w:r>
          </w:p>
        </w:tc>
        <w:tc>
          <w:tcPr>
            <w:tcW w:w="1011" w:type="dxa"/>
            <w:hideMark/>
          </w:tcPr>
          <w:p w14:paraId="4CEB702D" w14:textId="32B07104" w:rsidR="0004266D" w:rsidRPr="00D96AEE" w:rsidRDefault="0004266D" w:rsidP="0004266D">
            <w:pPr>
              <w:pStyle w:val="NoSpacing"/>
              <w:jc w:val="right"/>
              <w:rPr>
                <w:rFonts w:cstheme="minorHAnsi"/>
              </w:rPr>
            </w:pPr>
            <w:r w:rsidRPr="00D96AEE">
              <w:rPr>
                <w:rFonts w:cstheme="minorHAnsi"/>
                <w:color w:val="000000" w:themeColor="text1"/>
              </w:rPr>
              <w:t>-</w:t>
            </w:r>
            <w:r w:rsidR="00E477C3">
              <w:rPr>
                <w:rFonts w:cstheme="minorHAnsi"/>
                <w:color w:val="000000" w:themeColor="text1"/>
              </w:rPr>
              <w:t>13.4</w:t>
            </w:r>
            <w:r w:rsidRPr="00D96AEE">
              <w:rPr>
                <w:rFonts w:cstheme="minorHAnsi"/>
                <w:color w:val="000000" w:themeColor="text1"/>
              </w:rPr>
              <w:t>%</w:t>
            </w:r>
          </w:p>
        </w:tc>
        <w:tc>
          <w:tcPr>
            <w:tcW w:w="989" w:type="dxa"/>
            <w:tcBorders>
              <w:right w:val="single" w:sz="4" w:space="0" w:color="ED7D31"/>
            </w:tcBorders>
            <w:hideMark/>
          </w:tcPr>
          <w:p w14:paraId="7F3B4AE1" w14:textId="3FBD7261" w:rsidR="0004266D" w:rsidRPr="0004266D" w:rsidRDefault="00445779" w:rsidP="0004266D">
            <w:pPr>
              <w:pStyle w:val="NoSpacing"/>
              <w:jc w:val="right"/>
              <w:rPr>
                <w:rFonts w:cstheme="minorHAnsi"/>
              </w:rPr>
            </w:pPr>
            <w:r>
              <w:rPr>
                <w:rFonts w:cstheme="minorHAnsi"/>
                <w:color w:val="000000" w:themeColor="text1"/>
              </w:rPr>
              <w:t>-</w:t>
            </w:r>
            <w:r w:rsidR="00E477C3">
              <w:rPr>
                <w:rFonts w:cstheme="minorHAnsi"/>
                <w:color w:val="000000" w:themeColor="text1"/>
              </w:rPr>
              <w:t>12.1</w:t>
            </w:r>
            <w:r w:rsidR="0004266D" w:rsidRPr="0004266D">
              <w:rPr>
                <w:rFonts w:cstheme="minorHAnsi"/>
                <w:color w:val="000000" w:themeColor="text1"/>
              </w:rPr>
              <w:t>%</w:t>
            </w:r>
          </w:p>
        </w:tc>
        <w:tc>
          <w:tcPr>
            <w:tcW w:w="927" w:type="dxa"/>
            <w:tcBorders>
              <w:left w:val="single" w:sz="4" w:space="0" w:color="ED7D31"/>
            </w:tcBorders>
          </w:tcPr>
          <w:p w14:paraId="3E87B660" w14:textId="17FA2376" w:rsidR="0004266D" w:rsidRPr="0004266D" w:rsidRDefault="00445779" w:rsidP="0004266D">
            <w:pPr>
              <w:pStyle w:val="NoSpacing"/>
              <w:jc w:val="right"/>
              <w:rPr>
                <w:rFonts w:cstheme="minorHAnsi"/>
              </w:rPr>
            </w:pPr>
            <w:r>
              <w:rPr>
                <w:rFonts w:cstheme="minorHAnsi"/>
                <w:color w:val="000000" w:themeColor="text1"/>
              </w:rPr>
              <w:t>1</w:t>
            </w:r>
            <w:r w:rsidR="00E477C3">
              <w:rPr>
                <w:rFonts w:cstheme="minorHAnsi"/>
                <w:color w:val="000000" w:themeColor="text1"/>
              </w:rPr>
              <w:t>1.5</w:t>
            </w:r>
            <w:r w:rsidR="0004266D" w:rsidRPr="0004266D">
              <w:rPr>
                <w:rFonts w:cstheme="minorHAnsi"/>
                <w:color w:val="000000" w:themeColor="text1"/>
              </w:rPr>
              <w:t>M</w:t>
            </w:r>
          </w:p>
        </w:tc>
        <w:tc>
          <w:tcPr>
            <w:tcW w:w="890" w:type="dxa"/>
          </w:tcPr>
          <w:p w14:paraId="4385ED4A" w14:textId="3D6C8223" w:rsidR="0004266D" w:rsidRPr="00337F18" w:rsidRDefault="00E477C3" w:rsidP="0004266D">
            <w:pPr>
              <w:pStyle w:val="NoSpacing"/>
              <w:jc w:val="right"/>
              <w:rPr>
                <w:rFonts w:cstheme="minorHAnsi"/>
              </w:rPr>
            </w:pPr>
            <w:r>
              <w:rPr>
                <w:rFonts w:cstheme="minorHAnsi"/>
              </w:rPr>
              <w:t>56.7</w:t>
            </w:r>
            <w:r w:rsidR="0004266D" w:rsidRPr="00D96AEE">
              <w:rPr>
                <w:rFonts w:cstheme="minorHAnsi"/>
              </w:rPr>
              <w:t>%</w:t>
            </w:r>
          </w:p>
        </w:tc>
        <w:tc>
          <w:tcPr>
            <w:tcW w:w="1080" w:type="dxa"/>
          </w:tcPr>
          <w:p w14:paraId="776C4AD3" w14:textId="3BA22D05" w:rsidR="0004266D" w:rsidRPr="0004266D" w:rsidRDefault="0004266D" w:rsidP="0004266D">
            <w:pPr>
              <w:pStyle w:val="NoSpacing"/>
              <w:jc w:val="right"/>
              <w:rPr>
                <w:rFonts w:cstheme="minorHAnsi"/>
              </w:rPr>
            </w:pPr>
            <w:r w:rsidRPr="0004266D">
              <w:rPr>
                <w:rFonts w:cstheme="minorHAnsi"/>
                <w:color w:val="000000" w:themeColor="text1"/>
              </w:rPr>
              <w:t>-</w:t>
            </w:r>
            <w:r w:rsidR="00E477C3">
              <w:rPr>
                <w:rFonts w:cstheme="minorHAnsi"/>
                <w:color w:val="000000" w:themeColor="text1"/>
              </w:rPr>
              <w:t>18.3</w:t>
            </w:r>
            <w:r w:rsidRPr="0004266D">
              <w:rPr>
                <w:rFonts w:cstheme="minorHAnsi"/>
                <w:color w:val="000000" w:themeColor="text1"/>
              </w:rPr>
              <w:t>%</w:t>
            </w:r>
          </w:p>
        </w:tc>
        <w:tc>
          <w:tcPr>
            <w:tcW w:w="990" w:type="dxa"/>
          </w:tcPr>
          <w:p w14:paraId="107F8B93" w14:textId="1B78C712" w:rsidR="0004266D" w:rsidRPr="00D96AEE" w:rsidRDefault="0004266D" w:rsidP="0004266D">
            <w:pPr>
              <w:pStyle w:val="NoSpacing"/>
              <w:jc w:val="right"/>
              <w:rPr>
                <w:rFonts w:cstheme="minorHAnsi"/>
              </w:rPr>
            </w:pPr>
            <w:r w:rsidRPr="00D96AEE">
              <w:rPr>
                <w:rFonts w:cstheme="minorHAnsi"/>
                <w:color w:val="000000" w:themeColor="text1"/>
              </w:rPr>
              <w:t>-</w:t>
            </w:r>
            <w:r w:rsidR="00ED0859">
              <w:rPr>
                <w:rFonts w:cstheme="minorHAnsi"/>
                <w:color w:val="000000" w:themeColor="text1"/>
              </w:rPr>
              <w:t>22.0</w:t>
            </w:r>
            <w:r w:rsidRPr="00D96AEE">
              <w:rPr>
                <w:rFonts w:cstheme="minorHAnsi"/>
                <w:color w:val="000000" w:themeColor="text1"/>
              </w:rPr>
              <w:t>%</w:t>
            </w:r>
          </w:p>
        </w:tc>
      </w:tr>
      <w:tr w:rsidR="0004266D" w:rsidRPr="00B25DFD" w14:paraId="6060C93B" w14:textId="081A30E4" w:rsidTr="00D97BC7">
        <w:trPr>
          <w:trHeight w:val="20"/>
        </w:trPr>
        <w:tc>
          <w:tcPr>
            <w:tcW w:w="2821" w:type="dxa"/>
            <w:vAlign w:val="center"/>
            <w:hideMark/>
          </w:tcPr>
          <w:p w14:paraId="4D628EC6" w14:textId="7F1F9492" w:rsidR="0004266D" w:rsidRPr="006A7A6E" w:rsidRDefault="0004266D" w:rsidP="0004266D">
            <w:pPr>
              <w:rPr>
                <w:rFonts w:cstheme="minorHAnsi"/>
              </w:rPr>
            </w:pPr>
            <w:r w:rsidRPr="006A7A6E">
              <w:rPr>
                <w:rFonts w:cstheme="minorHAnsi"/>
              </w:rPr>
              <w:t>Brown mushrooms</w:t>
            </w:r>
          </w:p>
        </w:tc>
        <w:tc>
          <w:tcPr>
            <w:tcW w:w="1025" w:type="dxa"/>
            <w:hideMark/>
          </w:tcPr>
          <w:p w14:paraId="590C2B94" w14:textId="1D72BEE5" w:rsidR="0004266D" w:rsidRPr="002F23A1" w:rsidRDefault="0004266D" w:rsidP="0004266D">
            <w:pPr>
              <w:pStyle w:val="NoSpacing"/>
              <w:jc w:val="right"/>
              <w:rPr>
                <w:rFonts w:cstheme="minorHAnsi"/>
              </w:rPr>
            </w:pPr>
            <w:r w:rsidRPr="002F23A1">
              <w:rPr>
                <w:rFonts w:cstheme="minorHAnsi"/>
                <w:color w:val="000000" w:themeColor="text1"/>
              </w:rPr>
              <w:t>$</w:t>
            </w:r>
            <w:r w:rsidR="00E477C3">
              <w:rPr>
                <w:rFonts w:cstheme="minorHAnsi"/>
                <w:color w:val="000000" w:themeColor="text1"/>
              </w:rPr>
              <w:t>43.0</w:t>
            </w:r>
            <w:r w:rsidRPr="002F23A1">
              <w:rPr>
                <w:rFonts w:cstheme="minorHAnsi"/>
                <w:color w:val="000000" w:themeColor="text1"/>
              </w:rPr>
              <w:t>M</w:t>
            </w:r>
          </w:p>
        </w:tc>
        <w:tc>
          <w:tcPr>
            <w:tcW w:w="882" w:type="dxa"/>
          </w:tcPr>
          <w:p w14:paraId="02395440" w14:textId="4E00E299" w:rsidR="0004266D" w:rsidRPr="00337F18" w:rsidRDefault="00E477C3" w:rsidP="0004266D">
            <w:pPr>
              <w:pStyle w:val="NoSpacing"/>
              <w:jc w:val="right"/>
              <w:rPr>
                <w:rFonts w:cstheme="minorHAnsi"/>
              </w:rPr>
            </w:pPr>
            <w:r>
              <w:rPr>
                <w:rFonts w:cstheme="minorHAnsi"/>
              </w:rPr>
              <w:t>44.3</w:t>
            </w:r>
            <w:r w:rsidR="0004266D" w:rsidRPr="00337F18">
              <w:rPr>
                <w:rFonts w:cstheme="minorHAnsi"/>
              </w:rPr>
              <w:t>%</w:t>
            </w:r>
          </w:p>
        </w:tc>
        <w:tc>
          <w:tcPr>
            <w:tcW w:w="1011" w:type="dxa"/>
            <w:hideMark/>
          </w:tcPr>
          <w:p w14:paraId="42F0AAF3" w14:textId="1598D0A4" w:rsidR="0004266D" w:rsidRPr="0004266D" w:rsidRDefault="00910CD7" w:rsidP="0004266D">
            <w:pPr>
              <w:pStyle w:val="NoSpacing"/>
              <w:jc w:val="right"/>
              <w:rPr>
                <w:rFonts w:cstheme="minorHAnsi"/>
              </w:rPr>
            </w:pPr>
            <w:r>
              <w:rPr>
                <w:rFonts w:cstheme="minorHAnsi"/>
                <w:color w:val="000000" w:themeColor="text1"/>
              </w:rPr>
              <w:t>+</w:t>
            </w:r>
            <w:r w:rsidR="00E477C3">
              <w:rPr>
                <w:rFonts w:cstheme="minorHAnsi"/>
                <w:color w:val="000000" w:themeColor="text1"/>
              </w:rPr>
              <w:t>0.9</w:t>
            </w:r>
            <w:r w:rsidR="0004266D" w:rsidRPr="0004266D">
              <w:rPr>
                <w:rFonts w:cstheme="minorHAnsi"/>
                <w:color w:val="000000" w:themeColor="text1"/>
              </w:rPr>
              <w:t>%</w:t>
            </w:r>
          </w:p>
        </w:tc>
        <w:tc>
          <w:tcPr>
            <w:tcW w:w="989" w:type="dxa"/>
            <w:tcBorders>
              <w:right w:val="single" w:sz="4" w:space="0" w:color="ED7D31"/>
            </w:tcBorders>
            <w:hideMark/>
          </w:tcPr>
          <w:p w14:paraId="25DB127B" w14:textId="5D413544" w:rsidR="0004266D" w:rsidRPr="0004266D" w:rsidRDefault="009D5574" w:rsidP="0004266D">
            <w:pPr>
              <w:pStyle w:val="NoSpacing"/>
              <w:jc w:val="right"/>
              <w:rPr>
                <w:rFonts w:cstheme="minorHAnsi"/>
              </w:rPr>
            </w:pPr>
            <w:r>
              <w:rPr>
                <w:rFonts w:cstheme="minorHAnsi"/>
                <w:color w:val="000000" w:themeColor="text1"/>
              </w:rPr>
              <w:t>+</w:t>
            </w:r>
            <w:r w:rsidR="00E477C3">
              <w:rPr>
                <w:rFonts w:cstheme="minorHAnsi"/>
                <w:color w:val="000000" w:themeColor="text1"/>
              </w:rPr>
              <w:t>15.0</w:t>
            </w:r>
            <w:r w:rsidR="0004266D" w:rsidRPr="0004266D">
              <w:rPr>
                <w:rFonts w:cstheme="minorHAnsi"/>
                <w:color w:val="000000" w:themeColor="text1"/>
              </w:rPr>
              <w:t>%</w:t>
            </w:r>
          </w:p>
        </w:tc>
        <w:tc>
          <w:tcPr>
            <w:tcW w:w="927" w:type="dxa"/>
            <w:tcBorders>
              <w:left w:val="single" w:sz="4" w:space="0" w:color="ED7D31"/>
            </w:tcBorders>
          </w:tcPr>
          <w:p w14:paraId="6FD24DED" w14:textId="13D1B69B" w:rsidR="0004266D" w:rsidRPr="0004266D" w:rsidRDefault="00E477C3" w:rsidP="0004266D">
            <w:pPr>
              <w:pStyle w:val="NoSpacing"/>
              <w:jc w:val="right"/>
              <w:rPr>
                <w:rFonts w:cstheme="minorHAnsi"/>
              </w:rPr>
            </w:pPr>
            <w:r>
              <w:rPr>
                <w:rFonts w:cstheme="minorHAnsi"/>
                <w:color w:val="000000" w:themeColor="text1"/>
              </w:rPr>
              <w:t>8.3</w:t>
            </w:r>
            <w:r w:rsidR="0004266D" w:rsidRPr="0004266D">
              <w:rPr>
                <w:rFonts w:cstheme="minorHAnsi"/>
                <w:color w:val="000000" w:themeColor="text1"/>
              </w:rPr>
              <w:t>M</w:t>
            </w:r>
          </w:p>
        </w:tc>
        <w:tc>
          <w:tcPr>
            <w:tcW w:w="890" w:type="dxa"/>
          </w:tcPr>
          <w:p w14:paraId="39529C18" w14:textId="5571A8EC" w:rsidR="0004266D" w:rsidRPr="00337F18" w:rsidRDefault="00E477C3" w:rsidP="0004266D">
            <w:pPr>
              <w:pStyle w:val="NoSpacing"/>
              <w:jc w:val="right"/>
              <w:rPr>
                <w:rFonts w:cstheme="minorHAnsi"/>
              </w:rPr>
            </w:pPr>
            <w:r>
              <w:rPr>
                <w:rFonts w:cstheme="minorHAnsi"/>
              </w:rPr>
              <w:t>41.2</w:t>
            </w:r>
            <w:r w:rsidR="0004266D" w:rsidRPr="00337F18">
              <w:rPr>
                <w:rFonts w:cstheme="minorHAnsi"/>
              </w:rPr>
              <w:t>%</w:t>
            </w:r>
          </w:p>
        </w:tc>
        <w:tc>
          <w:tcPr>
            <w:tcW w:w="1080" w:type="dxa"/>
          </w:tcPr>
          <w:p w14:paraId="720478A7" w14:textId="788C1744" w:rsidR="0004266D" w:rsidRPr="0004266D" w:rsidRDefault="0004266D" w:rsidP="0004266D">
            <w:pPr>
              <w:pStyle w:val="NoSpacing"/>
              <w:jc w:val="right"/>
              <w:rPr>
                <w:rFonts w:cstheme="minorHAnsi"/>
              </w:rPr>
            </w:pPr>
            <w:r w:rsidRPr="0004266D">
              <w:rPr>
                <w:rFonts w:cstheme="minorHAnsi"/>
                <w:color w:val="000000" w:themeColor="text1"/>
              </w:rPr>
              <w:t>-</w:t>
            </w:r>
            <w:r w:rsidR="00E477C3">
              <w:rPr>
                <w:rFonts w:cstheme="minorHAnsi"/>
                <w:color w:val="000000" w:themeColor="text1"/>
              </w:rPr>
              <w:t>5.7</w:t>
            </w:r>
            <w:r w:rsidRPr="0004266D">
              <w:rPr>
                <w:rFonts w:cstheme="minorHAnsi"/>
                <w:color w:val="000000" w:themeColor="text1"/>
              </w:rPr>
              <w:t>%</w:t>
            </w:r>
          </w:p>
        </w:tc>
        <w:tc>
          <w:tcPr>
            <w:tcW w:w="990" w:type="dxa"/>
          </w:tcPr>
          <w:p w14:paraId="30958CBD" w14:textId="79D278CB" w:rsidR="0004266D" w:rsidRPr="00D96AEE" w:rsidRDefault="009D5574" w:rsidP="0004266D">
            <w:pPr>
              <w:pStyle w:val="NoSpacing"/>
              <w:jc w:val="right"/>
              <w:rPr>
                <w:rFonts w:cstheme="minorHAnsi"/>
              </w:rPr>
            </w:pPr>
            <w:r w:rsidRPr="00D96AEE">
              <w:rPr>
                <w:rFonts w:cstheme="minorHAnsi"/>
                <w:color w:val="000000" w:themeColor="text1"/>
              </w:rPr>
              <w:t>+</w:t>
            </w:r>
            <w:r w:rsidR="00ED0859">
              <w:rPr>
                <w:rFonts w:cstheme="minorHAnsi"/>
                <w:color w:val="000000" w:themeColor="text1"/>
              </w:rPr>
              <w:t>1.8</w:t>
            </w:r>
            <w:r w:rsidR="0004266D" w:rsidRPr="00D96AEE">
              <w:rPr>
                <w:rFonts w:cstheme="minorHAnsi"/>
                <w:color w:val="000000" w:themeColor="text1"/>
              </w:rPr>
              <w:t>%</w:t>
            </w:r>
          </w:p>
        </w:tc>
      </w:tr>
      <w:tr w:rsidR="0004266D" w:rsidRPr="00B25DFD" w14:paraId="2B6B448E" w14:textId="7445020D" w:rsidTr="00D97BC7">
        <w:trPr>
          <w:cnfStyle w:val="000000100000" w:firstRow="0" w:lastRow="0" w:firstColumn="0" w:lastColumn="0" w:oddVBand="0" w:evenVBand="0" w:oddHBand="1" w:evenHBand="0" w:firstRowFirstColumn="0" w:firstRowLastColumn="0" w:lastRowFirstColumn="0" w:lastRowLastColumn="0"/>
          <w:trHeight w:val="20"/>
        </w:trPr>
        <w:tc>
          <w:tcPr>
            <w:tcW w:w="2821" w:type="dxa"/>
            <w:vAlign w:val="center"/>
            <w:hideMark/>
          </w:tcPr>
          <w:p w14:paraId="7C14C062" w14:textId="0BCE1D26" w:rsidR="0004266D" w:rsidRPr="006A7A6E" w:rsidRDefault="0004266D" w:rsidP="0004266D">
            <w:pPr>
              <w:rPr>
                <w:rFonts w:cstheme="minorHAnsi"/>
              </w:rPr>
            </w:pPr>
            <w:r>
              <w:rPr>
                <w:rFonts w:cstheme="minorHAnsi"/>
              </w:rPr>
              <w:t xml:space="preserve">Specialty </w:t>
            </w:r>
            <w:r w:rsidRPr="006A7A6E">
              <w:rPr>
                <w:rFonts w:cstheme="minorHAnsi"/>
              </w:rPr>
              <w:t>mushrooms</w:t>
            </w:r>
          </w:p>
        </w:tc>
        <w:tc>
          <w:tcPr>
            <w:tcW w:w="1025" w:type="dxa"/>
            <w:hideMark/>
          </w:tcPr>
          <w:p w14:paraId="43257BA5" w14:textId="528CBB2A" w:rsidR="0004266D" w:rsidRPr="002F23A1" w:rsidRDefault="0004266D" w:rsidP="0004266D">
            <w:pPr>
              <w:pStyle w:val="NoSpacing"/>
              <w:jc w:val="right"/>
              <w:rPr>
                <w:rFonts w:cstheme="minorHAnsi"/>
              </w:rPr>
            </w:pPr>
            <w:r w:rsidRPr="002F23A1">
              <w:rPr>
                <w:rFonts w:cstheme="minorHAnsi"/>
                <w:color w:val="000000" w:themeColor="text1"/>
              </w:rPr>
              <w:t>$</w:t>
            </w:r>
            <w:r w:rsidR="00E477C3">
              <w:rPr>
                <w:rFonts w:cstheme="minorHAnsi"/>
                <w:color w:val="000000" w:themeColor="text1"/>
              </w:rPr>
              <w:t>6.1</w:t>
            </w:r>
            <w:r w:rsidRPr="002F23A1">
              <w:rPr>
                <w:rFonts w:cstheme="minorHAnsi"/>
                <w:color w:val="000000" w:themeColor="text1"/>
              </w:rPr>
              <w:t>M</w:t>
            </w:r>
          </w:p>
        </w:tc>
        <w:tc>
          <w:tcPr>
            <w:tcW w:w="882" w:type="dxa"/>
          </w:tcPr>
          <w:p w14:paraId="7EC04D31" w14:textId="7BF8A5E4" w:rsidR="0004266D" w:rsidRPr="00337F18" w:rsidRDefault="00E477C3" w:rsidP="00337F18">
            <w:pPr>
              <w:pStyle w:val="NoSpacing"/>
              <w:jc w:val="right"/>
              <w:rPr>
                <w:rFonts w:cstheme="minorHAnsi"/>
              </w:rPr>
            </w:pPr>
            <w:r>
              <w:rPr>
                <w:rFonts w:cstheme="minorHAnsi"/>
              </w:rPr>
              <w:t>6.3</w:t>
            </w:r>
            <w:r w:rsidR="0004266D" w:rsidRPr="00337F18">
              <w:rPr>
                <w:rFonts w:cstheme="minorHAnsi"/>
              </w:rPr>
              <w:t>%</w:t>
            </w:r>
          </w:p>
        </w:tc>
        <w:tc>
          <w:tcPr>
            <w:tcW w:w="1011" w:type="dxa"/>
            <w:hideMark/>
          </w:tcPr>
          <w:p w14:paraId="10052F27" w14:textId="43F8D434" w:rsidR="0004266D" w:rsidRPr="0004266D" w:rsidRDefault="00E477C3" w:rsidP="0004266D">
            <w:pPr>
              <w:pStyle w:val="NoSpacing"/>
              <w:jc w:val="right"/>
              <w:rPr>
                <w:rFonts w:cstheme="minorHAnsi"/>
              </w:rPr>
            </w:pPr>
            <w:r>
              <w:rPr>
                <w:rFonts w:cstheme="minorHAnsi"/>
                <w:color w:val="000000" w:themeColor="text1"/>
              </w:rPr>
              <w:t>-3.4</w:t>
            </w:r>
            <w:r w:rsidR="0004266D" w:rsidRPr="0004266D">
              <w:rPr>
                <w:rFonts w:cstheme="minorHAnsi"/>
                <w:color w:val="000000" w:themeColor="text1"/>
              </w:rPr>
              <w:t>%</w:t>
            </w:r>
          </w:p>
        </w:tc>
        <w:tc>
          <w:tcPr>
            <w:tcW w:w="989" w:type="dxa"/>
            <w:tcBorders>
              <w:right w:val="single" w:sz="4" w:space="0" w:color="ED7D31"/>
            </w:tcBorders>
            <w:hideMark/>
          </w:tcPr>
          <w:p w14:paraId="31EEA636" w14:textId="59E6E704" w:rsidR="0004266D" w:rsidRPr="0004266D" w:rsidRDefault="009D5574" w:rsidP="0004266D">
            <w:pPr>
              <w:pStyle w:val="NoSpacing"/>
              <w:jc w:val="right"/>
              <w:rPr>
                <w:rFonts w:cstheme="minorHAnsi"/>
              </w:rPr>
            </w:pPr>
            <w:r>
              <w:rPr>
                <w:rFonts w:cstheme="minorHAnsi"/>
                <w:color w:val="000000" w:themeColor="text1"/>
              </w:rPr>
              <w:t>+</w:t>
            </w:r>
            <w:r w:rsidR="00E477C3">
              <w:rPr>
                <w:rFonts w:cstheme="minorHAnsi"/>
                <w:color w:val="000000" w:themeColor="text1"/>
              </w:rPr>
              <w:t>6.0</w:t>
            </w:r>
            <w:r w:rsidR="0004266D" w:rsidRPr="0004266D">
              <w:rPr>
                <w:rFonts w:cstheme="minorHAnsi"/>
                <w:color w:val="000000" w:themeColor="text1"/>
              </w:rPr>
              <w:t>%</w:t>
            </w:r>
          </w:p>
        </w:tc>
        <w:tc>
          <w:tcPr>
            <w:tcW w:w="927" w:type="dxa"/>
            <w:tcBorders>
              <w:left w:val="single" w:sz="4" w:space="0" w:color="ED7D31"/>
            </w:tcBorders>
          </w:tcPr>
          <w:p w14:paraId="166CB34C" w14:textId="5483AF47" w:rsidR="0004266D" w:rsidRPr="0004266D" w:rsidRDefault="00E477C3" w:rsidP="0004266D">
            <w:pPr>
              <w:pStyle w:val="NoSpacing"/>
              <w:jc w:val="right"/>
              <w:rPr>
                <w:rFonts w:cstheme="minorHAnsi"/>
              </w:rPr>
            </w:pPr>
            <w:r>
              <w:rPr>
                <w:rFonts w:cstheme="minorHAnsi"/>
                <w:color w:val="000000" w:themeColor="text1"/>
              </w:rPr>
              <w:t>0.4</w:t>
            </w:r>
            <w:r w:rsidR="0004266D" w:rsidRPr="0004266D">
              <w:rPr>
                <w:rFonts w:cstheme="minorHAnsi"/>
                <w:color w:val="000000" w:themeColor="text1"/>
              </w:rPr>
              <w:t>M</w:t>
            </w:r>
          </w:p>
        </w:tc>
        <w:tc>
          <w:tcPr>
            <w:tcW w:w="890" w:type="dxa"/>
          </w:tcPr>
          <w:p w14:paraId="417DE33D" w14:textId="0CA262A1" w:rsidR="0004266D" w:rsidRPr="00337F18" w:rsidRDefault="00E477C3" w:rsidP="00337F18">
            <w:pPr>
              <w:pStyle w:val="NoSpacing"/>
              <w:jc w:val="right"/>
              <w:rPr>
                <w:rFonts w:cstheme="minorHAnsi"/>
              </w:rPr>
            </w:pPr>
            <w:r>
              <w:rPr>
                <w:rFonts w:cstheme="minorHAnsi"/>
              </w:rPr>
              <w:t>2.1</w:t>
            </w:r>
            <w:r w:rsidR="00337F18" w:rsidRPr="00337F18">
              <w:rPr>
                <w:rFonts w:cstheme="minorHAnsi"/>
              </w:rPr>
              <w:t>%</w:t>
            </w:r>
          </w:p>
        </w:tc>
        <w:tc>
          <w:tcPr>
            <w:tcW w:w="1080" w:type="dxa"/>
          </w:tcPr>
          <w:p w14:paraId="632726C6" w14:textId="14C10FDD" w:rsidR="0004266D" w:rsidRPr="0004266D" w:rsidRDefault="00E477C3" w:rsidP="0004266D">
            <w:pPr>
              <w:pStyle w:val="NoSpacing"/>
              <w:jc w:val="right"/>
              <w:rPr>
                <w:rFonts w:cstheme="minorHAnsi"/>
              </w:rPr>
            </w:pPr>
            <w:r>
              <w:rPr>
                <w:rFonts w:cstheme="minorHAnsi"/>
                <w:color w:val="000000" w:themeColor="text1"/>
              </w:rPr>
              <w:t>-5.1</w:t>
            </w:r>
            <w:r w:rsidR="0004266D" w:rsidRPr="0004266D">
              <w:rPr>
                <w:rFonts w:cstheme="minorHAnsi"/>
                <w:color w:val="000000" w:themeColor="text1"/>
              </w:rPr>
              <w:t>%</w:t>
            </w:r>
          </w:p>
        </w:tc>
        <w:tc>
          <w:tcPr>
            <w:tcW w:w="990" w:type="dxa"/>
          </w:tcPr>
          <w:p w14:paraId="700774A9" w14:textId="2A17589A" w:rsidR="0004266D" w:rsidRPr="0004266D" w:rsidRDefault="00445779" w:rsidP="0004266D">
            <w:pPr>
              <w:pStyle w:val="NoSpacing"/>
              <w:jc w:val="right"/>
              <w:rPr>
                <w:rFonts w:cstheme="minorHAnsi"/>
              </w:rPr>
            </w:pPr>
            <w:r>
              <w:rPr>
                <w:rFonts w:cstheme="minorHAnsi"/>
                <w:color w:val="000000" w:themeColor="text1"/>
              </w:rPr>
              <w:t>-</w:t>
            </w:r>
            <w:r w:rsidR="00ED0859">
              <w:rPr>
                <w:rFonts w:cstheme="minorHAnsi"/>
                <w:color w:val="000000" w:themeColor="text1"/>
              </w:rPr>
              <w:t>8.6</w:t>
            </w:r>
            <w:r w:rsidR="0004266D" w:rsidRPr="0004266D">
              <w:rPr>
                <w:rFonts w:cstheme="minorHAnsi"/>
                <w:color w:val="000000" w:themeColor="text1"/>
              </w:rPr>
              <w:t>%</w:t>
            </w:r>
          </w:p>
        </w:tc>
      </w:tr>
    </w:tbl>
    <w:bookmarkEnd w:id="0"/>
    <w:p w14:paraId="45617577" w14:textId="7B7A9B3A" w:rsidR="00555250" w:rsidRPr="00555250" w:rsidRDefault="00555250" w:rsidP="00782D09">
      <w:pPr>
        <w:pStyle w:val="NoSpacing"/>
        <w:spacing w:before="120"/>
        <w:rPr>
          <w:color w:val="7F7F7F" w:themeColor="text1" w:themeTint="80"/>
          <w:sz w:val="16"/>
          <w:szCs w:val="16"/>
        </w:rPr>
      </w:pPr>
      <w:r w:rsidRPr="00555250">
        <w:rPr>
          <w:color w:val="7F7F7F" w:themeColor="text1" w:themeTint="80"/>
          <w:sz w:val="16"/>
          <w:szCs w:val="16"/>
        </w:rPr>
        <w:t xml:space="preserve">Source: IRI, Integrated Fresh, MULO, </w:t>
      </w:r>
      <w:r w:rsidR="007D30DA">
        <w:rPr>
          <w:color w:val="7F7F7F" w:themeColor="text1" w:themeTint="80"/>
          <w:sz w:val="16"/>
          <w:szCs w:val="16"/>
        </w:rPr>
        <w:t>4</w:t>
      </w:r>
      <w:r w:rsidRPr="00555250">
        <w:rPr>
          <w:color w:val="7F7F7F" w:themeColor="text1" w:themeTint="80"/>
          <w:sz w:val="16"/>
          <w:szCs w:val="16"/>
        </w:rPr>
        <w:t xml:space="preserve"> weeks ending </w:t>
      </w:r>
      <w:r w:rsidR="00221F2D">
        <w:rPr>
          <w:color w:val="7F7F7F" w:themeColor="text1" w:themeTint="80"/>
          <w:sz w:val="16"/>
          <w:szCs w:val="16"/>
        </w:rPr>
        <w:t>2/26/2023</w:t>
      </w:r>
    </w:p>
    <w:p w14:paraId="0804BC52" w14:textId="568E8254" w:rsidR="0092088E" w:rsidRDefault="0092088E" w:rsidP="00472B02">
      <w:pPr>
        <w:pStyle w:val="NoSpacing"/>
      </w:pPr>
    </w:p>
    <w:p w14:paraId="59E70896" w14:textId="52CB107E" w:rsidR="004C2808" w:rsidRPr="004462C1" w:rsidRDefault="004C2808" w:rsidP="004462C1">
      <w:pPr>
        <w:pStyle w:val="Heading2"/>
        <w:rPr>
          <w:b/>
          <w:bCs/>
          <w:color w:val="ED7D31" w:themeColor="accent2"/>
        </w:rPr>
      </w:pPr>
      <w:r w:rsidRPr="004462C1">
        <w:rPr>
          <w:b/>
          <w:bCs/>
          <w:color w:val="ED7D31" w:themeColor="accent2"/>
        </w:rPr>
        <w:t>Additional observations:</w:t>
      </w:r>
    </w:p>
    <w:p w14:paraId="22421914" w14:textId="79EEAA2E" w:rsidR="00C9550B" w:rsidRDefault="00C9550B" w:rsidP="00174F0E">
      <w:pPr>
        <w:pStyle w:val="NoSpacing"/>
        <w:numPr>
          <w:ilvl w:val="0"/>
          <w:numId w:val="2"/>
        </w:numPr>
      </w:pPr>
      <w:r w:rsidRPr="00C9550B">
        <w:rPr>
          <w:u w:val="single"/>
        </w:rPr>
        <w:t>Package size</w:t>
      </w:r>
      <w:r w:rsidRPr="003045B7">
        <w:t>:</w:t>
      </w:r>
      <w:r>
        <w:t xml:space="preserve"> Eight-ounce packages are, by far, the biggest seller and </w:t>
      </w:r>
      <w:r w:rsidR="00030ABF">
        <w:t>is outperforming 16 ounces in growth</w:t>
      </w:r>
      <w:r>
        <w:t>.</w:t>
      </w:r>
    </w:p>
    <w:p w14:paraId="0C66834A" w14:textId="4433DC36" w:rsidR="00EB30C7" w:rsidRDefault="004462C1" w:rsidP="00174F0E">
      <w:pPr>
        <w:pStyle w:val="NoSpacing"/>
        <w:numPr>
          <w:ilvl w:val="0"/>
          <w:numId w:val="2"/>
        </w:numPr>
      </w:pPr>
      <w:r w:rsidRPr="00C9550B">
        <w:rPr>
          <w:u w:val="single"/>
        </w:rPr>
        <w:t>Organic vs</w:t>
      </w:r>
      <w:r w:rsidR="005B6968" w:rsidRPr="00C9550B">
        <w:rPr>
          <w:u w:val="single"/>
        </w:rPr>
        <w:t>.</w:t>
      </w:r>
      <w:r w:rsidRPr="00C9550B">
        <w:rPr>
          <w:u w:val="single"/>
        </w:rPr>
        <w:t xml:space="preserve"> conventional</w:t>
      </w:r>
      <w:r w:rsidRPr="004462C1">
        <w:t>:</w:t>
      </w:r>
      <w:r>
        <w:t xml:space="preserve"> Organic </w:t>
      </w:r>
      <w:r w:rsidR="005B6968">
        <w:t xml:space="preserve">mushrooms </w:t>
      </w:r>
      <w:r>
        <w:t xml:space="preserve">made up </w:t>
      </w:r>
      <w:r w:rsidR="008F5801">
        <w:t>10.4</w:t>
      </w:r>
      <w:r>
        <w:t xml:space="preserve">% of </w:t>
      </w:r>
      <w:r w:rsidR="00BE7EF2">
        <w:t xml:space="preserve">pounds </w:t>
      </w:r>
      <w:r w:rsidR="00C9550B">
        <w:t>but far outperformed conventional mushrooms in performance</w:t>
      </w:r>
      <w:r w:rsidR="005B6968">
        <w:t xml:space="preserve"> in dollars, units and volume. </w:t>
      </w:r>
    </w:p>
    <w:p w14:paraId="3D702F4A" w14:textId="061D3E11" w:rsidR="003045B7" w:rsidRDefault="004462C1" w:rsidP="00C81CBF">
      <w:pPr>
        <w:pStyle w:val="NoSpacing"/>
        <w:numPr>
          <w:ilvl w:val="0"/>
          <w:numId w:val="2"/>
        </w:numPr>
      </w:pPr>
      <w:r w:rsidRPr="00EB30C7">
        <w:rPr>
          <w:u w:val="single"/>
        </w:rPr>
        <w:t>Cut/prepared versus whole mushrooms</w:t>
      </w:r>
      <w:r>
        <w:t xml:space="preserve">: </w:t>
      </w:r>
      <w:r w:rsidR="0090410F">
        <w:t>Cut</w:t>
      </w:r>
      <w:r w:rsidR="00BE7EF2">
        <w:t xml:space="preserve"> or </w:t>
      </w:r>
      <w:r w:rsidR="00BE7EF2" w:rsidRPr="00314DA1">
        <w:t xml:space="preserve">prepared mushrooms made up </w:t>
      </w:r>
      <w:r w:rsidR="00314DA1" w:rsidRPr="00314DA1">
        <w:t>47.5</w:t>
      </w:r>
      <w:r w:rsidR="0090410F" w:rsidRPr="00314DA1">
        <w:t xml:space="preserve">% of </w:t>
      </w:r>
      <w:r w:rsidR="00C9550B" w:rsidRPr="00314DA1">
        <w:t xml:space="preserve">pound </w:t>
      </w:r>
      <w:r w:rsidR="0090410F" w:rsidRPr="00314DA1">
        <w:t xml:space="preserve">sales in </w:t>
      </w:r>
      <w:r w:rsidR="00BF5D9C" w:rsidRPr="00314DA1">
        <w:t>the four</w:t>
      </w:r>
      <w:r w:rsidR="00461D8C" w:rsidRPr="00314DA1">
        <w:t>-week period</w:t>
      </w:r>
      <w:r w:rsidR="00A51F5B" w:rsidRPr="00314DA1">
        <w:t>. Mushrooms without preparation had the better performance</w:t>
      </w:r>
      <w:r w:rsidR="00314DA1">
        <w:t xml:space="preserve"> — perhaps a cost-saving measure on behalf of consumers</w:t>
      </w:r>
      <w:r w:rsidR="00347E3A" w:rsidRPr="00314DA1">
        <w:t>.</w:t>
      </w:r>
    </w:p>
    <w:p w14:paraId="5DBFDF80" w14:textId="48589EF0" w:rsidR="00B34EF7" w:rsidRPr="00B34EF7" w:rsidRDefault="00782D09" w:rsidP="00C9550B">
      <w:pPr>
        <w:pStyle w:val="NoSpacing"/>
      </w:pPr>
      <w:r w:rsidRPr="00EB30C7">
        <w:rPr>
          <w:color w:val="7F7F7F" w:themeColor="text1" w:themeTint="80"/>
          <w:sz w:val="16"/>
          <w:szCs w:val="16"/>
        </w:rPr>
        <w:t xml:space="preserve">Source: IRI, Integrated Fresh, MULO, </w:t>
      </w:r>
      <w:r w:rsidR="004B7951" w:rsidRPr="00EB30C7">
        <w:rPr>
          <w:color w:val="7F7F7F" w:themeColor="text1" w:themeTint="80"/>
          <w:sz w:val="16"/>
          <w:szCs w:val="16"/>
        </w:rPr>
        <w:t>4</w:t>
      </w:r>
      <w:r w:rsidRPr="00EB30C7">
        <w:rPr>
          <w:color w:val="7F7F7F" w:themeColor="text1" w:themeTint="80"/>
          <w:sz w:val="16"/>
          <w:szCs w:val="16"/>
        </w:rPr>
        <w:t xml:space="preserve"> weeks ending </w:t>
      </w:r>
      <w:r w:rsidR="00221F2D">
        <w:rPr>
          <w:color w:val="7F7F7F" w:themeColor="text1" w:themeTint="80"/>
          <w:sz w:val="16"/>
          <w:szCs w:val="16"/>
        </w:rPr>
        <w:t>2/26/2023</w:t>
      </w:r>
      <w:r w:rsidR="00B34EF7">
        <w:t xml:space="preserve"> </w:t>
      </w:r>
    </w:p>
    <w:sectPr w:rsidR="00B34EF7" w:rsidRPr="00B34EF7" w:rsidSect="005049A9">
      <w:pgSz w:w="12240" w:h="15840"/>
      <w:pgMar w:top="720" w:right="1080"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0675357">
    <w:abstractNumId w:val="4"/>
  </w:num>
  <w:num w:numId="2" w16cid:durableId="1914974503">
    <w:abstractNumId w:val="5"/>
  </w:num>
  <w:num w:numId="3" w16cid:durableId="160505300">
    <w:abstractNumId w:val="7"/>
  </w:num>
  <w:num w:numId="4" w16cid:durableId="1817646534">
    <w:abstractNumId w:val="2"/>
  </w:num>
  <w:num w:numId="5" w16cid:durableId="592007763">
    <w:abstractNumId w:val="9"/>
  </w:num>
  <w:num w:numId="6" w16cid:durableId="2114131603">
    <w:abstractNumId w:val="6"/>
  </w:num>
  <w:num w:numId="7" w16cid:durableId="2067292841">
    <w:abstractNumId w:val="3"/>
  </w:num>
  <w:num w:numId="8" w16cid:durableId="1943490368">
    <w:abstractNumId w:val="1"/>
  </w:num>
  <w:num w:numId="9" w16cid:durableId="566644500">
    <w:abstractNumId w:val="0"/>
  </w:num>
  <w:num w:numId="10" w16cid:durableId="8482554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30ABF"/>
    <w:rsid w:val="00035D16"/>
    <w:rsid w:val="0004266D"/>
    <w:rsid w:val="0005390A"/>
    <w:rsid w:val="0007328F"/>
    <w:rsid w:val="000809C3"/>
    <w:rsid w:val="00085508"/>
    <w:rsid w:val="00085F10"/>
    <w:rsid w:val="000A4146"/>
    <w:rsid w:val="000C1DF9"/>
    <w:rsid w:val="000C29FA"/>
    <w:rsid w:val="000C3CC4"/>
    <w:rsid w:val="000D7A79"/>
    <w:rsid w:val="000E2A1D"/>
    <w:rsid w:val="000E61FF"/>
    <w:rsid w:val="001119BD"/>
    <w:rsid w:val="00113A33"/>
    <w:rsid w:val="00124C8B"/>
    <w:rsid w:val="00124CB7"/>
    <w:rsid w:val="00133971"/>
    <w:rsid w:val="00145E27"/>
    <w:rsid w:val="00164656"/>
    <w:rsid w:val="00170260"/>
    <w:rsid w:val="001A4D44"/>
    <w:rsid w:val="001A601E"/>
    <w:rsid w:val="001B762B"/>
    <w:rsid w:val="001D16CA"/>
    <w:rsid w:val="001D2675"/>
    <w:rsid w:val="00221F2D"/>
    <w:rsid w:val="002225C6"/>
    <w:rsid w:val="00224A21"/>
    <w:rsid w:val="00240137"/>
    <w:rsid w:val="002437CE"/>
    <w:rsid w:val="00251BBC"/>
    <w:rsid w:val="00264EDA"/>
    <w:rsid w:val="00276C09"/>
    <w:rsid w:val="00281498"/>
    <w:rsid w:val="00283DB2"/>
    <w:rsid w:val="00291F75"/>
    <w:rsid w:val="002B7E48"/>
    <w:rsid w:val="002F23A1"/>
    <w:rsid w:val="003045B7"/>
    <w:rsid w:val="00312734"/>
    <w:rsid w:val="00314DA1"/>
    <w:rsid w:val="00322039"/>
    <w:rsid w:val="00337F18"/>
    <w:rsid w:val="00347E3A"/>
    <w:rsid w:val="00362BB1"/>
    <w:rsid w:val="00396448"/>
    <w:rsid w:val="003A3323"/>
    <w:rsid w:val="003C1DD2"/>
    <w:rsid w:val="003C72DD"/>
    <w:rsid w:val="003D3BDA"/>
    <w:rsid w:val="003D6A0F"/>
    <w:rsid w:val="003E61D0"/>
    <w:rsid w:val="003F77CF"/>
    <w:rsid w:val="00403666"/>
    <w:rsid w:val="00417945"/>
    <w:rsid w:val="00421D7D"/>
    <w:rsid w:val="00445779"/>
    <w:rsid w:val="004462C1"/>
    <w:rsid w:val="00451263"/>
    <w:rsid w:val="00455F77"/>
    <w:rsid w:val="0045625B"/>
    <w:rsid w:val="00461D8C"/>
    <w:rsid w:val="00467FB5"/>
    <w:rsid w:val="00472B02"/>
    <w:rsid w:val="0047570E"/>
    <w:rsid w:val="00476C12"/>
    <w:rsid w:val="00483711"/>
    <w:rsid w:val="00485429"/>
    <w:rsid w:val="004A3A95"/>
    <w:rsid w:val="004A50D2"/>
    <w:rsid w:val="004B6371"/>
    <w:rsid w:val="004B7951"/>
    <w:rsid w:val="004C2808"/>
    <w:rsid w:val="004E4F69"/>
    <w:rsid w:val="004E6889"/>
    <w:rsid w:val="00504377"/>
    <w:rsid w:val="005049A9"/>
    <w:rsid w:val="00525F06"/>
    <w:rsid w:val="00527BE9"/>
    <w:rsid w:val="0054182D"/>
    <w:rsid w:val="00541AFF"/>
    <w:rsid w:val="00543607"/>
    <w:rsid w:val="00552C5D"/>
    <w:rsid w:val="005547EE"/>
    <w:rsid w:val="00555250"/>
    <w:rsid w:val="005571F3"/>
    <w:rsid w:val="005A3316"/>
    <w:rsid w:val="005A54F2"/>
    <w:rsid w:val="005B6968"/>
    <w:rsid w:val="005C6AEE"/>
    <w:rsid w:val="005E1A66"/>
    <w:rsid w:val="005E5127"/>
    <w:rsid w:val="005F1173"/>
    <w:rsid w:val="006035CB"/>
    <w:rsid w:val="00615709"/>
    <w:rsid w:val="00621E2A"/>
    <w:rsid w:val="00632993"/>
    <w:rsid w:val="00645A58"/>
    <w:rsid w:val="006617FB"/>
    <w:rsid w:val="006636C7"/>
    <w:rsid w:val="00666D40"/>
    <w:rsid w:val="00677889"/>
    <w:rsid w:val="00694050"/>
    <w:rsid w:val="006A7A6E"/>
    <w:rsid w:val="006C6780"/>
    <w:rsid w:val="006F1F55"/>
    <w:rsid w:val="00706FA9"/>
    <w:rsid w:val="0071051A"/>
    <w:rsid w:val="00730897"/>
    <w:rsid w:val="00731BCD"/>
    <w:rsid w:val="00734289"/>
    <w:rsid w:val="00782D09"/>
    <w:rsid w:val="007A0B40"/>
    <w:rsid w:val="007D30DA"/>
    <w:rsid w:val="007D33D8"/>
    <w:rsid w:val="007D3D1C"/>
    <w:rsid w:val="007F098A"/>
    <w:rsid w:val="007F1F55"/>
    <w:rsid w:val="007F35D3"/>
    <w:rsid w:val="00826014"/>
    <w:rsid w:val="00832F0A"/>
    <w:rsid w:val="00837283"/>
    <w:rsid w:val="00851AC9"/>
    <w:rsid w:val="0086198D"/>
    <w:rsid w:val="0086536E"/>
    <w:rsid w:val="00873884"/>
    <w:rsid w:val="008A084A"/>
    <w:rsid w:val="008A1DBB"/>
    <w:rsid w:val="008A56E2"/>
    <w:rsid w:val="008B128D"/>
    <w:rsid w:val="008B633D"/>
    <w:rsid w:val="008B7FFD"/>
    <w:rsid w:val="008D2A88"/>
    <w:rsid w:val="008F5801"/>
    <w:rsid w:val="009040DB"/>
    <w:rsid w:val="0090410F"/>
    <w:rsid w:val="00910CD7"/>
    <w:rsid w:val="0092088E"/>
    <w:rsid w:val="00927EAC"/>
    <w:rsid w:val="0094219B"/>
    <w:rsid w:val="00957F25"/>
    <w:rsid w:val="00972570"/>
    <w:rsid w:val="00977F7F"/>
    <w:rsid w:val="009B0330"/>
    <w:rsid w:val="009B7AC3"/>
    <w:rsid w:val="009D5574"/>
    <w:rsid w:val="00A00697"/>
    <w:rsid w:val="00A13601"/>
    <w:rsid w:val="00A14586"/>
    <w:rsid w:val="00A5084B"/>
    <w:rsid w:val="00A51F5B"/>
    <w:rsid w:val="00A52EB4"/>
    <w:rsid w:val="00A53BAA"/>
    <w:rsid w:val="00A657C4"/>
    <w:rsid w:val="00A668C3"/>
    <w:rsid w:val="00A72B72"/>
    <w:rsid w:val="00A94A88"/>
    <w:rsid w:val="00A96E20"/>
    <w:rsid w:val="00AA721E"/>
    <w:rsid w:val="00AC2C09"/>
    <w:rsid w:val="00AD30B8"/>
    <w:rsid w:val="00AD7044"/>
    <w:rsid w:val="00AE0F54"/>
    <w:rsid w:val="00AF14BD"/>
    <w:rsid w:val="00AF55E3"/>
    <w:rsid w:val="00B03343"/>
    <w:rsid w:val="00B13706"/>
    <w:rsid w:val="00B25DFD"/>
    <w:rsid w:val="00B34EF7"/>
    <w:rsid w:val="00B40C43"/>
    <w:rsid w:val="00B562D5"/>
    <w:rsid w:val="00B8232B"/>
    <w:rsid w:val="00B979CF"/>
    <w:rsid w:val="00BB197D"/>
    <w:rsid w:val="00BC34B2"/>
    <w:rsid w:val="00BE7EF2"/>
    <w:rsid w:val="00BF5D9C"/>
    <w:rsid w:val="00BF713B"/>
    <w:rsid w:val="00C329D7"/>
    <w:rsid w:val="00C71FDD"/>
    <w:rsid w:val="00C81CBF"/>
    <w:rsid w:val="00C8545B"/>
    <w:rsid w:val="00C92074"/>
    <w:rsid w:val="00C9550B"/>
    <w:rsid w:val="00CB0BBD"/>
    <w:rsid w:val="00CB4067"/>
    <w:rsid w:val="00CB6109"/>
    <w:rsid w:val="00CE27CF"/>
    <w:rsid w:val="00D03B05"/>
    <w:rsid w:val="00D1241B"/>
    <w:rsid w:val="00D22E21"/>
    <w:rsid w:val="00D26DE8"/>
    <w:rsid w:val="00D4752E"/>
    <w:rsid w:val="00D55AB1"/>
    <w:rsid w:val="00D66EF8"/>
    <w:rsid w:val="00D81FBA"/>
    <w:rsid w:val="00D8225F"/>
    <w:rsid w:val="00D9097A"/>
    <w:rsid w:val="00D96AEE"/>
    <w:rsid w:val="00D97BC7"/>
    <w:rsid w:val="00DB764D"/>
    <w:rsid w:val="00DD58ED"/>
    <w:rsid w:val="00DE4C4C"/>
    <w:rsid w:val="00E20285"/>
    <w:rsid w:val="00E20E22"/>
    <w:rsid w:val="00E34CF4"/>
    <w:rsid w:val="00E4438B"/>
    <w:rsid w:val="00E477C3"/>
    <w:rsid w:val="00E508BB"/>
    <w:rsid w:val="00E57C49"/>
    <w:rsid w:val="00E629E0"/>
    <w:rsid w:val="00E65269"/>
    <w:rsid w:val="00E65A4C"/>
    <w:rsid w:val="00E758A0"/>
    <w:rsid w:val="00EB30C7"/>
    <w:rsid w:val="00ED0859"/>
    <w:rsid w:val="00EF1E09"/>
    <w:rsid w:val="00EF25E4"/>
    <w:rsid w:val="00F02776"/>
    <w:rsid w:val="00F0742E"/>
    <w:rsid w:val="00F26DD2"/>
    <w:rsid w:val="00F4460A"/>
    <w:rsid w:val="00F47EA1"/>
    <w:rsid w:val="00F57DFC"/>
    <w:rsid w:val="00F86B08"/>
    <w:rsid w:val="00F96C98"/>
    <w:rsid w:val="00FA1CDF"/>
    <w:rsid w:val="00FB15C0"/>
    <w:rsid w:val="00FC53C7"/>
    <w:rsid w:val="00FF2D4A"/>
    <w:rsid w:val="00FF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2F549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2.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933</Words>
  <Characters>5323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8</cp:revision>
  <dcterms:created xsi:type="dcterms:W3CDTF">2023-03-09T15:13:00Z</dcterms:created>
  <dcterms:modified xsi:type="dcterms:W3CDTF">2023-03-11T21:46:00Z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