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23ABBC35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E453B9">
        <w:rPr>
          <w:sz w:val="44"/>
          <w:szCs w:val="44"/>
        </w:rPr>
        <w:t xml:space="preserve">L-52 </w:t>
      </w:r>
      <w:r w:rsidR="00D22E21">
        <w:rPr>
          <w:sz w:val="44"/>
          <w:szCs w:val="44"/>
        </w:rPr>
        <w:t xml:space="preserve">and </w:t>
      </w:r>
      <w:r w:rsidR="000C3CC4" w:rsidRPr="000C3CC4">
        <w:rPr>
          <w:sz w:val="44"/>
          <w:szCs w:val="44"/>
        </w:rPr>
        <w:t>4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421D7D">
        <w:rPr>
          <w:sz w:val="44"/>
          <w:szCs w:val="44"/>
        </w:rPr>
        <w:t>1.29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10395ECE" w14:textId="3F04E6F9" w:rsidR="00E453B9" w:rsidRPr="00E453B9" w:rsidRDefault="00E453B9" w:rsidP="00E453B9">
      <w:pPr>
        <w:pStyle w:val="NoSpacing"/>
      </w:pPr>
      <w:r w:rsidRPr="00E453B9">
        <w:t>January brought a host of New Year’s resolutions</w:t>
      </w:r>
      <w:r>
        <w:t xml:space="preserve">. According to </w:t>
      </w:r>
      <w:r w:rsidR="00890133">
        <w:t>IRI</w:t>
      </w:r>
      <w:r>
        <w:t xml:space="preserve">, </w:t>
      </w:r>
      <w:r w:rsidRPr="00E453B9">
        <w:t xml:space="preserve">40% </w:t>
      </w:r>
      <w:r w:rsidR="00890133">
        <w:t xml:space="preserve">of shoppers </w:t>
      </w:r>
      <w:r w:rsidRPr="00E453B9">
        <w:t>plan to eat healthier, 24% aim to get more sleep and 23% want to spend more time with friends</w:t>
      </w:r>
      <w:r w:rsidR="00890133">
        <w:t>/</w:t>
      </w:r>
      <w:r w:rsidRPr="00E453B9">
        <w:t>family. However, saving more money was the second</w:t>
      </w:r>
      <w:r w:rsidR="00890133">
        <w:t xml:space="preserve"> most common</w:t>
      </w:r>
      <w:r w:rsidRPr="00E453B9">
        <w:t xml:space="preserve"> resolution, at 35% — demonstrating that inflation continues to make its mark. </w:t>
      </w:r>
    </w:p>
    <w:p w14:paraId="55808A94" w14:textId="1B62A556" w:rsidR="00E453B9" w:rsidRDefault="00E453B9" w:rsidP="00E453B9">
      <w:pPr>
        <w:pStyle w:val="NoSpacing"/>
        <w:numPr>
          <w:ilvl w:val="0"/>
          <w:numId w:val="10"/>
        </w:numPr>
      </w:pPr>
      <w:r>
        <w:t>89% of</w:t>
      </w:r>
      <w:r w:rsidRPr="00E453B9">
        <w:t xml:space="preserve"> consumers perceive the cost of groceries to be </w:t>
      </w:r>
      <w:r>
        <w:t xml:space="preserve">higher, of whom 96% are concerned about it. </w:t>
      </w:r>
    </w:p>
    <w:p w14:paraId="4345266E" w14:textId="77777777" w:rsidR="0077745E" w:rsidRDefault="00E453B9" w:rsidP="00E453B9">
      <w:pPr>
        <w:pStyle w:val="NoSpacing"/>
        <w:numPr>
          <w:ilvl w:val="0"/>
          <w:numId w:val="10"/>
        </w:numPr>
      </w:pPr>
      <w:r>
        <w:t>The top five consumer examples of having higher prices are e</w:t>
      </w:r>
      <w:r w:rsidRPr="00E453B9">
        <w:t>ggs</w:t>
      </w:r>
      <w:r>
        <w:t xml:space="preserve">, </w:t>
      </w:r>
      <w:r w:rsidRPr="00E453B9">
        <w:t>milk, beef/pork, fresh produce, chicken/turkey and bread</w:t>
      </w:r>
      <w:r>
        <w:t xml:space="preserve"> — despite meat and produce having below-average inflation.</w:t>
      </w:r>
    </w:p>
    <w:p w14:paraId="1E871EDD" w14:textId="77777777" w:rsidR="0077745E" w:rsidRDefault="00E453B9" w:rsidP="00B509E7">
      <w:pPr>
        <w:pStyle w:val="NoSpacing"/>
        <w:numPr>
          <w:ilvl w:val="0"/>
          <w:numId w:val="10"/>
        </w:numPr>
      </w:pPr>
      <w:r w:rsidRPr="00E453B9">
        <w:t xml:space="preserve">This is prompting continued money-saving measures when buying groceries among 79% of Americans, such as buying what’s on sale (49%), cutting back on non-essentials (41%), looking for coupons (33%) and switching to store brand items (31%). </w:t>
      </w:r>
    </w:p>
    <w:p w14:paraId="4F62737E" w14:textId="77777777" w:rsidR="0077745E" w:rsidRDefault="00E453B9" w:rsidP="00683352">
      <w:pPr>
        <w:pStyle w:val="NoSpacing"/>
        <w:numPr>
          <w:ilvl w:val="0"/>
          <w:numId w:val="10"/>
        </w:numPr>
      </w:pPr>
      <w:r w:rsidRPr="00E453B9">
        <w:t>Special occasions remain a big opportunity for food retail in 2023</w:t>
      </w:r>
      <w:r w:rsidR="0077745E">
        <w:t>, with 50%</w:t>
      </w:r>
      <w:r w:rsidRPr="00E453B9">
        <w:t xml:space="preserve"> of Americans plan</w:t>
      </w:r>
      <w:r w:rsidR="0077745E">
        <w:t>ning</w:t>
      </w:r>
      <w:r w:rsidRPr="00E453B9">
        <w:t xml:space="preserve"> to celebrate Valentine’s Day, </w:t>
      </w:r>
      <w:r w:rsidR="0077745E">
        <w:t xml:space="preserve">of whom </w:t>
      </w:r>
      <w:r w:rsidRPr="00E453B9">
        <w:t>19% plan to cook a special meal at home and 15% planning to go out to a restaurant. Sixteen percent of consumers are staying home specifically to save money.</w:t>
      </w:r>
    </w:p>
    <w:p w14:paraId="0C003E90" w14:textId="77777777" w:rsidR="0077745E" w:rsidRDefault="00E453B9" w:rsidP="00E453B9">
      <w:pPr>
        <w:pStyle w:val="NoSpacing"/>
        <w:numPr>
          <w:ilvl w:val="0"/>
          <w:numId w:val="10"/>
        </w:numPr>
      </w:pPr>
      <w:r w:rsidRPr="00E453B9">
        <w:t xml:space="preserve">Thinking ahead to the April holidays of Easter or Passover, 28% plan to prepare a special meal for the household and 30% will host or attend a meal with extended family or friends. </w:t>
      </w:r>
    </w:p>
    <w:p w14:paraId="6AEB6A9B" w14:textId="7E3DB1C7" w:rsidR="00F86B08" w:rsidRDefault="00E453B9" w:rsidP="00300672">
      <w:pPr>
        <w:pStyle w:val="NoSpacing"/>
        <w:numPr>
          <w:ilvl w:val="0"/>
          <w:numId w:val="10"/>
        </w:numPr>
      </w:pPr>
      <w:r w:rsidRPr="00E453B9">
        <w:t xml:space="preserve">Following the typical December uptick in the estimated share of meals prepared at home (81.5%), January’s estimated share dropped slightly to 80.0% of meals. </w:t>
      </w:r>
    </w:p>
    <w:p w14:paraId="1FDA2C63" w14:textId="77777777" w:rsidR="0077745E" w:rsidRDefault="0077745E" w:rsidP="0077745E">
      <w:pPr>
        <w:pStyle w:val="NoSpacing"/>
        <w:ind w:left="360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3FEFC83B" w:rsidR="00826014" w:rsidRDefault="005A3316" w:rsidP="00472B02">
      <w:pPr>
        <w:pStyle w:val="NoSpacing"/>
      </w:pPr>
      <w:r>
        <w:t xml:space="preserve">The </w:t>
      </w:r>
      <w:r w:rsidR="00826014">
        <w:t xml:space="preserve">persistent </w:t>
      </w:r>
      <w:r>
        <w:t>high</w:t>
      </w:r>
      <w:r w:rsidR="00826014">
        <w:t xml:space="preserve"> level of</w:t>
      </w:r>
      <w:r>
        <w:t xml:space="preserve"> inflation is </w:t>
      </w:r>
      <w:r w:rsidR="00826014">
        <w:t xml:space="preserve">continuing the now familiar sales patterns for most departments around the store, including fresh produce: dollars up </w:t>
      </w:r>
      <w:r w:rsidR="00890133">
        <w:t>1.3</w:t>
      </w:r>
      <w:r w:rsidR="000C1DF9">
        <w:t xml:space="preserve">% </w:t>
      </w:r>
      <w:r w:rsidR="00826014">
        <w:t xml:space="preserve">year-on-year, but units </w:t>
      </w:r>
      <w:r w:rsidR="000C1DF9">
        <w:t xml:space="preserve">(-1.0%) </w:t>
      </w:r>
      <w:r w:rsidR="00826014">
        <w:t xml:space="preserve">and volume </w:t>
      </w:r>
      <w:r w:rsidR="000C1DF9">
        <w:t>(-</w:t>
      </w:r>
      <w:r w:rsidR="00890133">
        <w:t>4.3</w:t>
      </w:r>
      <w:r w:rsidR="000C1DF9">
        <w:t xml:space="preserve">%) </w:t>
      </w:r>
      <w:r w:rsidR="00826014">
        <w:t>down.</w:t>
      </w:r>
      <w:r w:rsidR="000C1DF9">
        <w:t xml:space="preserve"> T</w:t>
      </w:r>
      <w:r w:rsidR="00826014">
        <w:t>he dollar gains for fresh produce were below that of total food and beverages</w:t>
      </w:r>
      <w:r w:rsidR="00890133">
        <w:t>, fully related to differences in inflation that continues to be below average for produce</w:t>
      </w:r>
      <w:r w:rsidR="00826014">
        <w:t>. Additionally, fresh fruit and vegetables lost share to frozen and canned as consumers emphasized price and shelf-life</w:t>
      </w:r>
      <w:r w:rsidR="00030ABF">
        <w:t xml:space="preserve">. </w:t>
      </w:r>
    </w:p>
    <w:p w14:paraId="38CFFFCE" w14:textId="77777777" w:rsidR="00826014" w:rsidRDefault="00826014" w:rsidP="00472B02">
      <w:pPr>
        <w:pStyle w:val="NoSpacing"/>
      </w:pPr>
    </w:p>
    <w:p w14:paraId="47797D03" w14:textId="344F1586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421D7D">
        <w:t>January 29</w:t>
      </w:r>
      <w:r w:rsidR="001D16CA">
        <w:rPr>
          <w:vertAlign w:val="superscript"/>
        </w:rPr>
        <w:t>th</w:t>
      </w:r>
      <w:r w:rsidR="00445779">
        <w:t>, 2023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C4476C">
        <w:t>9.9</w:t>
      </w:r>
      <w:r w:rsidR="0092088E">
        <w:t>% year-over</w:t>
      </w:r>
      <w:r w:rsidR="00826014">
        <w:t>-</w:t>
      </w:r>
      <w:r w:rsidR="0092088E">
        <w:t>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C4476C">
        <w:t>14.2</w:t>
      </w:r>
      <w:r w:rsidR="0092088E">
        <w:t>%.</w:t>
      </w:r>
      <w:r w:rsidR="00890133">
        <w:t xml:space="preserve"> In the latest 52 weeks</w:t>
      </w:r>
      <w:r w:rsidR="00910CD7">
        <w:t xml:space="preserve">, dollars were down </w:t>
      </w:r>
      <w:r w:rsidR="00C4476C">
        <w:t>4.5</w:t>
      </w:r>
      <w:r w:rsidR="00910CD7">
        <w:t xml:space="preserve">% and pounds </w:t>
      </w:r>
      <w:r w:rsidR="00C4476C">
        <w:t>10.9</w:t>
      </w:r>
      <w:r w:rsidR="00EF1E09">
        <w:t xml:space="preserve">%. </w:t>
      </w:r>
      <w:r w:rsidR="00826014">
        <w:t xml:space="preserve">Dollars remained ahead of </w:t>
      </w:r>
      <w:r w:rsidR="005B6F4C">
        <w:t>2020</w:t>
      </w:r>
      <w:r w:rsidR="00B54448">
        <w:t xml:space="preserve"> in the longer-term view</w:t>
      </w:r>
      <w:r w:rsidR="00826014">
        <w:t>,</w:t>
      </w:r>
      <w:r w:rsidR="00910CD7">
        <w:t xml:space="preserve"> but </w:t>
      </w:r>
      <w:r w:rsidR="00B54448">
        <w:t>were down 0.5% in the short-term view. P</w:t>
      </w:r>
      <w:r w:rsidR="00910CD7">
        <w:t xml:space="preserve">ounds are now </w:t>
      </w:r>
      <w:r w:rsidR="00C4476C">
        <w:t>4.1</w:t>
      </w:r>
      <w:r w:rsidR="00826014">
        <w:t xml:space="preserve">% behind those of </w:t>
      </w:r>
      <w:r w:rsidR="005B6F4C">
        <w:t>2020</w:t>
      </w:r>
      <w:r w:rsidR="00826014">
        <w:t xml:space="preserve"> in </w:t>
      </w:r>
      <w:r w:rsidR="00890133">
        <w:t>the latest 52 weeks</w:t>
      </w:r>
      <w:r w:rsidR="003F77CF">
        <w:t xml:space="preserve"> and</w:t>
      </w:r>
      <w:r w:rsidR="00910CD7">
        <w:t xml:space="preserve"> </w:t>
      </w:r>
      <w:r w:rsidR="00C4476C">
        <w:t>12.1</w:t>
      </w:r>
      <w:r w:rsidR="00030ABF">
        <w:t>% in the quad-week view versus pre-pandemic</w:t>
      </w:r>
      <w:r w:rsidR="00826014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02"/>
        <w:gridCol w:w="1817"/>
        <w:gridCol w:w="135"/>
        <w:gridCol w:w="1098"/>
        <w:gridCol w:w="27"/>
        <w:gridCol w:w="1170"/>
      </w:tblGrid>
      <w:tr w:rsidR="00AD7044" w:rsidRPr="00124CB7" w14:paraId="5D073D77" w14:textId="77777777" w:rsidTr="00B0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77777777" w:rsidR="00AD7044" w:rsidRPr="00124CB7" w:rsidRDefault="00AD7044" w:rsidP="00AD704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51DF6E55" w14:textId="552BD2A4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694050">
              <w:t>1/29/2023</w:t>
            </w:r>
          </w:p>
        </w:tc>
        <w:tc>
          <w:tcPr>
            <w:tcW w:w="1200" w:type="dxa"/>
          </w:tcPr>
          <w:p w14:paraId="0398A30D" w14:textId="489C0290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Pr="005B6F4C">
              <w:t>202</w:t>
            </w:r>
            <w:r w:rsidR="005B6F4C">
              <w:t>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11B3D9FB" w14:textId="248F2840" w:rsidR="00AD7044" w:rsidRPr="00124CB7" w:rsidRDefault="00AD7044" w:rsidP="005B6F4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5B6F4C">
              <w:t>2020</w:t>
            </w:r>
          </w:p>
        </w:tc>
        <w:tc>
          <w:tcPr>
            <w:tcW w:w="19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BBE24C3" w14:textId="7EC4727C" w:rsidR="00AD7044" w:rsidRPr="00124CB7" w:rsidRDefault="00694050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AD7044">
              <w:t xml:space="preserve"> </w:t>
            </w:r>
            <w:r>
              <w:t>1/29/2023</w:t>
            </w:r>
          </w:p>
        </w:tc>
        <w:tc>
          <w:tcPr>
            <w:tcW w:w="1098" w:type="dxa"/>
          </w:tcPr>
          <w:p w14:paraId="0895179F" w14:textId="789BE492" w:rsidR="00AD7044" w:rsidRPr="00124CB7" w:rsidRDefault="00AD7044" w:rsidP="005B6F4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5B6F4C">
              <w:t>2022</w:t>
            </w:r>
          </w:p>
        </w:tc>
        <w:tc>
          <w:tcPr>
            <w:tcW w:w="1197" w:type="dxa"/>
            <w:gridSpan w:val="2"/>
          </w:tcPr>
          <w:p w14:paraId="5AB7ECE0" w14:textId="1F576DCD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5B6F4C">
              <w:t>2020</w:t>
            </w:r>
          </w:p>
        </w:tc>
      </w:tr>
      <w:tr w:rsidR="00AD7044" w14:paraId="22401D5B" w14:textId="77777777" w:rsidTr="00B0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6D1FCB95" w14:textId="7423CA51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4476C">
              <w:t>100</w:t>
            </w:r>
            <w:r w:rsidR="00AD7044">
              <w:t xml:space="preserve"> million</w:t>
            </w:r>
          </w:p>
        </w:tc>
        <w:tc>
          <w:tcPr>
            <w:tcW w:w="1200" w:type="dxa"/>
          </w:tcPr>
          <w:p w14:paraId="77D2040B" w14:textId="1654D555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4476C">
              <w:t>9.9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2D05BB2E" w:rsidR="00AD7044" w:rsidRDefault="00C4476C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-0.5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375CF9DD" w14:textId="453CE552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4476C">
              <w:t>1.3</w:t>
            </w:r>
            <w:r w:rsidR="00AD7044">
              <w:t xml:space="preserve"> billion</w:t>
            </w:r>
          </w:p>
        </w:tc>
        <w:tc>
          <w:tcPr>
            <w:tcW w:w="1260" w:type="dxa"/>
            <w:gridSpan w:val="3"/>
          </w:tcPr>
          <w:p w14:paraId="04EA64A9" w14:textId="4AAD32FA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4476C">
              <w:t>4.5</w:t>
            </w:r>
            <w:r w:rsidR="00AD7044">
              <w:t>%</w:t>
            </w:r>
          </w:p>
        </w:tc>
        <w:tc>
          <w:tcPr>
            <w:tcW w:w="1170" w:type="dxa"/>
          </w:tcPr>
          <w:p w14:paraId="2F2464E9" w14:textId="13BC68CB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C4476C">
              <w:t>7.6</w:t>
            </w:r>
            <w:r w:rsidR="00AD7044">
              <w:t>%</w:t>
            </w:r>
          </w:p>
        </w:tc>
      </w:tr>
      <w:tr w:rsidR="00AD7044" w14:paraId="31FB8D29" w14:textId="77777777" w:rsidTr="00B010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CA03520" w14:textId="094B6514" w:rsidR="00AD7044" w:rsidRDefault="00AD7044" w:rsidP="0048542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C4476C">
              <w:t xml:space="preserve"> 33 </w:t>
            </w:r>
            <w:r>
              <w:t>million</w:t>
            </w:r>
          </w:p>
        </w:tc>
        <w:tc>
          <w:tcPr>
            <w:tcW w:w="1200" w:type="dxa"/>
          </w:tcPr>
          <w:p w14:paraId="6922F333" w14:textId="7884E14E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C4476C">
              <w:t>16.3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165CC6CD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C4476C">
              <w:t>16.6</w:t>
            </w:r>
            <w:r w:rsidR="00AD7044">
              <w:t>%</w:t>
            </w:r>
          </w:p>
        </w:tc>
        <w:tc>
          <w:tcPr>
            <w:tcW w:w="181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6ECACB9" w14:textId="20EB25DD" w:rsidR="00AD7044" w:rsidRDefault="00C4476C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  <w:r w:rsidR="00AD7044">
              <w:t xml:space="preserve"> million</w:t>
            </w:r>
          </w:p>
        </w:tc>
        <w:tc>
          <w:tcPr>
            <w:tcW w:w="1260" w:type="dxa"/>
            <w:gridSpan w:val="3"/>
          </w:tcPr>
          <w:p w14:paraId="60AAF678" w14:textId="344056AE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C4476C">
              <w:t>11.2</w:t>
            </w:r>
            <w:r w:rsidR="00AD7044">
              <w:t>%</w:t>
            </w:r>
          </w:p>
        </w:tc>
        <w:tc>
          <w:tcPr>
            <w:tcW w:w="1170" w:type="dxa"/>
          </w:tcPr>
          <w:p w14:paraId="19BE3B74" w14:textId="2A66D4CE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C4476C">
              <w:t>6.9</w:t>
            </w:r>
            <w:r w:rsidR="00AD7044">
              <w:t>%</w:t>
            </w:r>
          </w:p>
        </w:tc>
      </w:tr>
      <w:tr w:rsidR="00AD7044" w14:paraId="2EB720F3" w14:textId="77777777" w:rsidTr="00B0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68757A76" w14:textId="14CA24AC" w:rsidR="00AD7044" w:rsidRDefault="00445779" w:rsidP="00485429">
            <w:pPr>
              <w:pStyle w:val="NoSpacing"/>
              <w:tabs>
                <w:tab w:val="center" w:pos="747"/>
                <w:tab w:val="right" w:pos="14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="00C4476C">
              <w:t>21</w:t>
            </w:r>
            <w:r w:rsidR="00485429">
              <w:tab/>
            </w:r>
            <w:r w:rsidR="00AD7044">
              <w:t>million</w:t>
            </w:r>
          </w:p>
        </w:tc>
        <w:tc>
          <w:tcPr>
            <w:tcW w:w="1200" w:type="dxa"/>
          </w:tcPr>
          <w:p w14:paraId="7DE7F9CC" w14:textId="0C1ECC45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4476C">
              <w:t>14.2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7FC2CDE1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4476C">
              <w:t>12.1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57878EB0" w14:textId="54310E9D" w:rsidR="00AD7044" w:rsidRDefault="00910CD7" w:rsidP="00910CD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="00C4476C">
              <w:t>269</w:t>
            </w:r>
            <w:r w:rsidR="00AD7044">
              <w:t xml:space="preserve"> million</w:t>
            </w:r>
          </w:p>
        </w:tc>
        <w:tc>
          <w:tcPr>
            <w:tcW w:w="1260" w:type="dxa"/>
            <w:gridSpan w:val="3"/>
          </w:tcPr>
          <w:p w14:paraId="0679CD28" w14:textId="467954B9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4476C">
              <w:t>10.9</w:t>
            </w:r>
            <w:r w:rsidR="00AD7044">
              <w:t>%</w:t>
            </w:r>
          </w:p>
        </w:tc>
        <w:tc>
          <w:tcPr>
            <w:tcW w:w="1170" w:type="dxa"/>
          </w:tcPr>
          <w:p w14:paraId="09C03B7F" w14:textId="24C9B48A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4476C">
              <w:t>4.1</w:t>
            </w:r>
            <w:r w:rsidR="00AD7044">
              <w:t>%</w:t>
            </w:r>
          </w:p>
        </w:tc>
      </w:tr>
    </w:tbl>
    <w:p w14:paraId="5B1F1AF6" w14:textId="0F39C606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94050">
        <w:rPr>
          <w:color w:val="7F7F7F" w:themeColor="text1" w:themeTint="80"/>
          <w:sz w:val="16"/>
          <w:szCs w:val="16"/>
        </w:rPr>
        <w:t>1/29/2023</w:t>
      </w:r>
    </w:p>
    <w:p w14:paraId="693975F5" w14:textId="5C6F2673" w:rsidR="000809C3" w:rsidRDefault="000809C3" w:rsidP="00472B02">
      <w:pPr>
        <w:pStyle w:val="NoSpacing"/>
      </w:pPr>
    </w:p>
    <w:p w14:paraId="6A743FB2" w14:textId="435B8711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890133">
        <w:t xml:space="preserve">were very consistent, </w:t>
      </w:r>
      <w:r w:rsidR="00BE7EF2">
        <w:t>averag</w:t>
      </w:r>
      <w:r w:rsidR="00890133">
        <w:t>ing</w:t>
      </w:r>
      <w:r w:rsidR="00BE7EF2">
        <w:t xml:space="preserve"> between</w:t>
      </w:r>
      <w:r w:rsidR="00445779">
        <w:t xml:space="preserve"> $</w:t>
      </w:r>
      <w:r w:rsidR="003E2F1A">
        <w:t>24.3</w:t>
      </w:r>
      <w:r w:rsidR="00085508">
        <w:t xml:space="preserve"> million and</w:t>
      </w:r>
      <w:r w:rsidR="00BE7EF2">
        <w:t xml:space="preserve"> $</w:t>
      </w:r>
      <w:r w:rsidR="003E2F1A">
        <w:t>25.4</w:t>
      </w:r>
      <w:r w:rsidR="00C00BDC">
        <w:t xml:space="preserve"> million</w:t>
      </w:r>
      <w:r w:rsidR="00890133">
        <w:t>, each week</w:t>
      </w:r>
      <w:r w:rsidR="00F47EA1">
        <w:t>. Total pounds</w:t>
      </w:r>
      <w:r w:rsidR="00890133">
        <w:t xml:space="preserve"> averaged between 5.1 and 5.3 million for each of the week.</w:t>
      </w:r>
      <w:r w:rsidR="00F47EA1">
        <w:t xml:space="preserve"> </w:t>
      </w:r>
      <w:r w:rsidR="00890133">
        <w:t xml:space="preserve">Bucking prior year patterns </w:t>
      </w:r>
      <w:r w:rsidR="00F47EA1">
        <w:t xml:space="preserve">that show an increase in mushroom sales </w:t>
      </w:r>
      <w:r w:rsidR="00F812F9">
        <w:t>during this quad week period, volume was down slightly from the prior quad week period</w:t>
      </w:r>
      <w:r w:rsidR="00F47EA1">
        <w:t xml:space="preserve"> </w:t>
      </w:r>
      <w:r w:rsidR="00347E3A">
        <w:t>(see forecast tab)</w:t>
      </w:r>
      <w:r w:rsidR="00677889">
        <w:t xml:space="preserve">. </w:t>
      </w:r>
    </w:p>
    <w:p w14:paraId="121F64A3" w14:textId="77777777" w:rsidR="00D55AB1" w:rsidRDefault="00D55AB1" w:rsidP="00FF42F9">
      <w:pPr>
        <w:pStyle w:val="NoSpacing"/>
      </w:pP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10111" w:type="dxa"/>
        <w:tblLook w:val="04A0" w:firstRow="1" w:lastRow="0" w:firstColumn="1" w:lastColumn="0" w:noHBand="0" w:noVBand="1"/>
      </w:tblPr>
      <w:tblGrid>
        <w:gridCol w:w="2142"/>
        <w:gridCol w:w="1038"/>
        <w:gridCol w:w="1303"/>
        <w:gridCol w:w="1303"/>
        <w:gridCol w:w="1146"/>
        <w:gridCol w:w="1544"/>
        <w:gridCol w:w="1635"/>
      </w:tblGrid>
      <w:tr w:rsidR="003C243B" w:rsidRPr="00DE633B" w14:paraId="5AF9AC2D" w14:textId="77777777" w:rsidTr="003C2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2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lastRenderedPageBreak/>
              <w:t>Fresh mushrooms</w:t>
            </w:r>
          </w:p>
        </w:tc>
        <w:tc>
          <w:tcPr>
            <w:tcW w:w="1038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303" w:type="dxa"/>
          </w:tcPr>
          <w:p w14:paraId="19F3D856" w14:textId="4A85ED8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5B6F4C">
              <w:rPr>
                <w:rFonts w:cstheme="minorHAnsi"/>
              </w:rPr>
              <w:t>2022</w:t>
            </w:r>
          </w:p>
        </w:tc>
        <w:tc>
          <w:tcPr>
            <w:tcW w:w="1303" w:type="dxa"/>
            <w:tcBorders>
              <w:right w:val="single" w:sz="4" w:space="0" w:color="ED7D31" w:themeColor="accent2"/>
            </w:tcBorders>
          </w:tcPr>
          <w:p w14:paraId="3ABF0E92" w14:textId="2F381C6F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Pr="005B6F4C">
              <w:rPr>
                <w:rFonts w:cstheme="minorHAnsi"/>
              </w:rPr>
              <w:t>20</w:t>
            </w:r>
            <w:r w:rsidR="005B6F4C" w:rsidRPr="005B6F4C">
              <w:rPr>
                <w:rFonts w:cstheme="minorHAnsi"/>
              </w:rPr>
              <w:t>20</w:t>
            </w:r>
          </w:p>
        </w:tc>
        <w:tc>
          <w:tcPr>
            <w:tcW w:w="1146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44" w:type="dxa"/>
          </w:tcPr>
          <w:p w14:paraId="3A701F90" w14:textId="6FBBD47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5B6F4C">
              <w:rPr>
                <w:rFonts w:cstheme="minorHAnsi"/>
              </w:rPr>
              <w:t>2022</w:t>
            </w:r>
          </w:p>
        </w:tc>
        <w:tc>
          <w:tcPr>
            <w:tcW w:w="1635" w:type="dxa"/>
          </w:tcPr>
          <w:p w14:paraId="7A77A4C9" w14:textId="209A563A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Pr="005B6F4C">
              <w:rPr>
                <w:rFonts w:cstheme="minorHAnsi"/>
              </w:rPr>
              <w:t>20</w:t>
            </w:r>
            <w:r w:rsidR="005B6F4C">
              <w:rPr>
                <w:rFonts w:cstheme="minorHAnsi"/>
              </w:rPr>
              <w:t>20</w:t>
            </w:r>
          </w:p>
        </w:tc>
      </w:tr>
      <w:tr w:rsidR="000809C3" w14:paraId="69B1B691" w14:textId="77777777" w:rsidTr="003C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374F2F9C" w14:textId="498507A2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w.e. </w:t>
            </w:r>
            <w:r w:rsidR="00694050">
              <w:rPr>
                <w:rFonts w:cstheme="minorHAnsi"/>
                <w:color w:val="000000" w:themeColor="text1"/>
              </w:rPr>
              <w:t>1/29/2023</w:t>
            </w:r>
          </w:p>
        </w:tc>
        <w:tc>
          <w:tcPr>
            <w:tcW w:w="1038" w:type="dxa"/>
          </w:tcPr>
          <w:p w14:paraId="73E257C6" w14:textId="5B43E5DD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767FF4">
              <w:rPr>
                <w:rFonts w:cstheme="minorHAnsi"/>
                <w:b/>
                <w:bCs/>
                <w:color w:val="000000" w:themeColor="text1"/>
              </w:rPr>
              <w:t>100</w:t>
            </w:r>
            <w:r w:rsidR="00774CCD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3C243B">
              <w:rPr>
                <w:rFonts w:cstheme="minorHAnsi"/>
                <w:b/>
                <w:bCs/>
                <w:color w:val="000000" w:themeColor="text1"/>
              </w:rPr>
              <w:t>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303" w:type="dxa"/>
          </w:tcPr>
          <w:p w14:paraId="4D4E3A8B" w14:textId="48B3D143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24AEA">
              <w:rPr>
                <w:rFonts w:cstheme="minorHAnsi"/>
                <w:b/>
                <w:bCs/>
                <w:color w:val="000000" w:themeColor="text1"/>
              </w:rPr>
              <w:t>9.9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303" w:type="dxa"/>
            <w:tcBorders>
              <w:right w:val="single" w:sz="4" w:space="0" w:color="ED7D31" w:themeColor="accent2"/>
            </w:tcBorders>
          </w:tcPr>
          <w:p w14:paraId="4D28CAD3" w14:textId="6B4C299B" w:rsidR="000809C3" w:rsidRPr="006A7A6E" w:rsidRDefault="002D12AC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-0.5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46" w:type="dxa"/>
            <w:tcBorders>
              <w:left w:val="single" w:sz="4" w:space="0" w:color="ED7D31" w:themeColor="accent2"/>
            </w:tcBorders>
          </w:tcPr>
          <w:p w14:paraId="30F9E2CF" w14:textId="6083167F" w:rsidR="000809C3" w:rsidRPr="006A7A6E" w:rsidRDefault="00B579DA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21.1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44" w:type="dxa"/>
          </w:tcPr>
          <w:p w14:paraId="7D7EF716" w14:textId="21AFF8DB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5B4D2F">
              <w:rPr>
                <w:rFonts w:cstheme="minorHAnsi"/>
                <w:b/>
                <w:bCs/>
                <w:color w:val="000000" w:themeColor="text1"/>
              </w:rPr>
              <w:t>14.2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35" w:type="dxa"/>
          </w:tcPr>
          <w:p w14:paraId="0ADA09AC" w14:textId="5B7BD94F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C1B2B">
              <w:rPr>
                <w:rFonts w:cstheme="minorHAnsi"/>
                <w:b/>
                <w:bCs/>
                <w:color w:val="000000" w:themeColor="text1"/>
              </w:rPr>
              <w:t>12.1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3C243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61B5C386" w14:textId="6F5DAB4A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694050">
              <w:rPr>
                <w:rFonts w:cstheme="minorHAnsi"/>
                <w:b w:val="0"/>
                <w:color w:val="000000" w:themeColor="text1"/>
              </w:rPr>
              <w:t>1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694050">
              <w:rPr>
                <w:rFonts w:cstheme="minorHAnsi"/>
                <w:b w:val="0"/>
                <w:color w:val="000000" w:themeColor="text1"/>
              </w:rPr>
              <w:t>8/2023</w:t>
            </w:r>
          </w:p>
        </w:tc>
        <w:tc>
          <w:tcPr>
            <w:tcW w:w="1038" w:type="dxa"/>
          </w:tcPr>
          <w:p w14:paraId="151AC645" w14:textId="503D6518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3C243B">
              <w:rPr>
                <w:rFonts w:cstheme="minorHAnsi"/>
                <w:color w:val="000000" w:themeColor="text1"/>
              </w:rPr>
              <w:t>25.2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03" w:type="dxa"/>
          </w:tcPr>
          <w:p w14:paraId="3F350FB2" w14:textId="753744B3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24AEA">
              <w:rPr>
                <w:rFonts w:cstheme="minorHAnsi"/>
                <w:color w:val="000000" w:themeColor="text1"/>
              </w:rPr>
              <w:t>9.9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03" w:type="dxa"/>
            <w:tcBorders>
              <w:right w:val="single" w:sz="4" w:space="0" w:color="ED7D31" w:themeColor="accent2"/>
            </w:tcBorders>
          </w:tcPr>
          <w:p w14:paraId="71A7F634" w14:textId="63A21619" w:rsidR="0004266D" w:rsidRPr="0004266D" w:rsidRDefault="002D12AC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-4.1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46" w:type="dxa"/>
            <w:tcBorders>
              <w:left w:val="single" w:sz="4" w:space="0" w:color="ED7D31" w:themeColor="accent2"/>
            </w:tcBorders>
          </w:tcPr>
          <w:p w14:paraId="539D2139" w14:textId="48F13A46" w:rsidR="0004266D" w:rsidRPr="0004266D" w:rsidRDefault="00B579DA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44" w:type="dxa"/>
          </w:tcPr>
          <w:p w14:paraId="4E107D1E" w14:textId="5669FE52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A18E9">
              <w:rPr>
                <w:rFonts w:cstheme="minorHAnsi"/>
                <w:color w:val="000000" w:themeColor="text1"/>
              </w:rPr>
              <w:t>13.7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35" w:type="dxa"/>
          </w:tcPr>
          <w:p w14:paraId="699CD9F0" w14:textId="283EDC35" w:rsidR="0004266D" w:rsidRPr="0004266D" w:rsidRDefault="00910CD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C1B2B">
              <w:rPr>
                <w:rFonts w:cstheme="minorHAnsi"/>
                <w:color w:val="000000" w:themeColor="text1"/>
              </w:rPr>
              <w:t>14.6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3C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5CCBCDF3" w14:textId="1B895F08" w:rsidR="005547EE" w:rsidRPr="006A7A6E" w:rsidRDefault="005547EE" w:rsidP="00694050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694050">
              <w:rPr>
                <w:rFonts w:cstheme="minorHAnsi"/>
                <w:b w:val="0"/>
                <w:color w:val="000000" w:themeColor="text1"/>
              </w:rPr>
              <w:t>1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694050">
              <w:rPr>
                <w:rFonts w:cstheme="minorHAnsi"/>
                <w:b w:val="0"/>
                <w:color w:val="000000" w:themeColor="text1"/>
              </w:rPr>
              <w:t>15/2023</w:t>
            </w:r>
          </w:p>
        </w:tc>
        <w:tc>
          <w:tcPr>
            <w:tcW w:w="1038" w:type="dxa"/>
          </w:tcPr>
          <w:p w14:paraId="11A8DDCA" w14:textId="1142A153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1C2FB7">
              <w:rPr>
                <w:rFonts w:cstheme="minorHAnsi"/>
                <w:color w:val="000000" w:themeColor="text1"/>
              </w:rPr>
              <w:t>25.4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03" w:type="dxa"/>
          </w:tcPr>
          <w:p w14:paraId="16514130" w14:textId="46D506C3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24AEA">
              <w:rPr>
                <w:rFonts w:cstheme="minorHAnsi"/>
                <w:color w:val="000000" w:themeColor="text1"/>
              </w:rPr>
              <w:t>11.2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03" w:type="dxa"/>
            <w:tcBorders>
              <w:right w:val="single" w:sz="4" w:space="0" w:color="ED7D31" w:themeColor="accent2"/>
            </w:tcBorders>
          </w:tcPr>
          <w:p w14:paraId="463E87C2" w14:textId="35D5DCFF" w:rsidR="005547EE" w:rsidRPr="0004266D" w:rsidRDefault="002D12A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-1.3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46" w:type="dxa"/>
            <w:tcBorders>
              <w:left w:val="single" w:sz="4" w:space="0" w:color="ED7D31" w:themeColor="accent2"/>
            </w:tcBorders>
          </w:tcPr>
          <w:p w14:paraId="67EAF597" w14:textId="783FFA8E" w:rsidR="005547EE" w:rsidRPr="0004266D" w:rsidRDefault="00B579DA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5.4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44" w:type="dxa"/>
          </w:tcPr>
          <w:p w14:paraId="3BDC9313" w14:textId="24DCC04D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A18E9">
              <w:rPr>
                <w:rFonts w:cstheme="minorHAnsi"/>
                <w:color w:val="000000" w:themeColor="text1"/>
              </w:rPr>
              <w:t>16.1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35" w:type="dxa"/>
          </w:tcPr>
          <w:p w14:paraId="180304FD" w14:textId="08D3D321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C1B2B">
              <w:rPr>
                <w:rFonts w:cstheme="minorHAnsi"/>
                <w:color w:val="000000" w:themeColor="text1"/>
              </w:rPr>
              <w:t>13.4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3C243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12D67558" w14:textId="69C66C38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694050">
              <w:rPr>
                <w:rFonts w:cstheme="minorHAnsi"/>
                <w:b w:val="0"/>
                <w:color w:val="000000" w:themeColor="text1"/>
              </w:rPr>
              <w:t>1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694050">
              <w:rPr>
                <w:rFonts w:cstheme="minorHAnsi"/>
                <w:b w:val="0"/>
                <w:color w:val="000000" w:themeColor="text1"/>
              </w:rPr>
              <w:t>22/2023</w:t>
            </w:r>
          </w:p>
        </w:tc>
        <w:tc>
          <w:tcPr>
            <w:tcW w:w="1038" w:type="dxa"/>
          </w:tcPr>
          <w:p w14:paraId="48606425" w14:textId="6FF47E43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1C2FB7">
              <w:rPr>
                <w:rFonts w:cstheme="minorHAnsi"/>
                <w:color w:val="000000" w:themeColor="text1"/>
              </w:rPr>
              <w:t>25.1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03" w:type="dxa"/>
          </w:tcPr>
          <w:p w14:paraId="34EEBB9B" w14:textId="36BF6AFD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24AEA">
              <w:rPr>
                <w:rFonts w:cstheme="minorHAnsi"/>
                <w:color w:val="000000" w:themeColor="text1"/>
              </w:rPr>
              <w:t>7.5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03" w:type="dxa"/>
            <w:tcBorders>
              <w:right w:val="single" w:sz="4" w:space="0" w:color="ED7D31" w:themeColor="accent2"/>
            </w:tcBorders>
          </w:tcPr>
          <w:p w14:paraId="459FECD2" w14:textId="7CDA5146" w:rsidR="005547EE" w:rsidRPr="0004266D" w:rsidRDefault="002D12AC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+2.4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46" w:type="dxa"/>
            <w:tcBorders>
              <w:left w:val="single" w:sz="4" w:space="0" w:color="ED7D31" w:themeColor="accent2"/>
            </w:tcBorders>
          </w:tcPr>
          <w:p w14:paraId="234D0105" w14:textId="29D3F399" w:rsidR="005547EE" w:rsidRPr="0004266D" w:rsidRDefault="00B579DA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5.3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44" w:type="dxa"/>
          </w:tcPr>
          <w:p w14:paraId="5C2CD04A" w14:textId="34982F1D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A18E9">
              <w:rPr>
                <w:rFonts w:cstheme="minorHAnsi"/>
                <w:color w:val="000000" w:themeColor="text1"/>
              </w:rPr>
              <w:t>11.7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35" w:type="dxa"/>
          </w:tcPr>
          <w:p w14:paraId="3E3F9EEB" w14:textId="2A016CAE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C1B2B">
              <w:rPr>
                <w:rFonts w:cstheme="minorHAnsi"/>
                <w:color w:val="000000" w:themeColor="text1"/>
              </w:rPr>
              <w:t>9.4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3C2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</w:tcPr>
          <w:p w14:paraId="5798E510" w14:textId="248E2521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694050">
              <w:rPr>
                <w:rFonts w:cstheme="minorHAnsi"/>
                <w:b w:val="0"/>
                <w:color w:val="000000" w:themeColor="text1"/>
              </w:rPr>
              <w:t>1/29/2023</w:t>
            </w:r>
          </w:p>
        </w:tc>
        <w:tc>
          <w:tcPr>
            <w:tcW w:w="1038" w:type="dxa"/>
          </w:tcPr>
          <w:p w14:paraId="1F9888EE" w14:textId="6B9ECE95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1C2FB7">
              <w:rPr>
                <w:rFonts w:cstheme="minorHAnsi"/>
                <w:color w:val="000000" w:themeColor="text1"/>
              </w:rPr>
              <w:t>24.3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03" w:type="dxa"/>
          </w:tcPr>
          <w:p w14:paraId="39C9DE70" w14:textId="25B256A3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24AEA">
              <w:rPr>
                <w:rFonts w:cstheme="minorHAnsi"/>
                <w:color w:val="000000" w:themeColor="text1"/>
              </w:rPr>
              <w:t>10.1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03" w:type="dxa"/>
            <w:tcBorders>
              <w:right w:val="single" w:sz="4" w:space="0" w:color="ED7D31" w:themeColor="accent2"/>
            </w:tcBorders>
          </w:tcPr>
          <w:p w14:paraId="10674F93" w14:textId="6027A3DF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611075">
              <w:rPr>
                <w:rFonts w:cstheme="minorHAnsi"/>
                <w:color w:val="000000" w:themeColor="text1"/>
              </w:rPr>
              <w:t>1.2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46" w:type="dxa"/>
            <w:tcBorders>
              <w:left w:val="single" w:sz="4" w:space="0" w:color="ED7D31" w:themeColor="accent2"/>
            </w:tcBorders>
          </w:tcPr>
          <w:p w14:paraId="6664688E" w14:textId="4CF078DF" w:rsidR="005547EE" w:rsidRPr="0004266D" w:rsidRDefault="00B579DA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5.1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44" w:type="dxa"/>
          </w:tcPr>
          <w:p w14:paraId="350C0B98" w14:textId="7C2791B2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8A18E9">
              <w:rPr>
                <w:rFonts w:cstheme="minorHAnsi"/>
                <w:color w:val="000000" w:themeColor="text1"/>
              </w:rPr>
              <w:t>15.4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35" w:type="dxa"/>
          </w:tcPr>
          <w:p w14:paraId="2A25914C" w14:textId="08DF1FCF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C1B2B">
              <w:rPr>
                <w:rFonts w:cstheme="minorHAnsi"/>
                <w:color w:val="000000" w:themeColor="text1"/>
              </w:rPr>
              <w:t>10.6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4FE31A0A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94050">
        <w:rPr>
          <w:color w:val="7F7F7F" w:themeColor="text1" w:themeTint="80"/>
          <w:sz w:val="16"/>
          <w:szCs w:val="16"/>
        </w:rPr>
        <w:t>1/29/2023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408F6EB1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C206CB">
        <w:t>7.7</w:t>
      </w:r>
      <w:r w:rsidR="00322039">
        <w:t xml:space="preserve">% versus year ago </w:t>
      </w:r>
      <w:r w:rsidR="000E2A1D">
        <w:t>in the latest quad-week period</w:t>
      </w:r>
      <w:r>
        <w:t xml:space="preserve">. This means the rate of inflation jumped ahead of that </w:t>
      </w:r>
      <w:r w:rsidR="000E2A1D">
        <w:t xml:space="preserve">for total </w:t>
      </w:r>
      <w:r>
        <w:t xml:space="preserve">fresh </w:t>
      </w:r>
      <w:r w:rsidR="000E2A1D" w:rsidRPr="00102CB4">
        <w:t>vegetables</w:t>
      </w:r>
      <w:r w:rsidR="00A14586" w:rsidRPr="00102CB4">
        <w:t xml:space="preserve"> (+</w:t>
      </w:r>
      <w:r w:rsidR="008D2A48" w:rsidRPr="00102CB4">
        <w:t>8.8</w:t>
      </w:r>
      <w:r w:rsidR="00322039" w:rsidRPr="00102CB4">
        <w:t>%)</w:t>
      </w:r>
      <w:r w:rsidR="00C9550B">
        <w:t xml:space="preserve"> and</w:t>
      </w:r>
      <w:r w:rsidR="000E2A1D">
        <w:t xml:space="preserve"> </w:t>
      </w:r>
      <w:r>
        <w:t xml:space="preserve">total fresh </w:t>
      </w:r>
      <w:r w:rsidR="000E2A1D">
        <w:t xml:space="preserve">produce </w:t>
      </w:r>
      <w:r w:rsidR="00A14586">
        <w:t>(+</w:t>
      </w:r>
      <w:r w:rsidR="008D2A48">
        <w:t>4.7</w:t>
      </w:r>
      <w:r w:rsidR="00322039">
        <w:t>%)</w:t>
      </w:r>
      <w:r w:rsidR="000E2A1D"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59DEB4B2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694050">
              <w:t>1/29/2023</w:t>
            </w:r>
          </w:p>
        </w:tc>
        <w:tc>
          <w:tcPr>
            <w:tcW w:w="973" w:type="dxa"/>
          </w:tcPr>
          <w:p w14:paraId="10EFADEC" w14:textId="28C9172C" w:rsidR="000C3CC4" w:rsidRPr="00124CB7" w:rsidRDefault="000C3CC4" w:rsidP="005B6F4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5B6F4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639A390" w:rsidR="000C3CC4" w:rsidRPr="00124CB7" w:rsidRDefault="000C3CC4" w:rsidP="005B6F4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5B6F4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1B2DD0B1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>
              <w:t>1/29/2023</w:t>
            </w:r>
          </w:p>
        </w:tc>
        <w:tc>
          <w:tcPr>
            <w:tcW w:w="817" w:type="dxa"/>
          </w:tcPr>
          <w:p w14:paraId="56551B99" w14:textId="5D58D74B" w:rsidR="000C3CC4" w:rsidRPr="00124CB7" w:rsidRDefault="000C3CC4" w:rsidP="005B6F4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5B6F4C">
              <w:t>2022</w:t>
            </w:r>
          </w:p>
        </w:tc>
        <w:tc>
          <w:tcPr>
            <w:tcW w:w="899" w:type="dxa"/>
          </w:tcPr>
          <w:p w14:paraId="1A109D51" w14:textId="29DA59EF" w:rsidR="000C3CC4" w:rsidRPr="00124CB7" w:rsidRDefault="000C3CC4" w:rsidP="005B6F4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5B6F4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4913A2F7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D53FFF">
              <w:t>3.04</w:t>
            </w:r>
          </w:p>
        </w:tc>
        <w:tc>
          <w:tcPr>
            <w:tcW w:w="973" w:type="dxa"/>
          </w:tcPr>
          <w:p w14:paraId="3E0967AB" w14:textId="12920BD4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14208">
              <w:t>7.7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5E532E3D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E6E4D">
              <w:t>19.3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0C5274A1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42D18">
              <w:t>2.95</w:t>
            </w:r>
          </w:p>
        </w:tc>
        <w:tc>
          <w:tcPr>
            <w:tcW w:w="817" w:type="dxa"/>
          </w:tcPr>
          <w:p w14:paraId="08755E5E" w14:textId="69FF4EF0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710E42">
              <w:t>7.5</w:t>
            </w:r>
            <w:r>
              <w:t>%</w:t>
            </w:r>
          </w:p>
        </w:tc>
        <w:tc>
          <w:tcPr>
            <w:tcW w:w="899" w:type="dxa"/>
          </w:tcPr>
          <w:p w14:paraId="19B1F6D2" w14:textId="15F6FE1D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E63B1">
              <w:t>15.6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65FEBDE5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676DE">
              <w:t>4.73</w:t>
            </w:r>
          </w:p>
        </w:tc>
        <w:tc>
          <w:tcPr>
            <w:tcW w:w="973" w:type="dxa"/>
          </w:tcPr>
          <w:p w14:paraId="7E986169" w14:textId="60FD5C9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D86540">
              <w:t>5.1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7AF221DE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42294">
              <w:t>13.1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431BCC3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E3694">
              <w:t>4.65</w:t>
            </w:r>
          </w:p>
        </w:tc>
        <w:tc>
          <w:tcPr>
            <w:tcW w:w="817" w:type="dxa"/>
          </w:tcPr>
          <w:p w14:paraId="1759FD32" w14:textId="5E11D12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B34B58">
              <w:t>7.2</w:t>
            </w:r>
            <w:r>
              <w:t>%</w:t>
            </w:r>
          </w:p>
        </w:tc>
        <w:tc>
          <w:tcPr>
            <w:tcW w:w="899" w:type="dxa"/>
          </w:tcPr>
          <w:p w14:paraId="725313BE" w14:textId="6BB7490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C206CB">
              <w:t>12.3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2ED18EE" w:rsidR="00170260" w:rsidRDefault="00085508" w:rsidP="00170260">
      <w:pPr>
        <w:pStyle w:val="NoSpacing"/>
      </w:pPr>
      <w:r>
        <w:t>P</w:t>
      </w:r>
      <w:r w:rsidR="00E508BB">
        <w:t xml:space="preserve">romotional </w:t>
      </w:r>
      <w:r w:rsidR="001D2675">
        <w:t>activity</w:t>
      </w:r>
      <w:r w:rsidR="00FF2D4A">
        <w:t xml:space="preserve"> </w:t>
      </w:r>
      <w:r>
        <w:t xml:space="preserve">improved during the </w:t>
      </w:r>
      <w:r w:rsidR="005B6F4C">
        <w:t xml:space="preserve">latest quad-week </w:t>
      </w:r>
      <w:r>
        <w:t>period</w:t>
      </w:r>
      <w:r w:rsidR="00FF2D4A">
        <w:t xml:space="preserve">, at </w:t>
      </w:r>
      <w:r w:rsidR="005B6F4C">
        <w:t>17.4</w:t>
      </w:r>
      <w:r w:rsidR="00FF2D4A">
        <w:t xml:space="preserve">% of total </w:t>
      </w:r>
      <w:r>
        <w:t xml:space="preserve">fresh mushroom </w:t>
      </w:r>
      <w:r w:rsidR="00FF2D4A">
        <w:t xml:space="preserve">dollars and </w:t>
      </w:r>
      <w:r w:rsidR="005B6F4C">
        <w:t>21.2</w:t>
      </w:r>
      <w:r w:rsidR="00FF2D4A">
        <w:t>%</w:t>
      </w:r>
      <w:r w:rsidR="00E508BB">
        <w:t xml:space="preserve"> of total pounds sold. Promotional levels </w:t>
      </w:r>
      <w:r w:rsidR="00C9550B">
        <w:t>for total fresh produce as well as total food and beverages are also up</w:t>
      </w:r>
      <w:r w:rsidR="009D3B25">
        <w:t xml:space="preserve"> as consumers are pulling back on units and volume across categories</w:t>
      </w:r>
      <w:r w:rsidR="00E508BB"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4A810185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694050">
              <w:t>1/29/2023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14428B94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 w:rsidR="0043260C">
              <w:t>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2F74599D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>
              <w:t>1/29/2023</w:t>
            </w:r>
          </w:p>
        </w:tc>
        <w:tc>
          <w:tcPr>
            <w:tcW w:w="1369" w:type="dxa"/>
          </w:tcPr>
          <w:p w14:paraId="75064544" w14:textId="6525183E" w:rsidR="00972570" w:rsidRPr="00124CB7" w:rsidRDefault="00972570" w:rsidP="0043260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 w:rsidR="0043260C">
              <w:t>2</w:t>
            </w:r>
          </w:p>
        </w:tc>
      </w:tr>
      <w:tr w:rsidR="004A50D2" w14:paraId="3B76FFA3" w14:textId="78296325" w:rsidTr="00694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59996E2B" w:rsidR="004A50D2" w:rsidRPr="006617FB" w:rsidRDefault="00426A88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17.4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58096887" w:rsidR="004A50D2" w:rsidRPr="009B0330" w:rsidRDefault="0044577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A131F">
              <w:t>41.8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797AC1C7" w:rsidR="004A50D2" w:rsidRPr="009B0330" w:rsidRDefault="000A131F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16.1</w:t>
            </w:r>
            <w:r w:rsidR="004A50D2" w:rsidRPr="009B0330">
              <w:t>%</w:t>
            </w:r>
          </w:p>
        </w:tc>
        <w:tc>
          <w:tcPr>
            <w:tcW w:w="1369" w:type="dxa"/>
          </w:tcPr>
          <w:p w14:paraId="7461CDF6" w14:textId="70D7F605" w:rsidR="004A50D2" w:rsidRPr="009B0330" w:rsidRDefault="0044577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A131F">
              <w:t>8.9</w:t>
            </w:r>
            <w:r w:rsidR="004A50D2" w:rsidRPr="009B0330">
              <w:t>%</w:t>
            </w:r>
          </w:p>
        </w:tc>
      </w:tr>
      <w:tr w:rsidR="004A50D2" w14:paraId="6BDC46F0" w14:textId="6B730DE2" w:rsidTr="0069405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342" w:type="dxa"/>
            <w:shd w:val="clear" w:color="auto" w:fill="auto"/>
          </w:tcPr>
          <w:p w14:paraId="4B3F737B" w14:textId="75A9BD3D" w:rsidR="004A50D2" w:rsidRPr="006617FB" w:rsidRDefault="000A131F" w:rsidP="00FA1CDF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21.2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3E258D" w14:textId="171C3A49" w:rsidR="004A50D2" w:rsidRPr="009B0330" w:rsidRDefault="00910CD7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0A131F">
              <w:t>53.9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37E892BC" w14:textId="6C7F571C" w:rsidR="004A50D2" w:rsidRPr="009B0330" w:rsidRDefault="000A131F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19.3</w:t>
            </w:r>
            <w:r w:rsidR="004A50D2" w:rsidRPr="009B0330">
              <w:t>%</w:t>
            </w:r>
          </w:p>
        </w:tc>
        <w:tc>
          <w:tcPr>
            <w:tcW w:w="1369" w:type="dxa"/>
          </w:tcPr>
          <w:p w14:paraId="7052050B" w14:textId="57657191" w:rsidR="004A50D2" w:rsidRPr="009B0330" w:rsidRDefault="00677889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0A131F">
              <w:t>13.3</w:t>
            </w:r>
            <w:r w:rsidR="004A50D2" w:rsidRPr="009B0330">
              <w:t>%</w:t>
            </w:r>
          </w:p>
        </w:tc>
      </w:tr>
    </w:tbl>
    <w:p w14:paraId="23606064" w14:textId="5549BF26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94050">
        <w:rPr>
          <w:color w:val="7F7F7F" w:themeColor="text1" w:themeTint="80"/>
          <w:sz w:val="16"/>
          <w:szCs w:val="16"/>
        </w:rPr>
        <w:t>1/29/2023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607D8455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763F55">
        <w:t>49.4</w:t>
      </w:r>
      <w:r w:rsidR="00927EAC">
        <w:t xml:space="preserve">% of total fresh mushroom </w:t>
      </w:r>
      <w:r w:rsidR="009D3B25">
        <w:t xml:space="preserve">dollar </w:t>
      </w:r>
      <w:r w:rsidR="00927EAC">
        <w:t xml:space="preserve">sales and </w:t>
      </w:r>
      <w:r w:rsidR="00763F55">
        <w:t>56.7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>, the combination of cr</w:t>
      </w:r>
      <w:r w:rsidR="002437CE">
        <w:t>i</w:t>
      </w:r>
      <w:r>
        <w:t>minis and portabellas, that</w:t>
      </w:r>
      <w:r w:rsidR="00B25DFD">
        <w:t xml:space="preserve"> </w:t>
      </w:r>
      <w:r>
        <w:t>fared better</w:t>
      </w:r>
      <w:r w:rsidR="00CB4067">
        <w:t xml:space="preserve"> with </w:t>
      </w:r>
      <w:r w:rsidR="00763F55">
        <w:t>3.3</w:t>
      </w:r>
      <w:r w:rsidR="00CB4067">
        <w:t xml:space="preserve">% pound growth over the </w:t>
      </w:r>
      <w:r w:rsidR="005B6F4C">
        <w:t>2020</w:t>
      </w:r>
      <w:r w:rsidR="00CB4067">
        <w:t xml:space="preserve"> levels</w:t>
      </w:r>
      <w:r w:rsidR="00EB30C7">
        <w:t xml:space="preserve">, whereas white mushrooms were down </w:t>
      </w:r>
      <w:r w:rsidR="00763F55">
        <w:t>20.6</w:t>
      </w:r>
      <w:r w:rsidR="00EB30C7">
        <w:t>%</w:t>
      </w:r>
      <w:r w:rsidR="00CB4067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1F9591C4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694050">
              <w:rPr>
                <w:rFonts w:cstheme="minorHAnsi"/>
                <w:b/>
                <w:bCs/>
                <w:color w:val="FFFFFF" w:themeColor="background1"/>
              </w:rPr>
              <w:t>1/29/2023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017D9242" w:rsidR="00461D8C" w:rsidRPr="006A7A6E" w:rsidRDefault="00D8225F" w:rsidP="005B6F4C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5B6F4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8D2285D" w:rsidR="00461D8C" w:rsidRPr="006A7A6E" w:rsidRDefault="00D8225F" w:rsidP="005B6F4C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5B6F4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42B2D347" w:rsidR="00461D8C" w:rsidRPr="006A7A6E" w:rsidRDefault="00D8225F" w:rsidP="005B6F4C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5B6F4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71BBCD3C" w:rsidR="00461D8C" w:rsidRPr="006A7A6E" w:rsidRDefault="00D8225F" w:rsidP="005B6F4C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5B6F4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0A8F905F" w:rsidR="00461D8C" w:rsidRPr="006A7A6E" w:rsidRDefault="00461D8C" w:rsidP="00677889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5B6F4C">
              <w:rPr>
                <w:rFonts w:cstheme="minorHAnsi"/>
                <w:b/>
                <w:bCs/>
                <w:color w:val="000000" w:themeColor="text1"/>
              </w:rPr>
              <w:t>100.1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C4CBC7" w:rsidR="00461D8C" w:rsidRPr="006A7A6E" w:rsidRDefault="00910CD7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461D8C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7E486F05" w14:textId="5CE2CFF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676EAB">
              <w:rPr>
                <w:rFonts w:cstheme="minorHAnsi"/>
                <w:b/>
                <w:bCs/>
                <w:color w:val="000000" w:themeColor="text1"/>
              </w:rPr>
              <w:t>9.9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73C2346A" w:rsidR="00461D8C" w:rsidRPr="006A7A6E" w:rsidRDefault="00676EAB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-0.5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74CD7F35" w:rsidR="00461D8C" w:rsidRPr="006A7A6E" w:rsidRDefault="00676EAB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21.1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43254101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4A69DA">
              <w:rPr>
                <w:rFonts w:cstheme="minorHAnsi"/>
                <w:b/>
                <w:bCs/>
                <w:color w:val="000000" w:themeColor="text1"/>
              </w:rPr>
              <w:t>14.2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41D93823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4A69DA">
              <w:rPr>
                <w:rFonts w:cstheme="minorHAnsi"/>
                <w:b/>
                <w:bCs/>
                <w:color w:val="000000" w:themeColor="text1"/>
              </w:rPr>
              <w:t>12.1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0E3E4EF2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5B6F4C">
              <w:rPr>
                <w:rFonts w:cstheme="minorHAnsi"/>
                <w:color w:val="000000" w:themeColor="text1"/>
              </w:rPr>
              <w:t>44.8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650335AE" w:rsidR="0004266D" w:rsidRPr="00D96AEE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49.4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237D1465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676EAB">
              <w:rPr>
                <w:rFonts w:cstheme="minorHAnsi"/>
                <w:color w:val="000000" w:themeColor="text1"/>
              </w:rPr>
              <w:t>15.6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223DAA62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76EAB">
              <w:rPr>
                <w:rFonts w:cstheme="minorHAnsi"/>
                <w:color w:val="000000" w:themeColor="text1"/>
              </w:rPr>
              <w:t>11.7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71035B7D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676EAB">
              <w:rPr>
                <w:rFonts w:cstheme="minorHAnsi"/>
                <w:color w:val="000000" w:themeColor="text1"/>
              </w:rPr>
              <w:t>2.0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59FE3EF8" w:rsidR="0004266D" w:rsidRPr="00337F18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56.7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09ABBD08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4A69DA">
              <w:rPr>
                <w:rFonts w:cstheme="minorHAnsi"/>
                <w:color w:val="000000" w:themeColor="text1"/>
              </w:rPr>
              <w:t>18.7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06DEE04B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4A69DA">
              <w:rPr>
                <w:rFonts w:cstheme="minorHAnsi"/>
                <w:color w:val="000000" w:themeColor="text1"/>
              </w:rPr>
              <w:t>20.6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3B54887B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5B6F4C">
              <w:rPr>
                <w:rFonts w:cstheme="minorHAnsi"/>
                <w:color w:val="000000" w:themeColor="text1"/>
              </w:rPr>
              <w:t>5.8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43ADAB2F" w:rsidR="0004266D" w:rsidRPr="00337F18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6A89D680" w:rsidR="0004266D" w:rsidRPr="0004266D" w:rsidRDefault="00676EAB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1815807F" w:rsidR="0004266D" w:rsidRPr="0004266D" w:rsidRDefault="00676EAB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+15.6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5B781A94" w:rsidR="0004266D" w:rsidRPr="0004266D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8.7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2678D046" w:rsidR="0004266D" w:rsidRPr="00337F18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41.3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768CAE0F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4A69DA">
              <w:rPr>
                <w:rFonts w:cstheme="minorHAnsi"/>
                <w:color w:val="000000" w:themeColor="text1"/>
              </w:rPr>
              <w:t>7.3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7EC5B9CE" w:rsidR="0004266D" w:rsidRPr="00D96AEE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+3.3</w:t>
            </w:r>
            <w:r w:rsidR="0004266D"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0F003A67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5B6F4C">
              <w:rPr>
                <w:rFonts w:cstheme="minorHAnsi"/>
                <w:color w:val="000000" w:themeColor="text1"/>
              </w:rPr>
              <w:t>49.4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1A318120" w:rsidR="0004266D" w:rsidRPr="00337F18" w:rsidRDefault="004A69DA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7029A995" w:rsidR="0004266D" w:rsidRPr="0004266D" w:rsidRDefault="00676EAB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-14.4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1DA38FCB" w:rsidR="0004266D" w:rsidRPr="0004266D" w:rsidRDefault="00676EAB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-0.2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0A973FD2" w:rsidR="0004266D" w:rsidRPr="0004266D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17B163E3" w:rsidR="0004266D" w:rsidRPr="00337F18" w:rsidRDefault="004A69DA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  <w:r w:rsidR="00337F18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2801FE27" w:rsidR="0004266D" w:rsidRPr="0004266D" w:rsidRDefault="004A69DA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-14.4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3EE7A993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4A69DA">
              <w:rPr>
                <w:rFonts w:cstheme="minorHAnsi"/>
                <w:color w:val="000000" w:themeColor="text1"/>
              </w:rPr>
              <w:t>12.6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20FBB7D9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694050">
        <w:rPr>
          <w:color w:val="7F7F7F" w:themeColor="text1" w:themeTint="80"/>
          <w:sz w:val="16"/>
          <w:szCs w:val="16"/>
        </w:rPr>
        <w:t>1/29/2023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79EEAA2E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</w:t>
      </w:r>
      <w:r w:rsidR="00030ABF">
        <w:t>is outperforming 16 ounces in growth</w:t>
      </w:r>
      <w:r>
        <w:t>.</w:t>
      </w:r>
    </w:p>
    <w:p w14:paraId="0C66834A" w14:textId="0817DCC8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0356DA">
        <w:t>10.8</w:t>
      </w:r>
      <w:r>
        <w:t xml:space="preserve">% of </w:t>
      </w:r>
      <w:r w:rsidR="00BE7EF2">
        <w:t xml:space="preserve">pounds </w:t>
      </w:r>
      <w:r w:rsidR="00C9550B">
        <w:t>but far outperformed conventional mushrooms in performance</w:t>
      </w:r>
      <w:r w:rsidR="005B6968">
        <w:t xml:space="preserve"> in dollars, units and volume. </w:t>
      </w:r>
    </w:p>
    <w:p w14:paraId="3D702F4A" w14:textId="63E355C9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</w:t>
      </w:r>
      <w:r w:rsidR="00BE7EF2">
        <w:t xml:space="preserve"> or prepared mushrooms made up </w:t>
      </w:r>
      <w:r w:rsidR="00EC7BB4">
        <w:t>48.0</w:t>
      </w:r>
      <w:r w:rsidR="0090410F">
        <w:t xml:space="preserve">% of </w:t>
      </w:r>
      <w:r w:rsidR="00C9550B">
        <w:t xml:space="preserve">pound </w:t>
      </w:r>
      <w:r w:rsidR="0090410F">
        <w:t xml:space="preserve">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347E3A">
        <w:t>.</w:t>
      </w:r>
    </w:p>
    <w:p w14:paraId="5DBFDF80" w14:textId="796AC323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694050">
        <w:rPr>
          <w:color w:val="7F7F7F" w:themeColor="text1" w:themeTint="80"/>
          <w:sz w:val="16"/>
          <w:szCs w:val="16"/>
        </w:rPr>
        <w:t>1/29/2023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A3248"/>
    <w:multiLevelType w:val="hybridMultilevel"/>
    <w:tmpl w:val="63AE63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867910">
    <w:abstractNumId w:val="5"/>
  </w:num>
  <w:num w:numId="2" w16cid:durableId="369191920">
    <w:abstractNumId w:val="6"/>
  </w:num>
  <w:num w:numId="3" w16cid:durableId="1965843815">
    <w:abstractNumId w:val="8"/>
  </w:num>
  <w:num w:numId="4" w16cid:durableId="1371806210">
    <w:abstractNumId w:val="2"/>
  </w:num>
  <w:num w:numId="5" w16cid:durableId="989597062">
    <w:abstractNumId w:val="9"/>
  </w:num>
  <w:num w:numId="6" w16cid:durableId="1206941745">
    <w:abstractNumId w:val="7"/>
  </w:num>
  <w:num w:numId="7" w16cid:durableId="382947549">
    <w:abstractNumId w:val="3"/>
  </w:num>
  <w:num w:numId="8" w16cid:durableId="1340812830">
    <w:abstractNumId w:val="1"/>
  </w:num>
  <w:num w:numId="9" w16cid:durableId="1934126726">
    <w:abstractNumId w:val="0"/>
  </w:num>
  <w:num w:numId="10" w16cid:durableId="73192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14208"/>
    <w:rsid w:val="00030ABF"/>
    <w:rsid w:val="000356DA"/>
    <w:rsid w:val="00035D16"/>
    <w:rsid w:val="0004266D"/>
    <w:rsid w:val="0005390A"/>
    <w:rsid w:val="0007328F"/>
    <w:rsid w:val="000809C3"/>
    <w:rsid w:val="00085508"/>
    <w:rsid w:val="00085F10"/>
    <w:rsid w:val="000A131F"/>
    <w:rsid w:val="000A4146"/>
    <w:rsid w:val="000C1B2B"/>
    <w:rsid w:val="000C1DF9"/>
    <w:rsid w:val="000C29FA"/>
    <w:rsid w:val="000C3CC4"/>
    <w:rsid w:val="000D7A79"/>
    <w:rsid w:val="000E2A1D"/>
    <w:rsid w:val="000E61FF"/>
    <w:rsid w:val="00102CB4"/>
    <w:rsid w:val="001119BD"/>
    <w:rsid w:val="00113A33"/>
    <w:rsid w:val="00124C8B"/>
    <w:rsid w:val="00124CB7"/>
    <w:rsid w:val="00133971"/>
    <w:rsid w:val="00145E27"/>
    <w:rsid w:val="00164656"/>
    <w:rsid w:val="00170260"/>
    <w:rsid w:val="001A4D44"/>
    <w:rsid w:val="001A601E"/>
    <w:rsid w:val="001B762B"/>
    <w:rsid w:val="001C2FB7"/>
    <w:rsid w:val="001D16CA"/>
    <w:rsid w:val="001D2675"/>
    <w:rsid w:val="001E63B1"/>
    <w:rsid w:val="001F5665"/>
    <w:rsid w:val="002225C6"/>
    <w:rsid w:val="00224A21"/>
    <w:rsid w:val="00240137"/>
    <w:rsid w:val="002437CE"/>
    <w:rsid w:val="00276C09"/>
    <w:rsid w:val="00281498"/>
    <w:rsid w:val="00283DB2"/>
    <w:rsid w:val="00291F75"/>
    <w:rsid w:val="002B7E48"/>
    <w:rsid w:val="002D12AC"/>
    <w:rsid w:val="002F23A1"/>
    <w:rsid w:val="003045B7"/>
    <w:rsid w:val="00312734"/>
    <w:rsid w:val="00322039"/>
    <w:rsid w:val="00337F18"/>
    <w:rsid w:val="00347E3A"/>
    <w:rsid w:val="00362BB1"/>
    <w:rsid w:val="003758F2"/>
    <w:rsid w:val="00396448"/>
    <w:rsid w:val="003C1DD2"/>
    <w:rsid w:val="003C243B"/>
    <w:rsid w:val="003C72DD"/>
    <w:rsid w:val="003D3BDA"/>
    <w:rsid w:val="003D6A0F"/>
    <w:rsid w:val="003E2F1A"/>
    <w:rsid w:val="003E3694"/>
    <w:rsid w:val="003E61D0"/>
    <w:rsid w:val="003F77CF"/>
    <w:rsid w:val="00403666"/>
    <w:rsid w:val="00417945"/>
    <w:rsid w:val="00421D7D"/>
    <w:rsid w:val="00426A88"/>
    <w:rsid w:val="0043260C"/>
    <w:rsid w:val="00445779"/>
    <w:rsid w:val="004462C1"/>
    <w:rsid w:val="00451263"/>
    <w:rsid w:val="00455F77"/>
    <w:rsid w:val="0045625B"/>
    <w:rsid w:val="00461D8C"/>
    <w:rsid w:val="00467FB5"/>
    <w:rsid w:val="00472B02"/>
    <w:rsid w:val="0047570E"/>
    <w:rsid w:val="00476C12"/>
    <w:rsid w:val="00483711"/>
    <w:rsid w:val="00485429"/>
    <w:rsid w:val="004A3A95"/>
    <w:rsid w:val="004A50D2"/>
    <w:rsid w:val="004A69DA"/>
    <w:rsid w:val="004B6371"/>
    <w:rsid w:val="004B7951"/>
    <w:rsid w:val="004C2808"/>
    <w:rsid w:val="004E6889"/>
    <w:rsid w:val="00504377"/>
    <w:rsid w:val="005049A9"/>
    <w:rsid w:val="005155D6"/>
    <w:rsid w:val="00525F06"/>
    <w:rsid w:val="00527BE9"/>
    <w:rsid w:val="0054182D"/>
    <w:rsid w:val="00541AFF"/>
    <w:rsid w:val="00543607"/>
    <w:rsid w:val="00552C5D"/>
    <w:rsid w:val="005547EE"/>
    <w:rsid w:val="00555250"/>
    <w:rsid w:val="005571F3"/>
    <w:rsid w:val="005A3316"/>
    <w:rsid w:val="005A54F2"/>
    <w:rsid w:val="005B4D2F"/>
    <w:rsid w:val="005B6968"/>
    <w:rsid w:val="005B6F4C"/>
    <w:rsid w:val="005C6AEE"/>
    <w:rsid w:val="005E1A66"/>
    <w:rsid w:val="005E5127"/>
    <w:rsid w:val="005F1173"/>
    <w:rsid w:val="006035CB"/>
    <w:rsid w:val="00611075"/>
    <w:rsid w:val="00615709"/>
    <w:rsid w:val="00621E2A"/>
    <w:rsid w:val="00632993"/>
    <w:rsid w:val="00645A58"/>
    <w:rsid w:val="006617FB"/>
    <w:rsid w:val="00666D40"/>
    <w:rsid w:val="00676EAB"/>
    <w:rsid w:val="00677889"/>
    <w:rsid w:val="00694050"/>
    <w:rsid w:val="006A7A6E"/>
    <w:rsid w:val="006F1F55"/>
    <w:rsid w:val="00706FA9"/>
    <w:rsid w:val="0071051A"/>
    <w:rsid w:val="00710E42"/>
    <w:rsid w:val="00730897"/>
    <w:rsid w:val="00731BCD"/>
    <w:rsid w:val="00734289"/>
    <w:rsid w:val="00763F55"/>
    <w:rsid w:val="00767FF4"/>
    <w:rsid w:val="007717B3"/>
    <w:rsid w:val="00774CCD"/>
    <w:rsid w:val="0077745E"/>
    <w:rsid w:val="00782D09"/>
    <w:rsid w:val="007A0B40"/>
    <w:rsid w:val="007D0779"/>
    <w:rsid w:val="007D30DA"/>
    <w:rsid w:val="007D33D8"/>
    <w:rsid w:val="007D3D1C"/>
    <w:rsid w:val="007F098A"/>
    <w:rsid w:val="007F1F55"/>
    <w:rsid w:val="00826014"/>
    <w:rsid w:val="00832F0A"/>
    <w:rsid w:val="00837283"/>
    <w:rsid w:val="00851AC9"/>
    <w:rsid w:val="0086198D"/>
    <w:rsid w:val="0086536E"/>
    <w:rsid w:val="00867532"/>
    <w:rsid w:val="00873884"/>
    <w:rsid w:val="00890133"/>
    <w:rsid w:val="008A084A"/>
    <w:rsid w:val="008A18E9"/>
    <w:rsid w:val="008A1DBB"/>
    <w:rsid w:val="008A56E2"/>
    <w:rsid w:val="008B128D"/>
    <w:rsid w:val="008B633D"/>
    <w:rsid w:val="008B7FFD"/>
    <w:rsid w:val="008D2A48"/>
    <w:rsid w:val="009040DB"/>
    <w:rsid w:val="0090410F"/>
    <w:rsid w:val="00910CD7"/>
    <w:rsid w:val="0092088E"/>
    <w:rsid w:val="00927EAC"/>
    <w:rsid w:val="0094219B"/>
    <w:rsid w:val="00942D18"/>
    <w:rsid w:val="00957F25"/>
    <w:rsid w:val="00972570"/>
    <w:rsid w:val="00977F7F"/>
    <w:rsid w:val="009B0330"/>
    <w:rsid w:val="009B7AC3"/>
    <w:rsid w:val="009D3B25"/>
    <w:rsid w:val="009D5574"/>
    <w:rsid w:val="00A00697"/>
    <w:rsid w:val="00A13601"/>
    <w:rsid w:val="00A14586"/>
    <w:rsid w:val="00A42294"/>
    <w:rsid w:val="00A5084B"/>
    <w:rsid w:val="00A51F5B"/>
    <w:rsid w:val="00A52EB4"/>
    <w:rsid w:val="00A53BAA"/>
    <w:rsid w:val="00A657C4"/>
    <w:rsid w:val="00A668C3"/>
    <w:rsid w:val="00A72B72"/>
    <w:rsid w:val="00A94A88"/>
    <w:rsid w:val="00A96E20"/>
    <w:rsid w:val="00AA721E"/>
    <w:rsid w:val="00AC2C09"/>
    <w:rsid w:val="00AD30B8"/>
    <w:rsid w:val="00AD7044"/>
    <w:rsid w:val="00AE0F54"/>
    <w:rsid w:val="00AF14BD"/>
    <w:rsid w:val="00AF55E3"/>
    <w:rsid w:val="00B01074"/>
    <w:rsid w:val="00B03343"/>
    <w:rsid w:val="00B13706"/>
    <w:rsid w:val="00B24AEA"/>
    <w:rsid w:val="00B25DFD"/>
    <w:rsid w:val="00B34B58"/>
    <w:rsid w:val="00B34EF7"/>
    <w:rsid w:val="00B40C43"/>
    <w:rsid w:val="00B54448"/>
    <w:rsid w:val="00B562D5"/>
    <w:rsid w:val="00B579DA"/>
    <w:rsid w:val="00B979CF"/>
    <w:rsid w:val="00BB197D"/>
    <w:rsid w:val="00BC34B2"/>
    <w:rsid w:val="00BE7EF2"/>
    <w:rsid w:val="00BF5D9C"/>
    <w:rsid w:val="00BF713B"/>
    <w:rsid w:val="00C00BDC"/>
    <w:rsid w:val="00C206CB"/>
    <w:rsid w:val="00C329D7"/>
    <w:rsid w:val="00C4476C"/>
    <w:rsid w:val="00C71FDD"/>
    <w:rsid w:val="00C81CBF"/>
    <w:rsid w:val="00C8545B"/>
    <w:rsid w:val="00C9550B"/>
    <w:rsid w:val="00CB0BBD"/>
    <w:rsid w:val="00CB4067"/>
    <w:rsid w:val="00CB6109"/>
    <w:rsid w:val="00CE27CF"/>
    <w:rsid w:val="00D03B05"/>
    <w:rsid w:val="00D1241B"/>
    <w:rsid w:val="00D22E21"/>
    <w:rsid w:val="00D26DE8"/>
    <w:rsid w:val="00D4752E"/>
    <w:rsid w:val="00D53FFF"/>
    <w:rsid w:val="00D55AB1"/>
    <w:rsid w:val="00D66EF8"/>
    <w:rsid w:val="00D81FBA"/>
    <w:rsid w:val="00D8225F"/>
    <w:rsid w:val="00D86540"/>
    <w:rsid w:val="00D9097A"/>
    <w:rsid w:val="00D96AEE"/>
    <w:rsid w:val="00D97BC7"/>
    <w:rsid w:val="00DB764D"/>
    <w:rsid w:val="00DD58ED"/>
    <w:rsid w:val="00E20285"/>
    <w:rsid w:val="00E20E22"/>
    <w:rsid w:val="00E34CF4"/>
    <w:rsid w:val="00E4438B"/>
    <w:rsid w:val="00E453B9"/>
    <w:rsid w:val="00E508BB"/>
    <w:rsid w:val="00E57C49"/>
    <w:rsid w:val="00E629E0"/>
    <w:rsid w:val="00E65269"/>
    <w:rsid w:val="00E65A4C"/>
    <w:rsid w:val="00E758A0"/>
    <w:rsid w:val="00EB30C7"/>
    <w:rsid w:val="00EC7BB4"/>
    <w:rsid w:val="00EE6E4D"/>
    <w:rsid w:val="00EF1E09"/>
    <w:rsid w:val="00EF25E4"/>
    <w:rsid w:val="00F02776"/>
    <w:rsid w:val="00F0742E"/>
    <w:rsid w:val="00F26DD2"/>
    <w:rsid w:val="00F31101"/>
    <w:rsid w:val="00F4460A"/>
    <w:rsid w:val="00F47EA1"/>
    <w:rsid w:val="00F57DFC"/>
    <w:rsid w:val="00F676DE"/>
    <w:rsid w:val="00F812F9"/>
    <w:rsid w:val="00F86B08"/>
    <w:rsid w:val="00F96C98"/>
    <w:rsid w:val="00FA1CDF"/>
    <w:rsid w:val="00FA4F6E"/>
    <w:rsid w:val="00FB15C0"/>
    <w:rsid w:val="00FC53C7"/>
    <w:rsid w:val="00FF2D4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character" w:styleId="CommentReference">
    <w:name w:val="annotation reference"/>
    <w:basedOn w:val="DefaultParagraphFont"/>
    <w:uiPriority w:val="99"/>
    <w:semiHidden/>
    <w:unhideWhenUsed/>
    <w:rsid w:val="001F5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12</cp:revision>
  <dcterms:created xsi:type="dcterms:W3CDTF">2023-02-12T16:58:00Z</dcterms:created>
  <dcterms:modified xsi:type="dcterms:W3CDTF">2023-02-15T14:59:00Z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