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1E292A7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5C3EE1D0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 xml:space="preserve">; </w:t>
      </w:r>
      <w:r w:rsidR="00BE58DB">
        <w:rPr>
          <w:sz w:val="44"/>
          <w:szCs w:val="44"/>
        </w:rPr>
        <w:t>2022</w:t>
      </w:r>
      <w:r w:rsidR="00D22E21">
        <w:rPr>
          <w:sz w:val="44"/>
          <w:szCs w:val="44"/>
        </w:rPr>
        <w:t xml:space="preserve"> and </w:t>
      </w:r>
      <w:r w:rsidR="000C3CC4" w:rsidRPr="000C3CC4">
        <w:rPr>
          <w:sz w:val="44"/>
          <w:szCs w:val="44"/>
        </w:rPr>
        <w:t xml:space="preserve">4 </w:t>
      </w:r>
      <w:proofErr w:type="spellStart"/>
      <w:r w:rsidR="000C3CC4" w:rsidRPr="000C3CC4">
        <w:rPr>
          <w:sz w:val="44"/>
          <w:szCs w:val="44"/>
        </w:rPr>
        <w:t>w</w:t>
      </w:r>
      <w:r w:rsidR="00D22E21">
        <w:rPr>
          <w:sz w:val="44"/>
          <w:szCs w:val="44"/>
        </w:rPr>
        <w:t>.e</w:t>
      </w:r>
      <w:proofErr w:type="spellEnd"/>
      <w:r w:rsidR="00D22E21">
        <w:rPr>
          <w:sz w:val="44"/>
          <w:szCs w:val="44"/>
        </w:rPr>
        <w:t>.</w:t>
      </w:r>
      <w:r w:rsidR="000C3CC4" w:rsidRPr="000C3CC4">
        <w:rPr>
          <w:sz w:val="44"/>
          <w:szCs w:val="44"/>
        </w:rPr>
        <w:t xml:space="preserve"> </w:t>
      </w:r>
      <w:r w:rsidR="00445779">
        <w:rPr>
          <w:sz w:val="44"/>
          <w:szCs w:val="44"/>
        </w:rPr>
        <w:t>1.1.2023</w:t>
      </w:r>
    </w:p>
    <w:p w14:paraId="022A5B42" w14:textId="605814EC" w:rsidR="00B34EF7" w:rsidRDefault="00B34EF7" w:rsidP="00B34EF7">
      <w:pPr>
        <w:pStyle w:val="NoSpacing"/>
      </w:pPr>
    </w:p>
    <w:p w14:paraId="5B083E85" w14:textId="64A361CA" w:rsidR="00F86B08" w:rsidRDefault="00F86B08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The Marketplace</w:t>
      </w:r>
    </w:p>
    <w:p w14:paraId="19A619BE" w14:textId="77777777" w:rsidR="00E27066" w:rsidRDefault="00BE58DB" w:rsidP="00BE58DB">
      <w:pPr>
        <w:pStyle w:val="NoSpacing"/>
      </w:pPr>
      <w:r w:rsidRPr="00BE58DB">
        <w:t xml:space="preserve">The year ended the way it started, with inflation taking the headlines. </w:t>
      </w:r>
    </w:p>
    <w:p w14:paraId="68F11070" w14:textId="77777777" w:rsidR="00E27066" w:rsidRDefault="00BE58DB" w:rsidP="00E27066">
      <w:pPr>
        <w:pStyle w:val="NoSpacing"/>
        <w:numPr>
          <w:ilvl w:val="0"/>
          <w:numId w:val="8"/>
        </w:numPr>
      </w:pPr>
      <w:r w:rsidRPr="00BE58DB">
        <w:t xml:space="preserve">According to the December IRI primary shopper survey, 93% believe groceries cost somewhat or a lot more than last year and 97% are somewhat or a lot concerned about it </w:t>
      </w:r>
      <w:r>
        <w:t>—</w:t>
      </w:r>
      <w:r w:rsidRPr="00BE58DB">
        <w:t xml:space="preserve"> lower-income households in particular.</w:t>
      </w:r>
    </w:p>
    <w:p w14:paraId="124A178A" w14:textId="77777777" w:rsidR="00E27066" w:rsidRDefault="00BE58DB" w:rsidP="00BE58DB">
      <w:pPr>
        <w:pStyle w:val="NoSpacing"/>
        <w:numPr>
          <w:ilvl w:val="0"/>
          <w:numId w:val="8"/>
        </w:numPr>
      </w:pPr>
      <w:r w:rsidRPr="00BE58DB">
        <w:t>Inflationary pressure on income is real: 43% of consumers say their current financial situation is worse than last year. Additionally, 31% expect it to be worse a year from now versus 27% who believe it will be better.</w:t>
      </w:r>
    </w:p>
    <w:p w14:paraId="5AB13B17" w14:textId="77777777" w:rsidR="00E27066" w:rsidRDefault="00BE58DB" w:rsidP="004C5141">
      <w:pPr>
        <w:pStyle w:val="NoSpacing"/>
        <w:numPr>
          <w:ilvl w:val="0"/>
          <w:numId w:val="8"/>
        </w:numPr>
      </w:pPr>
      <w:r w:rsidRPr="00BE58DB">
        <w:t>This has prompted a host of money-saving measures when buying groceries among 82% of Americans, such as buying what’s on sale (53%), cutting back on non-essentials (45%), looking for coupons (35%) and switching to store brand items (31%).</w:t>
      </w:r>
    </w:p>
    <w:p w14:paraId="6D55A718" w14:textId="77777777" w:rsidR="008147CB" w:rsidRDefault="00BE58DB" w:rsidP="006129C5">
      <w:pPr>
        <w:pStyle w:val="NoSpacing"/>
        <w:numPr>
          <w:ilvl w:val="0"/>
          <w:numId w:val="8"/>
        </w:numPr>
      </w:pPr>
      <w:r w:rsidRPr="00BE58DB">
        <w:t xml:space="preserve">December </w:t>
      </w:r>
      <w:r w:rsidR="00E27066">
        <w:t xml:space="preserve">saw a </w:t>
      </w:r>
      <w:r w:rsidRPr="00BE58DB">
        <w:t>sharp uptick in the estimated share of meals prepared at home</w:t>
      </w:r>
      <w:r w:rsidR="00E27066">
        <w:t xml:space="preserve"> to </w:t>
      </w:r>
      <w:r w:rsidRPr="00BE58DB">
        <w:t xml:space="preserve">81.5%. Holiday occasions as well as the recent increase in flu and COVID cases could be influencing factors. </w:t>
      </w:r>
    </w:p>
    <w:p w14:paraId="70DA61F4" w14:textId="77777777" w:rsidR="008147CB" w:rsidRDefault="008147CB" w:rsidP="006129C5">
      <w:pPr>
        <w:pStyle w:val="NoSpacing"/>
        <w:numPr>
          <w:ilvl w:val="0"/>
          <w:numId w:val="8"/>
        </w:numPr>
      </w:pPr>
      <w:r>
        <w:t>T</w:t>
      </w:r>
      <w:r w:rsidR="00BE58DB" w:rsidRPr="00BE58DB">
        <w:t>he share of households who purchased restaurant meals</w:t>
      </w:r>
      <w:r>
        <w:t xml:space="preserve"> dropped from </w:t>
      </w:r>
      <w:r w:rsidR="00BE58DB" w:rsidRPr="00BE58DB">
        <w:t xml:space="preserve">80% in November to 76% in December. Takeout (52%) and eating on premise (46%) were the most common ways to purchase restaurant meals, with delivery more popular among younger consumers. </w:t>
      </w:r>
    </w:p>
    <w:p w14:paraId="6AEB6A9B" w14:textId="7347571A" w:rsidR="00F86B08" w:rsidRDefault="00BE58DB" w:rsidP="00935108">
      <w:pPr>
        <w:pStyle w:val="NoSpacing"/>
        <w:numPr>
          <w:ilvl w:val="0"/>
          <w:numId w:val="8"/>
        </w:numPr>
      </w:pPr>
      <w:r w:rsidRPr="00BE58DB">
        <w:t xml:space="preserve">Lunch is one of the areas where consumers are looking to save on restaurant meals. Among away-from-home workers, 38% packed lunch more often. At the same time, 25% looked for lower-cost options and 25% for what’s on sale when deciding what to take to work for lunch. </w:t>
      </w:r>
    </w:p>
    <w:p w14:paraId="12E57184" w14:textId="77777777" w:rsidR="008147CB" w:rsidRDefault="008147CB" w:rsidP="008147CB">
      <w:pPr>
        <w:pStyle w:val="NoSpacing"/>
        <w:ind w:left="360"/>
      </w:pPr>
    </w:p>
    <w:p w14:paraId="737234D5" w14:textId="7E09DA4A" w:rsidR="00927EAC" w:rsidRPr="00927EAC" w:rsidRDefault="00927EAC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Dollars, Units and Volume Performance</w:t>
      </w:r>
    </w:p>
    <w:p w14:paraId="39C5E7B3" w14:textId="07E2417B" w:rsidR="00826014" w:rsidRDefault="005A3316" w:rsidP="00472B02">
      <w:pPr>
        <w:pStyle w:val="NoSpacing"/>
      </w:pPr>
      <w:r>
        <w:t xml:space="preserve">The </w:t>
      </w:r>
      <w:r w:rsidR="00826014">
        <w:t xml:space="preserve">persistent </w:t>
      </w:r>
      <w:r>
        <w:t>high</w:t>
      </w:r>
      <w:r w:rsidR="00826014">
        <w:t xml:space="preserve"> level of</w:t>
      </w:r>
      <w:r>
        <w:t xml:space="preserve"> inflation is </w:t>
      </w:r>
      <w:r w:rsidR="00826014">
        <w:t>continuing the now familiar sales patterns for most departments around the store, including fresh produce</w:t>
      </w:r>
      <w:r w:rsidR="005B42B7">
        <w:t>. In 2022, the produce department reached $75 billion, up 4.8</w:t>
      </w:r>
      <w:r w:rsidR="000C1DF9">
        <w:t xml:space="preserve">% </w:t>
      </w:r>
      <w:r w:rsidR="00826014">
        <w:t>year-on-year</w:t>
      </w:r>
      <w:r w:rsidR="005B42B7">
        <w:t xml:space="preserve">. However, pound sales were down 3.6% and fell below 2021 and 2020 levels. In the fourth quarter, </w:t>
      </w:r>
      <w:r w:rsidR="00826014">
        <w:t>dollar gains for fresh produce were below that of total food and beverages as inflation is slowing down rapidly</w:t>
      </w:r>
      <w:r w:rsidR="00030ABF">
        <w:t xml:space="preserve"> on the fruit side</w:t>
      </w:r>
      <w:r w:rsidR="00826014">
        <w:t>. Additionally, fresh fruit and vegetables lost share to frozen and canned as consumers emphasized price and shelf-life</w:t>
      </w:r>
      <w:r w:rsidR="00030ABF">
        <w:t xml:space="preserve">. </w:t>
      </w:r>
      <w:r w:rsidR="005B42B7">
        <w:t xml:space="preserve">Total produce department patterns have an impact on commodity-specific patterns also. </w:t>
      </w:r>
    </w:p>
    <w:p w14:paraId="38CFFFCE" w14:textId="77777777" w:rsidR="00826014" w:rsidRDefault="00826014" w:rsidP="00472B02">
      <w:pPr>
        <w:pStyle w:val="NoSpacing"/>
      </w:pPr>
    </w:p>
    <w:p w14:paraId="47797D03" w14:textId="502A3FA8" w:rsidR="00472B02" w:rsidRDefault="007D30DA" w:rsidP="00472B02">
      <w:pPr>
        <w:pStyle w:val="NoSpacing"/>
      </w:pPr>
      <w:r>
        <w:t>For the four weeks</w:t>
      </w:r>
      <w:r w:rsidR="00F4460A">
        <w:t xml:space="preserve"> ending </w:t>
      </w:r>
      <w:r w:rsidR="00445779">
        <w:t>January 1</w:t>
      </w:r>
      <w:r w:rsidR="00445779" w:rsidRPr="00445779">
        <w:rPr>
          <w:vertAlign w:val="superscript"/>
        </w:rPr>
        <w:t>st</w:t>
      </w:r>
      <w:r w:rsidR="00445779">
        <w:t>, 2023</w:t>
      </w:r>
      <w:r>
        <w:t xml:space="preserve">, </w:t>
      </w:r>
      <w:r w:rsidR="00124C8B">
        <w:t xml:space="preserve">fresh mushroom </w:t>
      </w:r>
      <w:r>
        <w:t>d</w:t>
      </w:r>
      <w:r w:rsidR="0092088E">
        <w:t xml:space="preserve">ollars </w:t>
      </w:r>
      <w:r>
        <w:t xml:space="preserve">decreased </w:t>
      </w:r>
      <w:r w:rsidR="007B57F7">
        <w:t>6.8</w:t>
      </w:r>
      <w:r w:rsidR="0092088E">
        <w:t>% year-over</w:t>
      </w:r>
      <w:r w:rsidR="00826014">
        <w:t>-</w:t>
      </w:r>
      <w:r w:rsidR="0092088E">
        <w:t>year</w:t>
      </w:r>
      <w:r w:rsidR="00D26DE8">
        <w:t xml:space="preserve"> </w:t>
      </w:r>
      <w:r w:rsidR="0092088E">
        <w:t xml:space="preserve">and volume declined </w:t>
      </w:r>
      <w:r>
        <w:t xml:space="preserve">by </w:t>
      </w:r>
      <w:r w:rsidR="007B57F7">
        <w:t>11.9</w:t>
      </w:r>
      <w:r w:rsidR="0092088E">
        <w:t>%.</w:t>
      </w:r>
      <w:r w:rsidR="005B42B7">
        <w:t xml:space="preserve"> In calendar year 2022</w:t>
      </w:r>
      <w:r w:rsidR="00910CD7">
        <w:t xml:space="preserve">, dollars were down </w:t>
      </w:r>
      <w:r w:rsidR="00317163">
        <w:t>4.2</w:t>
      </w:r>
      <w:r w:rsidR="00910CD7">
        <w:t xml:space="preserve">% versus year ago and pounds </w:t>
      </w:r>
      <w:r w:rsidR="00317163">
        <w:t>10.6</w:t>
      </w:r>
      <w:r w:rsidR="00EF1E09">
        <w:t xml:space="preserve">%. </w:t>
      </w:r>
      <w:r w:rsidR="00826014">
        <w:t>Dollars remained ahead of 2019 in both the shorter- and longer-term views,</w:t>
      </w:r>
      <w:r w:rsidR="00910CD7">
        <w:t xml:space="preserve"> but pounds are now </w:t>
      </w:r>
      <w:r w:rsidR="00317163">
        <w:t>3.0</w:t>
      </w:r>
      <w:r w:rsidR="00826014">
        <w:t>% behind those of 2019 in the year-to-date views</w:t>
      </w:r>
      <w:r w:rsidR="003F77CF">
        <w:t xml:space="preserve"> and</w:t>
      </w:r>
      <w:r w:rsidR="00910CD7">
        <w:t xml:space="preserve"> </w:t>
      </w:r>
      <w:r w:rsidR="00317163">
        <w:t>10.4</w:t>
      </w:r>
      <w:r w:rsidR="00030ABF">
        <w:t>% in the quad-week view versus pre-pandemic</w:t>
      </w:r>
      <w:r w:rsidR="00826014">
        <w:t xml:space="preserve">. </w:t>
      </w:r>
    </w:p>
    <w:p w14:paraId="40FAA348" w14:textId="6A56CCC2" w:rsidR="00AD7044" w:rsidRDefault="00AD7044" w:rsidP="00472B02">
      <w:pPr>
        <w:pStyle w:val="NoSpacing"/>
      </w:pPr>
    </w:p>
    <w:tbl>
      <w:tblPr>
        <w:tblStyle w:val="ListTable3-Accent2"/>
        <w:tblW w:w="10054" w:type="dxa"/>
        <w:tblLook w:val="04A0" w:firstRow="1" w:lastRow="0" w:firstColumn="1" w:lastColumn="0" w:noHBand="0" w:noVBand="1"/>
      </w:tblPr>
      <w:tblGrid>
        <w:gridCol w:w="1795"/>
        <w:gridCol w:w="1710"/>
        <w:gridCol w:w="1200"/>
        <w:gridCol w:w="1102"/>
        <w:gridCol w:w="1817"/>
        <w:gridCol w:w="135"/>
        <w:gridCol w:w="1098"/>
        <w:gridCol w:w="27"/>
        <w:gridCol w:w="1170"/>
      </w:tblGrid>
      <w:tr w:rsidR="00AD7044" w:rsidRPr="00124CB7" w14:paraId="5D073D77" w14:textId="77777777" w:rsidTr="00052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</w:tcPr>
          <w:p w14:paraId="0624EE87" w14:textId="77777777" w:rsidR="00AD7044" w:rsidRPr="00124CB7" w:rsidRDefault="00AD7044" w:rsidP="00AD704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10" w:type="dxa"/>
          </w:tcPr>
          <w:p w14:paraId="51DF6E55" w14:textId="1EBFB920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445779">
              <w:t>1/1/2023</w:t>
            </w:r>
          </w:p>
        </w:tc>
        <w:tc>
          <w:tcPr>
            <w:tcW w:w="1200" w:type="dxa"/>
          </w:tcPr>
          <w:p w14:paraId="0398A30D" w14:textId="77777777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11B3D9FB" w14:textId="77777777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>
              <w:t>19</w:t>
            </w:r>
          </w:p>
        </w:tc>
        <w:tc>
          <w:tcPr>
            <w:tcW w:w="1952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0551589D" w14:textId="77777777" w:rsidR="008855C4" w:rsidRDefault="008855C4" w:rsidP="007B57F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BBE24C3" w14:textId="28CE16E7" w:rsidR="00AD7044" w:rsidRPr="00124CB7" w:rsidRDefault="008701E5" w:rsidP="007B57F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2022 </w:t>
            </w:r>
          </w:p>
        </w:tc>
        <w:tc>
          <w:tcPr>
            <w:tcW w:w="1098" w:type="dxa"/>
          </w:tcPr>
          <w:p w14:paraId="0895179F" w14:textId="77777777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2021</w:t>
            </w:r>
          </w:p>
        </w:tc>
        <w:tc>
          <w:tcPr>
            <w:tcW w:w="1197" w:type="dxa"/>
            <w:gridSpan w:val="2"/>
          </w:tcPr>
          <w:p w14:paraId="5AB7ECE0" w14:textId="77777777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2019</w:t>
            </w:r>
          </w:p>
        </w:tc>
      </w:tr>
      <w:tr w:rsidR="00AD7044" w14:paraId="22401D5B" w14:textId="77777777" w:rsidTr="00052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9CDF43D" w14:textId="77777777" w:rsidR="00AD7044" w:rsidRPr="00124CB7" w:rsidRDefault="00AD7044" w:rsidP="00AD704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Dollars</w:t>
            </w:r>
          </w:p>
        </w:tc>
        <w:tc>
          <w:tcPr>
            <w:tcW w:w="1710" w:type="dxa"/>
          </w:tcPr>
          <w:p w14:paraId="6D1FCB95" w14:textId="52C14FD4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AF67BA">
              <w:t>100</w:t>
            </w:r>
            <w:r w:rsidR="00AD7044">
              <w:t xml:space="preserve"> million</w:t>
            </w:r>
          </w:p>
        </w:tc>
        <w:tc>
          <w:tcPr>
            <w:tcW w:w="1200" w:type="dxa"/>
          </w:tcPr>
          <w:p w14:paraId="77D2040B" w14:textId="0005271D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F3EE5">
              <w:t>6.8</w:t>
            </w:r>
            <w:r w:rsidR="00AD7044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EF21002" w14:textId="56B2E279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AF3EE5">
              <w:t>2.0</w:t>
            </w:r>
            <w:r w:rsidR="00AD7044">
              <w:t>%</w:t>
            </w:r>
          </w:p>
        </w:tc>
        <w:tc>
          <w:tcPr>
            <w:tcW w:w="1817" w:type="dxa"/>
            <w:tcBorders>
              <w:left w:val="single" w:sz="4" w:space="0" w:color="ED7D31" w:themeColor="accent2"/>
            </w:tcBorders>
          </w:tcPr>
          <w:p w14:paraId="375CF9DD" w14:textId="2FF8F493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D260B5">
              <w:t>1.3</w:t>
            </w:r>
            <w:r w:rsidR="00AD7044">
              <w:t xml:space="preserve"> billion</w:t>
            </w:r>
          </w:p>
        </w:tc>
        <w:tc>
          <w:tcPr>
            <w:tcW w:w="1260" w:type="dxa"/>
            <w:gridSpan w:val="3"/>
          </w:tcPr>
          <w:p w14:paraId="04EA64A9" w14:textId="7F5869C2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D260B5">
              <w:t>4.2</w:t>
            </w:r>
            <w:r w:rsidR="00AD7044">
              <w:t>%</w:t>
            </w:r>
          </w:p>
        </w:tc>
        <w:tc>
          <w:tcPr>
            <w:tcW w:w="1170" w:type="dxa"/>
          </w:tcPr>
          <w:p w14:paraId="2F2464E9" w14:textId="12117239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D260B5">
              <w:t>8.6</w:t>
            </w:r>
            <w:r w:rsidR="00AD7044">
              <w:t>%</w:t>
            </w:r>
          </w:p>
        </w:tc>
      </w:tr>
      <w:tr w:rsidR="00AD7044" w14:paraId="31FB8D29" w14:textId="77777777" w:rsidTr="00052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0B2F651" w14:textId="77777777" w:rsidR="00AD7044" w:rsidRPr="00124CB7" w:rsidRDefault="00AD7044" w:rsidP="00AD704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Units</w:t>
            </w:r>
          </w:p>
        </w:tc>
        <w:tc>
          <w:tcPr>
            <w:tcW w:w="1710" w:type="dxa"/>
          </w:tcPr>
          <w:p w14:paraId="3CA03520" w14:textId="6A3C83EA" w:rsidR="00AD7044" w:rsidRDefault="00AD7044" w:rsidP="0048542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AF3EE5">
              <w:t xml:space="preserve">32 </w:t>
            </w:r>
            <w:r>
              <w:t>million</w:t>
            </w:r>
          </w:p>
        </w:tc>
        <w:tc>
          <w:tcPr>
            <w:tcW w:w="1200" w:type="dxa"/>
          </w:tcPr>
          <w:p w14:paraId="6922F333" w14:textId="41D19248" w:rsidR="00AD7044" w:rsidRDefault="00910CD7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F3EE5">
              <w:t>14.4</w:t>
            </w:r>
            <w:r w:rsidR="00AD7044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7CD8DEEA" w14:textId="7BA29D98" w:rsidR="00AD7044" w:rsidRDefault="00910CD7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F3EE5">
              <w:t>14.4</w:t>
            </w:r>
            <w:r w:rsidR="00AD7044">
              <w:t>%</w:t>
            </w:r>
          </w:p>
        </w:tc>
        <w:tc>
          <w:tcPr>
            <w:tcW w:w="181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26ECACB9" w14:textId="251F5735" w:rsidR="00AD7044" w:rsidRDefault="00D260B5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  <w:r w:rsidR="00AD7044">
              <w:t xml:space="preserve"> million</w:t>
            </w:r>
          </w:p>
        </w:tc>
        <w:tc>
          <w:tcPr>
            <w:tcW w:w="1260" w:type="dxa"/>
            <w:gridSpan w:val="3"/>
          </w:tcPr>
          <w:p w14:paraId="60AAF678" w14:textId="42F6007C" w:rsidR="00AD7044" w:rsidRDefault="00910CD7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D260B5">
              <w:t>10.6</w:t>
            </w:r>
            <w:r w:rsidR="00AD7044">
              <w:t>%</w:t>
            </w:r>
          </w:p>
        </w:tc>
        <w:tc>
          <w:tcPr>
            <w:tcW w:w="1170" w:type="dxa"/>
          </w:tcPr>
          <w:p w14:paraId="19BE3B74" w14:textId="05BC54E1" w:rsidR="00AD7044" w:rsidRDefault="00910CD7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D260B5">
              <w:t>5.5</w:t>
            </w:r>
            <w:r w:rsidR="00AD7044">
              <w:t>%</w:t>
            </w:r>
          </w:p>
        </w:tc>
      </w:tr>
      <w:tr w:rsidR="00AD7044" w14:paraId="2EB720F3" w14:textId="77777777" w:rsidTr="00052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A632454" w14:textId="77777777" w:rsidR="00AD7044" w:rsidRPr="00124CB7" w:rsidRDefault="00AD7044" w:rsidP="00AD704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Volume</w:t>
            </w:r>
            <w:r>
              <w:rPr>
                <w:b w:val="0"/>
                <w:bCs w:val="0"/>
              </w:rPr>
              <w:t xml:space="preserve"> (pounds)</w:t>
            </w:r>
          </w:p>
        </w:tc>
        <w:tc>
          <w:tcPr>
            <w:tcW w:w="1710" w:type="dxa"/>
          </w:tcPr>
          <w:p w14:paraId="68757A76" w14:textId="167CCBCB" w:rsidR="00AD7044" w:rsidRDefault="00445779" w:rsidP="00AF3EE5">
            <w:pPr>
              <w:pStyle w:val="NoSpacing"/>
              <w:tabs>
                <w:tab w:val="center" w:pos="747"/>
                <w:tab w:val="right" w:pos="14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 w:rsidR="00AF3EE5">
              <w:t xml:space="preserve">            21 </w:t>
            </w:r>
            <w:r w:rsidR="00AD7044">
              <w:t>million</w:t>
            </w:r>
          </w:p>
        </w:tc>
        <w:tc>
          <w:tcPr>
            <w:tcW w:w="1200" w:type="dxa"/>
          </w:tcPr>
          <w:p w14:paraId="7DE7F9CC" w14:textId="26CC56D4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F3EE5">
              <w:t>11.9</w:t>
            </w:r>
            <w:r w:rsidR="00AD7044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7670DC1" w14:textId="4DA96094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F3EE5">
              <w:t>10.4</w:t>
            </w:r>
            <w:r w:rsidR="00AD7044">
              <w:t>%</w:t>
            </w:r>
          </w:p>
        </w:tc>
        <w:tc>
          <w:tcPr>
            <w:tcW w:w="1817" w:type="dxa"/>
            <w:tcBorders>
              <w:left w:val="single" w:sz="4" w:space="0" w:color="ED7D31" w:themeColor="accent2"/>
            </w:tcBorders>
          </w:tcPr>
          <w:p w14:paraId="57878EB0" w14:textId="3D09E3AD" w:rsidR="00AD7044" w:rsidRDefault="00910CD7" w:rsidP="00D260B5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</w:t>
            </w:r>
            <w:r w:rsidR="00D260B5">
              <w:t>272</w:t>
            </w:r>
            <w:r w:rsidR="00AD7044">
              <w:t xml:space="preserve"> million</w:t>
            </w:r>
          </w:p>
        </w:tc>
        <w:tc>
          <w:tcPr>
            <w:tcW w:w="1260" w:type="dxa"/>
            <w:gridSpan w:val="3"/>
          </w:tcPr>
          <w:p w14:paraId="0679CD28" w14:textId="685C319A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D260B5">
              <w:t>10.6</w:t>
            </w:r>
            <w:r w:rsidR="00AD7044">
              <w:t>%</w:t>
            </w:r>
          </w:p>
        </w:tc>
        <w:tc>
          <w:tcPr>
            <w:tcW w:w="1170" w:type="dxa"/>
          </w:tcPr>
          <w:p w14:paraId="09C03B7F" w14:textId="42C82B10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D260B5">
              <w:t>3.0</w:t>
            </w:r>
            <w:r w:rsidR="00AD7044">
              <w:t>%</w:t>
            </w:r>
          </w:p>
        </w:tc>
      </w:tr>
    </w:tbl>
    <w:p w14:paraId="5B1F1AF6" w14:textId="686CE86B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445779">
        <w:rPr>
          <w:color w:val="7F7F7F" w:themeColor="text1" w:themeTint="80"/>
          <w:sz w:val="16"/>
          <w:szCs w:val="16"/>
        </w:rPr>
        <w:t>1/1/2023</w:t>
      </w:r>
    </w:p>
    <w:p w14:paraId="693975F5" w14:textId="5C6F2673" w:rsidR="000809C3" w:rsidRDefault="000809C3" w:rsidP="00472B02">
      <w:pPr>
        <w:pStyle w:val="NoSpacing"/>
      </w:pPr>
    </w:p>
    <w:p w14:paraId="6A743FB2" w14:textId="4FA78193" w:rsidR="000809C3" w:rsidRDefault="00730897" w:rsidP="00FF42F9">
      <w:pPr>
        <w:pStyle w:val="NoSpacing"/>
      </w:pPr>
      <w:r>
        <w:t>W</w:t>
      </w:r>
      <w:r w:rsidR="005547EE">
        <w:t xml:space="preserve">eekly sales </w:t>
      </w:r>
      <w:r>
        <w:t xml:space="preserve">for mushrooms </w:t>
      </w:r>
      <w:r w:rsidR="005B42B7">
        <w:t xml:space="preserve">peaked Christmas week, at $31.3 million versus the typical level of around </w:t>
      </w:r>
      <w:r w:rsidR="00445779">
        <w:t>$</w:t>
      </w:r>
      <w:r w:rsidR="00014271">
        <w:t>22.5</w:t>
      </w:r>
      <w:r w:rsidR="00085508">
        <w:t xml:space="preserve"> million. </w:t>
      </w:r>
      <w:r w:rsidR="005B42B7">
        <w:t xml:space="preserve">New Year’s week also saw an improvement over typical levels. </w:t>
      </w:r>
      <w:r w:rsidR="00704ED8">
        <w:t>However, pounds during the week of Christmas were 7.3% down versus year ago and 6.1% versus the 2019 pre-pandemic level. Sales patterns did hold, but at a lower level than typically seen during this time of year. P</w:t>
      </w:r>
      <w:r w:rsidR="00F47EA1">
        <w:t xml:space="preserve">rior-year patterns show an increase in </w:t>
      </w:r>
      <w:r w:rsidR="00F47EA1">
        <w:lastRenderedPageBreak/>
        <w:t xml:space="preserve">mushroom sales from August through the end of the year </w:t>
      </w:r>
      <w:r w:rsidR="00347E3A">
        <w:t>(see forecast tab)</w:t>
      </w:r>
      <w:r w:rsidR="00677889">
        <w:t xml:space="preserve">. </w:t>
      </w:r>
      <w:r w:rsidR="00085508">
        <w:t xml:space="preserve">This quad week period is typically one of the biggest ones. </w:t>
      </w:r>
    </w:p>
    <w:p w14:paraId="71B34E16" w14:textId="77777777" w:rsidR="00FF42F9" w:rsidRDefault="00FF42F9" w:rsidP="00FF42F9">
      <w:pPr>
        <w:pStyle w:val="NoSpacing"/>
      </w:pPr>
    </w:p>
    <w:tbl>
      <w:tblPr>
        <w:tblStyle w:val="ListTable3-Accent2"/>
        <w:tblW w:w="10382" w:type="dxa"/>
        <w:tblLook w:val="04A0" w:firstRow="1" w:lastRow="0" w:firstColumn="1" w:lastColumn="0" w:noHBand="0" w:noVBand="1"/>
      </w:tblPr>
      <w:tblGrid>
        <w:gridCol w:w="2199"/>
        <w:gridCol w:w="1066"/>
        <w:gridCol w:w="1338"/>
        <w:gridCol w:w="1338"/>
        <w:gridCol w:w="1177"/>
        <w:gridCol w:w="1586"/>
        <w:gridCol w:w="1678"/>
      </w:tblGrid>
      <w:tr w:rsidR="000809C3" w:rsidRPr="00DE633B" w14:paraId="5AF9AC2D" w14:textId="77777777" w:rsidTr="00052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</w:tcPr>
          <w:p w14:paraId="3CBC11F7" w14:textId="77777777" w:rsidR="000809C3" w:rsidRPr="006A7A6E" w:rsidRDefault="000809C3" w:rsidP="000809C3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Fresh mushrooms</w:t>
            </w:r>
          </w:p>
        </w:tc>
        <w:tc>
          <w:tcPr>
            <w:tcW w:w="1066" w:type="dxa"/>
          </w:tcPr>
          <w:p w14:paraId="160A0879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338" w:type="dxa"/>
          </w:tcPr>
          <w:p w14:paraId="19F3D856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Dollar gains vs. 2021</w:t>
            </w:r>
          </w:p>
        </w:tc>
        <w:tc>
          <w:tcPr>
            <w:tcW w:w="1338" w:type="dxa"/>
            <w:tcBorders>
              <w:right w:val="single" w:sz="4" w:space="0" w:color="ED7D31" w:themeColor="accent2"/>
            </w:tcBorders>
          </w:tcPr>
          <w:p w14:paraId="3ABF0E92" w14:textId="6E27270E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Dollar gains vs. 20</w:t>
            </w:r>
            <w:r w:rsidR="00FF42F9">
              <w:rPr>
                <w:rFonts w:cstheme="minorHAnsi"/>
              </w:rPr>
              <w:t>19</w:t>
            </w:r>
          </w:p>
        </w:tc>
        <w:tc>
          <w:tcPr>
            <w:tcW w:w="1177" w:type="dxa"/>
            <w:tcBorders>
              <w:left w:val="single" w:sz="4" w:space="0" w:color="ED7D31" w:themeColor="accent2"/>
            </w:tcBorders>
          </w:tcPr>
          <w:p w14:paraId="4E9EBAC6" w14:textId="64CD0FF1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586" w:type="dxa"/>
          </w:tcPr>
          <w:p w14:paraId="3A701F90" w14:textId="754623E0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Volume gains vs. 2021</w:t>
            </w:r>
          </w:p>
        </w:tc>
        <w:tc>
          <w:tcPr>
            <w:tcW w:w="1678" w:type="dxa"/>
          </w:tcPr>
          <w:p w14:paraId="7A77A4C9" w14:textId="76254015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Volume gains vs. 20</w:t>
            </w:r>
            <w:r w:rsidR="00FF42F9">
              <w:rPr>
                <w:rFonts w:cstheme="minorHAnsi"/>
              </w:rPr>
              <w:t>19</w:t>
            </w:r>
          </w:p>
        </w:tc>
      </w:tr>
      <w:tr w:rsidR="000809C3" w14:paraId="69B1B691" w14:textId="77777777" w:rsidTr="00052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</w:tcPr>
          <w:p w14:paraId="374F2F9C" w14:textId="3FFB803D" w:rsidR="000809C3" w:rsidRPr="006A7A6E" w:rsidRDefault="000C3CC4" w:rsidP="000809C3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4 </w:t>
            </w:r>
            <w:proofErr w:type="spellStart"/>
            <w:r>
              <w:rPr>
                <w:rFonts w:cstheme="minorHAnsi"/>
                <w:color w:val="000000" w:themeColor="text1"/>
              </w:rPr>
              <w:t>w.e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. </w:t>
            </w:r>
            <w:r w:rsidR="00445779">
              <w:rPr>
                <w:rFonts w:cstheme="minorHAnsi"/>
                <w:color w:val="000000" w:themeColor="text1"/>
              </w:rPr>
              <w:t>1/1/2023</w:t>
            </w:r>
          </w:p>
        </w:tc>
        <w:tc>
          <w:tcPr>
            <w:tcW w:w="1066" w:type="dxa"/>
          </w:tcPr>
          <w:p w14:paraId="73E257C6" w14:textId="6D126722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052828">
              <w:rPr>
                <w:rFonts w:cstheme="minorHAnsi"/>
                <w:b/>
                <w:bCs/>
                <w:color w:val="000000" w:themeColor="text1"/>
              </w:rPr>
              <w:t>100.2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338" w:type="dxa"/>
          </w:tcPr>
          <w:p w14:paraId="4D4E3A8B" w14:textId="11577224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014271">
              <w:rPr>
                <w:rFonts w:cstheme="minorHAnsi"/>
                <w:b/>
                <w:bCs/>
                <w:color w:val="000000" w:themeColor="text1"/>
              </w:rPr>
              <w:t>6.8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338" w:type="dxa"/>
            <w:tcBorders>
              <w:right w:val="single" w:sz="4" w:space="0" w:color="ED7D31" w:themeColor="accent2"/>
            </w:tcBorders>
          </w:tcPr>
          <w:p w14:paraId="4D28CAD3" w14:textId="79B75B5B" w:rsidR="000809C3" w:rsidRPr="006A7A6E" w:rsidRDefault="00145E27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+</w:t>
            </w:r>
            <w:r w:rsidR="000F43AC">
              <w:rPr>
                <w:rFonts w:cstheme="minorHAnsi"/>
                <w:b/>
                <w:bCs/>
                <w:color w:val="000000" w:themeColor="text1"/>
              </w:rPr>
              <w:t>2.0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177" w:type="dxa"/>
            <w:tcBorders>
              <w:left w:val="single" w:sz="4" w:space="0" w:color="ED7D31" w:themeColor="accent2"/>
            </w:tcBorders>
          </w:tcPr>
          <w:p w14:paraId="30F9E2CF" w14:textId="44F5D78F" w:rsidR="000809C3" w:rsidRPr="006A7A6E" w:rsidRDefault="00014271" w:rsidP="00014271">
            <w:pPr>
              <w:tabs>
                <w:tab w:val="center" w:pos="480"/>
                <w:tab w:val="right" w:pos="96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ab/>
              <w:t xml:space="preserve">       21.2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586" w:type="dxa"/>
          </w:tcPr>
          <w:p w14:paraId="7D7EF716" w14:textId="71B8691F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014271">
              <w:rPr>
                <w:rFonts w:cstheme="minorHAnsi"/>
                <w:b/>
                <w:bCs/>
                <w:color w:val="000000" w:themeColor="text1"/>
              </w:rPr>
              <w:t>11.9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678" w:type="dxa"/>
          </w:tcPr>
          <w:p w14:paraId="0ADA09AC" w14:textId="2156BCB0" w:rsidR="000809C3" w:rsidRPr="006A7A6E" w:rsidRDefault="0086198D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014271">
              <w:rPr>
                <w:rFonts w:cstheme="minorHAnsi"/>
                <w:b/>
                <w:bCs/>
                <w:color w:val="000000" w:themeColor="text1"/>
              </w:rPr>
              <w:t>10.4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04266D" w14:paraId="4161B78F" w14:textId="77777777" w:rsidTr="0005282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</w:tcPr>
          <w:p w14:paraId="61B5C386" w14:textId="5A055C7F" w:rsidR="0004266D" w:rsidRPr="006A7A6E" w:rsidRDefault="0004266D" w:rsidP="0004266D">
            <w:pPr>
              <w:pStyle w:val="NoSpacing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445779">
              <w:rPr>
                <w:rFonts w:cstheme="minorHAnsi"/>
                <w:b w:val="0"/>
                <w:color w:val="000000" w:themeColor="text1"/>
              </w:rPr>
              <w:t>12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445779">
              <w:rPr>
                <w:rFonts w:cstheme="minorHAnsi"/>
                <w:b w:val="0"/>
                <w:color w:val="000000" w:themeColor="text1"/>
              </w:rPr>
              <w:t>11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066" w:type="dxa"/>
          </w:tcPr>
          <w:p w14:paraId="151AC645" w14:textId="56518245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014271">
              <w:rPr>
                <w:rFonts w:cstheme="minorHAnsi"/>
                <w:color w:val="000000" w:themeColor="text1"/>
              </w:rPr>
              <w:t>22.5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338" w:type="dxa"/>
          </w:tcPr>
          <w:p w14:paraId="3F350FB2" w14:textId="7782EA2A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014271">
              <w:rPr>
                <w:rFonts w:cstheme="minorHAnsi"/>
                <w:color w:val="000000" w:themeColor="text1"/>
              </w:rPr>
              <w:t>6.2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338" w:type="dxa"/>
            <w:tcBorders>
              <w:right w:val="single" w:sz="4" w:space="0" w:color="ED7D31" w:themeColor="accent2"/>
            </w:tcBorders>
          </w:tcPr>
          <w:p w14:paraId="71A7F634" w14:textId="51E1F00E" w:rsidR="0004266D" w:rsidRPr="0004266D" w:rsidRDefault="00FF42F9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014271">
              <w:rPr>
                <w:rFonts w:cstheme="minorHAnsi"/>
                <w:color w:val="000000" w:themeColor="text1"/>
              </w:rPr>
              <w:t>6.4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77" w:type="dxa"/>
            <w:tcBorders>
              <w:left w:val="single" w:sz="4" w:space="0" w:color="ED7D31" w:themeColor="accent2"/>
            </w:tcBorders>
          </w:tcPr>
          <w:p w14:paraId="539D2139" w14:textId="3A33520F" w:rsidR="0004266D" w:rsidRPr="0004266D" w:rsidRDefault="00014271" w:rsidP="00014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  4.8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86" w:type="dxa"/>
          </w:tcPr>
          <w:p w14:paraId="4E107D1E" w14:textId="33F6FC89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014271">
              <w:rPr>
                <w:rFonts w:cstheme="minorHAnsi"/>
                <w:color w:val="000000" w:themeColor="text1"/>
              </w:rPr>
              <w:t>11.8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78" w:type="dxa"/>
          </w:tcPr>
          <w:p w14:paraId="699CD9F0" w14:textId="4484161D" w:rsidR="0004266D" w:rsidRPr="0004266D" w:rsidRDefault="00910CD7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014271">
              <w:rPr>
                <w:rFonts w:cstheme="minorHAnsi"/>
                <w:color w:val="000000" w:themeColor="text1"/>
              </w:rPr>
              <w:t>6.4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46E32385" w14:textId="77777777" w:rsidTr="00052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</w:tcPr>
          <w:p w14:paraId="5CCBCDF3" w14:textId="56B02472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445779">
              <w:rPr>
                <w:rFonts w:cstheme="minorHAnsi"/>
                <w:b w:val="0"/>
                <w:color w:val="000000" w:themeColor="text1"/>
              </w:rPr>
              <w:t>12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445779">
              <w:rPr>
                <w:rFonts w:cstheme="minorHAnsi"/>
                <w:b w:val="0"/>
                <w:color w:val="000000" w:themeColor="text1"/>
              </w:rPr>
              <w:t>18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066" w:type="dxa"/>
          </w:tcPr>
          <w:p w14:paraId="11A8DDCA" w14:textId="1B92B029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014271">
              <w:rPr>
                <w:rFonts w:cstheme="minorHAnsi"/>
                <w:color w:val="000000" w:themeColor="text1"/>
              </w:rPr>
              <w:t>22.7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338" w:type="dxa"/>
          </w:tcPr>
          <w:p w14:paraId="16514130" w14:textId="23CB9465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014271">
              <w:rPr>
                <w:rFonts w:cstheme="minorHAnsi"/>
                <w:color w:val="000000" w:themeColor="text1"/>
              </w:rPr>
              <w:t>7.7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338" w:type="dxa"/>
            <w:tcBorders>
              <w:right w:val="single" w:sz="4" w:space="0" w:color="ED7D31" w:themeColor="accent2"/>
            </w:tcBorders>
          </w:tcPr>
          <w:p w14:paraId="463E87C2" w14:textId="281FEB51" w:rsidR="005547EE" w:rsidRPr="0004266D" w:rsidRDefault="000F43AC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014271">
              <w:rPr>
                <w:rFonts w:cstheme="minorHAnsi"/>
                <w:color w:val="000000" w:themeColor="text1"/>
              </w:rPr>
              <w:t>10.7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77" w:type="dxa"/>
            <w:tcBorders>
              <w:left w:val="single" w:sz="4" w:space="0" w:color="ED7D31" w:themeColor="accent2"/>
            </w:tcBorders>
          </w:tcPr>
          <w:p w14:paraId="67EAF597" w14:textId="72C639DF" w:rsidR="005547EE" w:rsidRPr="0004266D" w:rsidRDefault="00014271" w:rsidP="00014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  4.8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86" w:type="dxa"/>
          </w:tcPr>
          <w:p w14:paraId="3BDC9313" w14:textId="3D0F634C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014271">
              <w:rPr>
                <w:rFonts w:cstheme="minorHAnsi"/>
                <w:color w:val="000000" w:themeColor="text1"/>
              </w:rPr>
              <w:t>13.1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78" w:type="dxa"/>
          </w:tcPr>
          <w:p w14:paraId="180304FD" w14:textId="7A8DAB05" w:rsidR="005547EE" w:rsidRPr="0004266D" w:rsidRDefault="00145E27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014271">
              <w:rPr>
                <w:rFonts w:cstheme="minorHAnsi"/>
                <w:color w:val="000000" w:themeColor="text1"/>
              </w:rPr>
              <w:t>21.4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29C076C3" w14:textId="77777777" w:rsidTr="0005282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</w:tcPr>
          <w:p w14:paraId="12D67558" w14:textId="67C86733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445779">
              <w:rPr>
                <w:rFonts w:cstheme="minorHAnsi"/>
                <w:b w:val="0"/>
                <w:color w:val="000000" w:themeColor="text1"/>
              </w:rPr>
              <w:t>12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445779">
              <w:rPr>
                <w:rFonts w:cstheme="minorHAnsi"/>
                <w:b w:val="0"/>
                <w:color w:val="000000" w:themeColor="text1"/>
              </w:rPr>
              <w:t>25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066" w:type="dxa"/>
          </w:tcPr>
          <w:p w14:paraId="48606425" w14:textId="26C7DFFC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014271">
              <w:rPr>
                <w:rFonts w:cstheme="minorHAnsi"/>
                <w:color w:val="000000" w:themeColor="text1"/>
              </w:rPr>
              <w:t>31.3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338" w:type="dxa"/>
          </w:tcPr>
          <w:p w14:paraId="34EEBB9B" w14:textId="6B092A23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014271">
              <w:rPr>
                <w:rFonts w:cstheme="minorHAnsi"/>
                <w:color w:val="000000" w:themeColor="text1"/>
              </w:rPr>
              <w:t>2.0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338" w:type="dxa"/>
            <w:tcBorders>
              <w:right w:val="single" w:sz="4" w:space="0" w:color="ED7D31" w:themeColor="accent2"/>
            </w:tcBorders>
          </w:tcPr>
          <w:p w14:paraId="459FECD2" w14:textId="3CACC7ED" w:rsidR="005547EE" w:rsidRPr="0004266D" w:rsidRDefault="00145E27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014271">
              <w:rPr>
                <w:rFonts w:cstheme="minorHAnsi"/>
                <w:color w:val="000000" w:themeColor="text1"/>
              </w:rPr>
              <w:t>20.3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77" w:type="dxa"/>
            <w:tcBorders>
              <w:left w:val="single" w:sz="4" w:space="0" w:color="ED7D31" w:themeColor="accent2"/>
            </w:tcBorders>
          </w:tcPr>
          <w:p w14:paraId="234D0105" w14:textId="507C215C" w:rsidR="005547EE" w:rsidRPr="0004266D" w:rsidRDefault="00014271" w:rsidP="00014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  6.7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86" w:type="dxa"/>
          </w:tcPr>
          <w:p w14:paraId="5C2CD04A" w14:textId="19EC7F43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014271">
              <w:rPr>
                <w:rFonts w:cstheme="minorHAnsi"/>
                <w:color w:val="000000" w:themeColor="text1"/>
              </w:rPr>
              <w:t>7.3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78" w:type="dxa"/>
          </w:tcPr>
          <w:p w14:paraId="3E3F9EEB" w14:textId="168E7391" w:rsidR="005547EE" w:rsidRPr="0004266D" w:rsidRDefault="00145E27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014271">
              <w:rPr>
                <w:rFonts w:cstheme="minorHAnsi"/>
                <w:color w:val="000000" w:themeColor="text1"/>
              </w:rPr>
              <w:t>6.1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7E43EA98" w14:textId="77777777" w:rsidTr="00052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</w:tcPr>
          <w:p w14:paraId="5798E510" w14:textId="20C6AB63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445779">
              <w:rPr>
                <w:rFonts w:cstheme="minorHAnsi"/>
                <w:b w:val="0"/>
                <w:color w:val="000000" w:themeColor="text1"/>
              </w:rPr>
              <w:t>1/1/2023</w:t>
            </w:r>
          </w:p>
        </w:tc>
        <w:tc>
          <w:tcPr>
            <w:tcW w:w="1066" w:type="dxa"/>
          </w:tcPr>
          <w:p w14:paraId="1F9888EE" w14:textId="6B6DD9E6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014271">
              <w:rPr>
                <w:rFonts w:cstheme="minorHAnsi"/>
                <w:color w:val="000000" w:themeColor="text1"/>
              </w:rPr>
              <w:t>23.8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338" w:type="dxa"/>
          </w:tcPr>
          <w:p w14:paraId="39C9DE70" w14:textId="2AED7A47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014271">
              <w:rPr>
                <w:rFonts w:cstheme="minorHAnsi"/>
                <w:color w:val="000000" w:themeColor="text1"/>
              </w:rPr>
              <w:t>12.3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338" w:type="dxa"/>
            <w:tcBorders>
              <w:right w:val="single" w:sz="4" w:space="0" w:color="ED7D31" w:themeColor="accent2"/>
            </w:tcBorders>
          </w:tcPr>
          <w:p w14:paraId="10674F93" w14:textId="0ADAE155" w:rsidR="005547EE" w:rsidRPr="0004266D" w:rsidRDefault="000F43AC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014271">
              <w:rPr>
                <w:rFonts w:cstheme="minorHAnsi"/>
                <w:color w:val="000000" w:themeColor="text1"/>
              </w:rPr>
              <w:t>7.7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77" w:type="dxa"/>
            <w:tcBorders>
              <w:left w:val="single" w:sz="4" w:space="0" w:color="ED7D31" w:themeColor="accent2"/>
            </w:tcBorders>
          </w:tcPr>
          <w:p w14:paraId="6664688E" w14:textId="702A576D" w:rsidR="005547EE" w:rsidRPr="0004266D" w:rsidRDefault="00014271" w:rsidP="00014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  4.9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86" w:type="dxa"/>
          </w:tcPr>
          <w:p w14:paraId="350C0B98" w14:textId="7C917CF1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014271">
              <w:rPr>
                <w:rFonts w:cstheme="minorHAnsi"/>
                <w:color w:val="000000" w:themeColor="text1"/>
              </w:rPr>
              <w:t>16.9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78" w:type="dxa"/>
          </w:tcPr>
          <w:p w14:paraId="2A25914C" w14:textId="229A9EA8" w:rsidR="005547EE" w:rsidRPr="0004266D" w:rsidRDefault="00145E27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014271">
              <w:rPr>
                <w:rFonts w:cstheme="minorHAnsi"/>
                <w:color w:val="000000" w:themeColor="text1"/>
              </w:rPr>
              <w:t>19.6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p w14:paraId="712DC4DB" w14:textId="0C3074DE" w:rsidR="00541AFF" w:rsidRDefault="00541AFF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445779">
        <w:rPr>
          <w:color w:val="7F7F7F" w:themeColor="text1" w:themeTint="80"/>
          <w:sz w:val="16"/>
          <w:szCs w:val="16"/>
        </w:rPr>
        <w:t>1/1/2023</w:t>
      </w:r>
    </w:p>
    <w:p w14:paraId="0C708971" w14:textId="77777777" w:rsidR="003D3BDA" w:rsidRPr="00555250" w:rsidRDefault="003D3BDA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Inflation</w:t>
      </w:r>
    </w:p>
    <w:p w14:paraId="4A3C02BB" w14:textId="6FDAC7AF" w:rsidR="00666D40" w:rsidRDefault="00030ABF" w:rsidP="00472B02">
      <w:pPr>
        <w:pStyle w:val="NoSpacing"/>
      </w:pPr>
      <w:r>
        <w:t>M</w:t>
      </w:r>
      <w:r w:rsidR="000E2A1D">
        <w:t xml:space="preserve">ushroom prices </w:t>
      </w:r>
      <w:r w:rsidR="00C9550B">
        <w:t xml:space="preserve">per unit </w:t>
      </w:r>
      <w:r w:rsidR="000E2A1D">
        <w:t>increase</w:t>
      </w:r>
      <w:r w:rsidR="00322039">
        <w:t>d</w:t>
      </w:r>
      <w:r w:rsidR="000E2A1D">
        <w:t xml:space="preserve"> </w:t>
      </w:r>
      <w:r w:rsidR="00A14586">
        <w:t xml:space="preserve">by </w:t>
      </w:r>
      <w:r w:rsidR="000F43AC">
        <w:t>8.8</w:t>
      </w:r>
      <w:r w:rsidR="00322039">
        <w:t xml:space="preserve">% versus year ago </w:t>
      </w:r>
      <w:r w:rsidR="000E2A1D">
        <w:t>in the latest quad-week period</w:t>
      </w:r>
      <w:r>
        <w:t xml:space="preserve">. This means the rate of inflation jumped ahead of that </w:t>
      </w:r>
      <w:r w:rsidR="000E2A1D">
        <w:t xml:space="preserve">for total </w:t>
      </w:r>
      <w:r>
        <w:t xml:space="preserve">fresh </w:t>
      </w:r>
      <w:r w:rsidR="000E2A1D">
        <w:t>vegetables</w:t>
      </w:r>
      <w:r w:rsidR="00A14586">
        <w:t xml:space="preserve"> (+</w:t>
      </w:r>
      <w:r w:rsidR="000F43AC">
        <w:t>8.4</w:t>
      </w:r>
      <w:r w:rsidR="00322039">
        <w:t>%)</w:t>
      </w:r>
      <w:r w:rsidR="00C9550B">
        <w:t xml:space="preserve"> and</w:t>
      </w:r>
      <w:r w:rsidR="000E2A1D">
        <w:t xml:space="preserve"> </w:t>
      </w:r>
      <w:r>
        <w:t xml:space="preserve">total fresh </w:t>
      </w:r>
      <w:r w:rsidR="000E2A1D">
        <w:t xml:space="preserve">produce </w:t>
      </w:r>
      <w:r w:rsidR="00A14586">
        <w:t>(+</w:t>
      </w:r>
      <w:r w:rsidR="000F43AC">
        <w:t>4.8</w:t>
      </w:r>
      <w:r w:rsidR="00322039">
        <w:t>%)</w:t>
      </w:r>
      <w:r w:rsidR="000E2A1D">
        <w:t xml:space="preserve">.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3256"/>
        <w:gridCol w:w="299"/>
        <w:gridCol w:w="1146"/>
        <w:gridCol w:w="973"/>
        <w:gridCol w:w="909"/>
        <w:gridCol w:w="1776"/>
        <w:gridCol w:w="817"/>
        <w:gridCol w:w="899"/>
      </w:tblGrid>
      <w:tr w:rsidR="000C3CC4" w:rsidRPr="00124CB7" w14:paraId="6E9D1AEF" w14:textId="162D7E86" w:rsidTr="00677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45" w:type="dxa"/>
            <w:gridSpan w:val="2"/>
          </w:tcPr>
          <w:p w14:paraId="5EC6EFF0" w14:textId="30C27A9F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445779">
              <w:t>1/1/2023</w:t>
            </w:r>
          </w:p>
        </w:tc>
        <w:tc>
          <w:tcPr>
            <w:tcW w:w="973" w:type="dxa"/>
          </w:tcPr>
          <w:p w14:paraId="10EFADEC" w14:textId="7CE9F61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55EFE125" w14:textId="7950772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 w:rsidR="00E629E0">
              <w:t>19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3DDC739A" w14:textId="77777777" w:rsidR="008855C4" w:rsidRDefault="008855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6A5B944C" w14:textId="69C82265" w:rsidR="000C3CC4" w:rsidRPr="00124CB7" w:rsidRDefault="008701E5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2022 </w:t>
            </w:r>
          </w:p>
        </w:tc>
        <w:tc>
          <w:tcPr>
            <w:tcW w:w="817" w:type="dxa"/>
          </w:tcPr>
          <w:p w14:paraId="56551B99" w14:textId="3BE2DA79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899" w:type="dxa"/>
          </w:tcPr>
          <w:p w14:paraId="1A109D51" w14:textId="56ADA7D4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 w:rsidR="00483711">
              <w:t>19</w:t>
            </w:r>
          </w:p>
        </w:tc>
      </w:tr>
      <w:tr w:rsidR="000C3CC4" w14:paraId="2B35BE12" w14:textId="0A6FF303" w:rsidTr="00677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146" w:type="dxa"/>
          </w:tcPr>
          <w:p w14:paraId="2915A28B" w14:textId="71FD1F9D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014271">
              <w:t>3.11</w:t>
            </w:r>
          </w:p>
        </w:tc>
        <w:tc>
          <w:tcPr>
            <w:tcW w:w="973" w:type="dxa"/>
          </w:tcPr>
          <w:p w14:paraId="3E0967AB" w14:textId="3D305066" w:rsidR="000C3CC4" w:rsidRDefault="00145E27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014271">
              <w:t>8.8</w:t>
            </w:r>
            <w:r w:rsidR="000C3CC4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09DAD54E" w14:textId="5EEF30BD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014271">
              <w:t>19.1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03CA719E" w14:textId="27191C46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014271">
              <w:t>2.93</w:t>
            </w:r>
          </w:p>
        </w:tc>
        <w:tc>
          <w:tcPr>
            <w:tcW w:w="817" w:type="dxa"/>
          </w:tcPr>
          <w:p w14:paraId="08755E5E" w14:textId="252DFBE2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014271">
              <w:t>7.2</w:t>
            </w:r>
            <w:r>
              <w:t>%</w:t>
            </w:r>
          </w:p>
        </w:tc>
        <w:tc>
          <w:tcPr>
            <w:tcW w:w="899" w:type="dxa"/>
          </w:tcPr>
          <w:p w14:paraId="19B1F6D2" w14:textId="018BE774" w:rsidR="000C3CC4" w:rsidRDefault="000C3CC4" w:rsidP="006778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014271">
              <w:t>15.0</w:t>
            </w:r>
            <w:r>
              <w:t>%</w:t>
            </w:r>
          </w:p>
        </w:tc>
      </w:tr>
      <w:tr w:rsidR="0004266D" w14:paraId="7C18640F" w14:textId="5B569261" w:rsidTr="00677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47C97CE0" w14:textId="7777777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146" w:type="dxa"/>
          </w:tcPr>
          <w:p w14:paraId="17C86A08" w14:textId="46D4D56D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014271">
              <w:t>4.72</w:t>
            </w:r>
          </w:p>
        </w:tc>
        <w:tc>
          <w:tcPr>
            <w:tcW w:w="973" w:type="dxa"/>
          </w:tcPr>
          <w:p w14:paraId="7E986169" w14:textId="33044D9F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014271">
              <w:t>5.8</w:t>
            </w:r>
            <w:r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36DDF54D" w14:textId="6F7E86E4" w:rsidR="0004266D" w:rsidRDefault="0004266D" w:rsidP="0048371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014271">
              <w:t>13.8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233A8701" w14:textId="1E7AC419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014271">
              <w:t>4.63</w:t>
            </w:r>
          </w:p>
        </w:tc>
        <w:tc>
          <w:tcPr>
            <w:tcW w:w="817" w:type="dxa"/>
          </w:tcPr>
          <w:p w14:paraId="1759FD32" w14:textId="6EC65A47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014271">
              <w:t>7.2</w:t>
            </w:r>
            <w:r>
              <w:t>%</w:t>
            </w:r>
          </w:p>
        </w:tc>
        <w:tc>
          <w:tcPr>
            <w:tcW w:w="899" w:type="dxa"/>
          </w:tcPr>
          <w:p w14:paraId="725313BE" w14:textId="42AFC5F6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014271">
              <w:t>12.0</w:t>
            </w:r>
            <w:r w:rsidR="00483711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64C08626" w:rsidR="00170260" w:rsidRDefault="00085508" w:rsidP="00170260">
      <w:pPr>
        <w:pStyle w:val="NoSpacing"/>
      </w:pPr>
      <w:r>
        <w:t>P</w:t>
      </w:r>
      <w:r w:rsidR="00E508BB">
        <w:t xml:space="preserve">romotional </w:t>
      </w:r>
      <w:r w:rsidR="001D2675">
        <w:t>activity</w:t>
      </w:r>
      <w:r w:rsidR="00FF2D4A">
        <w:t xml:space="preserve"> </w:t>
      </w:r>
      <w:r>
        <w:t xml:space="preserve">improved </w:t>
      </w:r>
      <w:r w:rsidR="00704ED8">
        <w:t>in December</w:t>
      </w:r>
      <w:r w:rsidR="00FF2D4A">
        <w:t xml:space="preserve">, at </w:t>
      </w:r>
      <w:r w:rsidR="00AA3C0D">
        <w:t>15.5</w:t>
      </w:r>
      <w:r w:rsidR="00FF2D4A">
        <w:t xml:space="preserve">% of total </w:t>
      </w:r>
      <w:r>
        <w:t xml:space="preserve">fresh mushroom </w:t>
      </w:r>
      <w:r w:rsidR="00FF2D4A">
        <w:t xml:space="preserve">dollars and </w:t>
      </w:r>
      <w:r w:rsidR="00AA3C0D">
        <w:t>19.3</w:t>
      </w:r>
      <w:r w:rsidR="00FF2D4A">
        <w:t>%</w:t>
      </w:r>
      <w:r w:rsidR="00E508BB">
        <w:t xml:space="preserve"> of total pounds sold. </w:t>
      </w:r>
      <w:r w:rsidR="00704ED8">
        <w:t>This was quite a bit more than December last year.</w:t>
      </w:r>
      <w:r w:rsidR="00E508BB">
        <w:t xml:space="preserve"> 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9265" w:type="dxa"/>
        <w:tblLook w:val="04A0" w:firstRow="1" w:lastRow="0" w:firstColumn="1" w:lastColumn="0" w:noHBand="0" w:noVBand="1"/>
      </w:tblPr>
      <w:tblGrid>
        <w:gridCol w:w="3441"/>
        <w:gridCol w:w="179"/>
        <w:gridCol w:w="1235"/>
        <w:gridCol w:w="1260"/>
        <w:gridCol w:w="1890"/>
        <w:gridCol w:w="1260"/>
      </w:tblGrid>
      <w:tr w:rsidR="00972570" w:rsidRPr="00124CB7" w14:paraId="5DFB9CAB" w14:textId="77777777" w:rsidTr="00D9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41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14" w:type="dxa"/>
            <w:gridSpan w:val="2"/>
          </w:tcPr>
          <w:p w14:paraId="6A0500B8" w14:textId="62FB0715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445779">
              <w:t>1/1/2023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CF9736D" w14:textId="77777777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6DE7633B" w14:textId="77777777" w:rsidR="008855C4" w:rsidRDefault="008855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13A4F70" w14:textId="4D4BBEE6" w:rsidR="00972570" w:rsidRPr="00124CB7" w:rsidRDefault="008701E5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2022 </w:t>
            </w:r>
          </w:p>
        </w:tc>
        <w:tc>
          <w:tcPr>
            <w:tcW w:w="1260" w:type="dxa"/>
          </w:tcPr>
          <w:p w14:paraId="75064544" w14:textId="77777777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</w:tr>
      <w:tr w:rsidR="004A50D2" w14:paraId="3B76FFA3" w14:textId="78296325" w:rsidTr="00661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2B5B6C81" w14:textId="6313A9FC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235" w:type="dxa"/>
            <w:shd w:val="clear" w:color="auto" w:fill="auto"/>
          </w:tcPr>
          <w:p w14:paraId="6D5E5F03" w14:textId="18069F7C" w:rsidR="004A50D2" w:rsidRPr="006617FB" w:rsidRDefault="000F43AC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15.5</w:t>
            </w:r>
            <w:r w:rsidR="004A50D2" w:rsidRPr="006617FB">
              <w:t>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86FECBD" w14:textId="233A34F8" w:rsidR="004A50D2" w:rsidRPr="00704ED8" w:rsidRDefault="00445779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4ED8">
              <w:t>+</w:t>
            </w:r>
            <w:r w:rsidR="00AA3C0D" w:rsidRPr="00704ED8">
              <w:t>62.7</w:t>
            </w:r>
            <w:r w:rsidR="004A50D2" w:rsidRPr="00704ED8">
              <w:t>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66CD7DD9" w14:textId="7854544B" w:rsidR="004A50D2" w:rsidRPr="009B0330" w:rsidRDefault="000F43AC" w:rsidP="009B033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15.6</w:t>
            </w:r>
            <w:r w:rsidR="004A50D2" w:rsidRPr="009B0330">
              <w:t>%</w:t>
            </w:r>
          </w:p>
        </w:tc>
        <w:tc>
          <w:tcPr>
            <w:tcW w:w="1260" w:type="dxa"/>
          </w:tcPr>
          <w:p w14:paraId="7461CDF6" w14:textId="1823A596" w:rsidR="004A50D2" w:rsidRPr="009B0330" w:rsidRDefault="00445779" w:rsidP="00145E2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5D4183">
              <w:t>4.6</w:t>
            </w:r>
            <w:r w:rsidR="004A50D2" w:rsidRPr="009B0330">
              <w:t>%</w:t>
            </w:r>
          </w:p>
        </w:tc>
      </w:tr>
      <w:tr w:rsidR="004A50D2" w14:paraId="6BDC46F0" w14:textId="6B730DE2" w:rsidTr="00704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5F39E628" w14:textId="6809D4FA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pounds sold on promotion</w:t>
            </w:r>
          </w:p>
        </w:tc>
        <w:tc>
          <w:tcPr>
            <w:tcW w:w="1235" w:type="dxa"/>
            <w:shd w:val="clear" w:color="auto" w:fill="auto"/>
          </w:tcPr>
          <w:p w14:paraId="4B3F737B" w14:textId="02EA2103" w:rsidR="004A50D2" w:rsidRPr="006617FB" w:rsidRDefault="000F43AC" w:rsidP="00FA1CDF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19.3</w:t>
            </w:r>
            <w:r w:rsidR="004A50D2" w:rsidRPr="006617FB">
              <w:t>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  <w:shd w:val="clear" w:color="auto" w:fill="auto"/>
          </w:tcPr>
          <w:p w14:paraId="5C3E258D" w14:textId="3C03B70B" w:rsidR="004A50D2" w:rsidRPr="00704ED8" w:rsidRDefault="00910CD7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4ED8">
              <w:t>+</w:t>
            </w:r>
            <w:r w:rsidR="00AA3C0D" w:rsidRPr="00704ED8">
              <w:t>84.4</w:t>
            </w:r>
            <w:r w:rsidR="004A50D2" w:rsidRPr="00704ED8">
              <w:t>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37E892BC" w14:textId="7AD69E56" w:rsidR="004A50D2" w:rsidRPr="009B0330" w:rsidRDefault="000F43AC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18.7</w:t>
            </w:r>
            <w:r w:rsidR="004A50D2" w:rsidRPr="009B0330">
              <w:t>%</w:t>
            </w:r>
          </w:p>
        </w:tc>
        <w:tc>
          <w:tcPr>
            <w:tcW w:w="1260" w:type="dxa"/>
          </w:tcPr>
          <w:p w14:paraId="7052050B" w14:textId="0EE13FC7" w:rsidR="004A50D2" w:rsidRPr="009B0330" w:rsidRDefault="00677889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AA3C0D">
              <w:t>8.1</w:t>
            </w:r>
            <w:r w:rsidR="004A50D2" w:rsidRPr="009B0330">
              <w:t>%</w:t>
            </w:r>
          </w:p>
        </w:tc>
      </w:tr>
    </w:tbl>
    <w:p w14:paraId="23606064" w14:textId="31D7BF56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445779">
        <w:rPr>
          <w:color w:val="7F7F7F" w:themeColor="text1" w:themeTint="80"/>
          <w:sz w:val="16"/>
          <w:szCs w:val="16"/>
        </w:rPr>
        <w:t>1/1/2023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3EFC659D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5D4183">
        <w:t xml:space="preserve"> 50.4</w:t>
      </w:r>
      <w:r w:rsidR="00927EAC">
        <w:t xml:space="preserve"> % of total fresh mushroom sales and </w:t>
      </w:r>
      <w:r w:rsidR="005D4183">
        <w:t>57.7</w:t>
      </w:r>
      <w:r w:rsidR="00927EAC">
        <w:t>%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927EAC">
        <w:t xml:space="preserve">. </w:t>
      </w:r>
      <w:r>
        <w:t xml:space="preserve">However, it was brown </w:t>
      </w:r>
      <w:r w:rsidR="00B25DFD">
        <w:t>mushrooms</w:t>
      </w:r>
      <w:r>
        <w:t xml:space="preserve">, the combination of </w:t>
      </w:r>
      <w:proofErr w:type="spellStart"/>
      <w:r>
        <w:t>cr</w:t>
      </w:r>
      <w:r w:rsidR="002437CE">
        <w:t>i</w:t>
      </w:r>
      <w:r>
        <w:t>minis</w:t>
      </w:r>
      <w:proofErr w:type="spellEnd"/>
      <w:r>
        <w:t xml:space="preserve"> and portabellas, that</w:t>
      </w:r>
      <w:r w:rsidR="00B25DFD">
        <w:t xml:space="preserve"> </w:t>
      </w:r>
      <w:r>
        <w:t>fared better</w:t>
      </w:r>
      <w:r w:rsidR="00CB4067">
        <w:t xml:space="preserve"> with </w:t>
      </w:r>
      <w:r w:rsidR="005D4183">
        <w:t>5.8</w:t>
      </w:r>
      <w:r w:rsidR="00CB4067">
        <w:t>% pound growth over the 2019 levels</w:t>
      </w:r>
      <w:r w:rsidR="00EB30C7">
        <w:t xml:space="preserve">, whereas white mushrooms were down </w:t>
      </w:r>
      <w:r w:rsidR="005D4183">
        <w:t>19.0</w:t>
      </w:r>
      <w:r w:rsidR="00EB30C7">
        <w:t>%</w:t>
      </w:r>
      <w:r w:rsidR="00CB4067">
        <w:t xml:space="preserve">.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ook w:val="0400" w:firstRow="0" w:lastRow="0" w:firstColumn="0" w:lastColumn="0" w:noHBand="0" w:noVBand="1"/>
      </w:tblPr>
      <w:tblGrid>
        <w:gridCol w:w="2821"/>
        <w:gridCol w:w="1025"/>
        <w:gridCol w:w="882"/>
        <w:gridCol w:w="1011"/>
        <w:gridCol w:w="989"/>
        <w:gridCol w:w="927"/>
        <w:gridCol w:w="890"/>
        <w:gridCol w:w="1080"/>
        <w:gridCol w:w="990"/>
      </w:tblGrid>
      <w:tr w:rsidR="00D8225F" w:rsidRPr="00B25DFD" w14:paraId="66036A96" w14:textId="09558220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shd w:val="clear" w:color="auto" w:fill="ED7D31" w:themeFill="accent2"/>
            <w:vAlign w:val="center"/>
            <w:hideMark/>
          </w:tcPr>
          <w:p w14:paraId="4B138C18" w14:textId="30587D61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445779">
              <w:rPr>
                <w:rFonts w:cstheme="minorHAnsi"/>
                <w:b/>
                <w:bCs/>
                <w:color w:val="FFFFFF" w:themeColor="background1"/>
              </w:rPr>
              <w:t>1/1/2023</w:t>
            </w:r>
          </w:p>
        </w:tc>
        <w:tc>
          <w:tcPr>
            <w:tcW w:w="1025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11" w:type="dxa"/>
            <w:shd w:val="clear" w:color="auto" w:fill="ED7D31" w:themeFill="accent2"/>
            <w:hideMark/>
          </w:tcPr>
          <w:p w14:paraId="3685CC92" w14:textId="483D67A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2021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65D7CC71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</w:t>
            </w:r>
            <w:r w:rsidR="00EF25E4">
              <w:rPr>
                <w:rFonts w:cstheme="min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</w:t>
            </w:r>
            <w:proofErr w:type="spellStart"/>
            <w:r w:rsidR="00D8225F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 w:rsidR="00D8225F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890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80" w:type="dxa"/>
            <w:shd w:val="clear" w:color="auto" w:fill="ED7D31" w:themeFill="accent2"/>
          </w:tcPr>
          <w:p w14:paraId="7DE6FAA8" w14:textId="682B1B76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2021</w:t>
            </w:r>
          </w:p>
        </w:tc>
        <w:tc>
          <w:tcPr>
            <w:tcW w:w="990" w:type="dxa"/>
            <w:shd w:val="clear" w:color="auto" w:fill="ED7D31" w:themeFill="accent2"/>
          </w:tcPr>
          <w:p w14:paraId="212AEB88" w14:textId="563D5342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>
              <w:rPr>
                <w:rFonts w:cstheme="minorHAnsi"/>
                <w:b/>
                <w:bCs/>
                <w:color w:val="FFFFFF" w:themeColor="background1"/>
              </w:rPr>
              <w:t xml:space="preserve">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</w:t>
            </w:r>
            <w:r w:rsidR="00EF25E4">
              <w:rPr>
                <w:rFonts w:cstheme="minorHAnsi"/>
                <w:b/>
                <w:bCs/>
                <w:color w:val="FFFFFF" w:themeColor="background1"/>
              </w:rPr>
              <w:t>19</w:t>
            </w:r>
          </w:p>
        </w:tc>
      </w:tr>
      <w:tr w:rsidR="00D8225F" w:rsidRPr="00B25DFD" w14:paraId="69D4AA5B" w14:textId="069A747C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2C1CDE46" w14:textId="178D4679" w:rsidR="00461D8C" w:rsidRPr="006A7A6E" w:rsidRDefault="00461D8C" w:rsidP="002F23A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f</w:t>
            </w:r>
            <w:r w:rsidRPr="006A7A6E">
              <w:rPr>
                <w:rFonts w:cstheme="minorHAnsi"/>
                <w:b/>
                <w:bCs/>
              </w:rPr>
              <w:t>resh mushrooms</w:t>
            </w:r>
          </w:p>
        </w:tc>
        <w:tc>
          <w:tcPr>
            <w:tcW w:w="1025" w:type="dxa"/>
            <w:hideMark/>
          </w:tcPr>
          <w:p w14:paraId="6A87FED7" w14:textId="6841DC20" w:rsidR="00461D8C" w:rsidRPr="006A7A6E" w:rsidRDefault="00461D8C" w:rsidP="00677889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0F43AC">
              <w:rPr>
                <w:rFonts w:cstheme="minorHAnsi"/>
                <w:b/>
                <w:bCs/>
                <w:color w:val="000000" w:themeColor="text1"/>
              </w:rPr>
              <w:t>100.2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3A01C257" w14:textId="24C4CBC7" w:rsidR="00461D8C" w:rsidRPr="006A7A6E" w:rsidRDefault="00910CD7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</w:t>
            </w:r>
            <w:r w:rsidR="00461D8C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011" w:type="dxa"/>
            <w:hideMark/>
          </w:tcPr>
          <w:p w14:paraId="7E486F05" w14:textId="435914F8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0F43AC">
              <w:rPr>
                <w:rFonts w:cstheme="minorHAnsi"/>
                <w:b/>
                <w:bCs/>
                <w:color w:val="000000" w:themeColor="text1"/>
              </w:rPr>
              <w:t>6.8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BD808C1" w14:textId="34184776" w:rsidR="00461D8C" w:rsidRPr="006A7A6E" w:rsidRDefault="009D5574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+</w:t>
            </w:r>
            <w:r w:rsidR="000F43AC">
              <w:rPr>
                <w:rFonts w:cstheme="minorHAnsi"/>
                <w:b/>
                <w:bCs/>
                <w:color w:val="000000" w:themeColor="text1"/>
              </w:rPr>
              <w:t>2.0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E7375BC" w14:textId="11F43587" w:rsidR="00461D8C" w:rsidRPr="006A7A6E" w:rsidRDefault="000F43A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21.2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62317D86" w14:textId="460A43AB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80" w:type="dxa"/>
          </w:tcPr>
          <w:p w14:paraId="5E78B271" w14:textId="32445D54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0F43AC">
              <w:rPr>
                <w:rFonts w:cstheme="minorHAnsi"/>
                <w:b/>
                <w:bCs/>
                <w:color w:val="000000" w:themeColor="text1"/>
              </w:rPr>
              <w:t>11.9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576290B6" w14:textId="550BEBDA" w:rsidR="00461D8C" w:rsidRPr="006A7A6E" w:rsidRDefault="006F1F55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0F43AC">
              <w:rPr>
                <w:rFonts w:cstheme="minorHAnsi"/>
                <w:b/>
                <w:bCs/>
                <w:color w:val="000000" w:themeColor="text1"/>
              </w:rPr>
              <w:t>10.4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04266D" w:rsidRPr="00B25DFD" w14:paraId="20B4A675" w14:textId="7B567306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0674F69D" w14:textId="21733F06" w:rsidR="0004266D" w:rsidRPr="006A7A6E" w:rsidRDefault="0004266D" w:rsidP="0004266D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White mushrooms</w:t>
            </w:r>
          </w:p>
        </w:tc>
        <w:tc>
          <w:tcPr>
            <w:tcW w:w="1025" w:type="dxa"/>
            <w:hideMark/>
          </w:tcPr>
          <w:p w14:paraId="502595AA" w14:textId="1E99843D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0F43AC">
              <w:rPr>
                <w:rFonts w:cstheme="minorHAnsi"/>
                <w:color w:val="000000" w:themeColor="text1"/>
              </w:rPr>
              <w:t>50.5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5E770B3E" w14:textId="5B0878C9" w:rsidR="0004266D" w:rsidRPr="00D96AEE" w:rsidRDefault="005D418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50.4</w:t>
            </w:r>
            <w:r w:rsidR="0004266D" w:rsidRPr="00D96AEE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4CEB702D" w14:textId="58C8269B" w:rsidR="0004266D" w:rsidRPr="00D96AEE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D96AEE">
              <w:rPr>
                <w:rFonts w:cstheme="minorHAnsi"/>
                <w:color w:val="000000" w:themeColor="text1"/>
              </w:rPr>
              <w:t>-</w:t>
            </w:r>
            <w:r w:rsidR="000F43AC">
              <w:rPr>
                <w:rFonts w:cstheme="minorHAnsi"/>
                <w:color w:val="000000" w:themeColor="text1"/>
              </w:rPr>
              <w:t>12.4</w:t>
            </w:r>
            <w:r w:rsidRPr="00D96AE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7F3B4AE1" w14:textId="7C777EFF" w:rsidR="0004266D" w:rsidRPr="0004266D" w:rsidRDefault="00445779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0F43AC">
              <w:rPr>
                <w:rFonts w:cstheme="minorHAnsi"/>
                <w:color w:val="000000" w:themeColor="text1"/>
              </w:rPr>
              <w:t>9.2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3E87B660" w14:textId="3C3B7ED9" w:rsidR="0004266D" w:rsidRPr="0004266D" w:rsidRDefault="00445779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="00B6395E">
              <w:rPr>
                <w:rFonts w:cstheme="minorHAnsi"/>
                <w:color w:val="000000" w:themeColor="text1"/>
              </w:rPr>
              <w:t>2.3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385ED4A" w14:textId="6B552A2E" w:rsidR="0004266D" w:rsidRPr="00337F18" w:rsidRDefault="005D418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57.7</w:t>
            </w:r>
            <w:r w:rsidR="0004266D" w:rsidRPr="00D96AEE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776C4AD3" w14:textId="7CDAFA75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6395E">
              <w:rPr>
                <w:rFonts w:cstheme="minorHAnsi"/>
                <w:color w:val="000000" w:themeColor="text1"/>
              </w:rPr>
              <w:t>16.2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107F8B93" w14:textId="2DD32BE5" w:rsidR="0004266D" w:rsidRPr="00D96AEE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D96AEE">
              <w:rPr>
                <w:rFonts w:cstheme="minorHAnsi"/>
                <w:color w:val="000000" w:themeColor="text1"/>
              </w:rPr>
              <w:t>-</w:t>
            </w:r>
            <w:r w:rsidR="00B6395E">
              <w:rPr>
                <w:rFonts w:cstheme="minorHAnsi"/>
                <w:color w:val="000000" w:themeColor="text1"/>
              </w:rPr>
              <w:t>19.0</w:t>
            </w:r>
            <w:r w:rsidRPr="00D96AEE">
              <w:rPr>
                <w:rFonts w:cstheme="minorHAnsi"/>
                <w:color w:val="000000" w:themeColor="text1"/>
              </w:rPr>
              <w:t>%</w:t>
            </w:r>
          </w:p>
        </w:tc>
      </w:tr>
      <w:tr w:rsidR="0004266D" w:rsidRPr="00B25DFD" w14:paraId="6060C93B" w14:textId="081A30E4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4D628EC6" w14:textId="7F1F9492" w:rsidR="0004266D" w:rsidRPr="006A7A6E" w:rsidRDefault="0004266D" w:rsidP="0004266D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Brown mushrooms</w:t>
            </w:r>
          </w:p>
        </w:tc>
        <w:tc>
          <w:tcPr>
            <w:tcW w:w="1025" w:type="dxa"/>
            <w:hideMark/>
          </w:tcPr>
          <w:p w14:paraId="590C2B94" w14:textId="1071BB93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0F43AC">
              <w:rPr>
                <w:rFonts w:cstheme="minorHAnsi"/>
                <w:color w:val="000000" w:themeColor="text1"/>
              </w:rPr>
              <w:t>43.9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02395440" w14:textId="0081776B" w:rsidR="0004266D" w:rsidRPr="00337F18" w:rsidRDefault="005D418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43.8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42F0AAF3" w14:textId="7FCEF401" w:rsidR="0004266D" w:rsidRPr="0004266D" w:rsidRDefault="00910CD7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0F43AC">
              <w:rPr>
                <w:rFonts w:cstheme="minorHAnsi"/>
                <w:color w:val="000000" w:themeColor="text1"/>
              </w:rPr>
              <w:t>1.0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25DB127B" w14:textId="67CBE416" w:rsidR="0004266D" w:rsidRPr="0004266D" w:rsidRDefault="009D5574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0F43AC">
              <w:rPr>
                <w:rFonts w:cstheme="minorHAnsi"/>
                <w:color w:val="000000" w:themeColor="text1"/>
              </w:rPr>
              <w:t>18.9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FD24DED" w14:textId="513F0502" w:rsidR="0004266D" w:rsidRPr="0004266D" w:rsidRDefault="00B6395E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8.5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39529C18" w14:textId="78010CF9" w:rsidR="0004266D" w:rsidRPr="00337F18" w:rsidRDefault="005D418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40.3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720478A7" w14:textId="28E532D9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B6395E">
              <w:rPr>
                <w:rFonts w:cstheme="minorHAnsi"/>
                <w:color w:val="000000" w:themeColor="text1"/>
              </w:rPr>
              <w:t>5.2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30958CBD" w14:textId="0E1E48D7" w:rsidR="0004266D" w:rsidRPr="00D96AEE" w:rsidRDefault="00B6395E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+5.8</w:t>
            </w:r>
            <w:r w:rsidR="0004266D" w:rsidRPr="00D96AEE">
              <w:rPr>
                <w:rFonts w:cstheme="minorHAnsi"/>
                <w:color w:val="000000" w:themeColor="text1"/>
              </w:rPr>
              <w:t>%</w:t>
            </w:r>
          </w:p>
        </w:tc>
      </w:tr>
      <w:tr w:rsidR="0004266D" w:rsidRPr="00B25DFD" w14:paraId="2B6B448E" w14:textId="7445020D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7C14C062" w14:textId="0BCE1D26" w:rsidR="0004266D" w:rsidRPr="006A7A6E" w:rsidRDefault="0004266D" w:rsidP="000426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Specialty </w:t>
            </w:r>
            <w:r w:rsidRPr="006A7A6E">
              <w:rPr>
                <w:rFonts w:cstheme="minorHAnsi"/>
              </w:rPr>
              <w:t>mushrooms</w:t>
            </w:r>
          </w:p>
        </w:tc>
        <w:tc>
          <w:tcPr>
            <w:tcW w:w="1025" w:type="dxa"/>
            <w:hideMark/>
          </w:tcPr>
          <w:p w14:paraId="43257BA5" w14:textId="07A83591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0F43AC">
              <w:rPr>
                <w:rFonts w:cstheme="minorHAnsi"/>
                <w:color w:val="000000" w:themeColor="text1"/>
              </w:rPr>
              <w:t>5.8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7EC04D31" w14:textId="704B5534" w:rsidR="0004266D" w:rsidRPr="00337F18" w:rsidRDefault="005D4183" w:rsidP="00337F1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5.8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10052F27" w14:textId="29E63C19" w:rsidR="0004266D" w:rsidRPr="0004266D" w:rsidRDefault="00B94D0E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0F43AC">
              <w:rPr>
                <w:rFonts w:cstheme="minorHAnsi"/>
                <w:color w:val="000000" w:themeColor="text1"/>
              </w:rPr>
              <w:t>9.6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1EEA636" w14:textId="6BCDBF5B" w:rsidR="0004266D" w:rsidRPr="0004266D" w:rsidRDefault="009D5574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0F43AC">
              <w:rPr>
                <w:rFonts w:cstheme="minorHAnsi"/>
                <w:color w:val="000000" w:themeColor="text1"/>
              </w:rPr>
              <w:t>1.1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166CB34C" w14:textId="435881DE" w:rsidR="0004266D" w:rsidRPr="0004266D" w:rsidRDefault="00B6395E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0.4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17DE33D" w14:textId="2161CE1C" w:rsidR="0004266D" w:rsidRPr="00337F18" w:rsidRDefault="005D4183" w:rsidP="00337F1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2.0</w:t>
            </w:r>
            <w:r w:rsidR="00337F18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632726C6" w14:textId="39B6D4C6" w:rsidR="0004266D" w:rsidRPr="0004266D" w:rsidRDefault="00B6395E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-7.5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700774A9" w14:textId="4102D55B" w:rsidR="0004266D" w:rsidRPr="0004266D" w:rsidRDefault="00445779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6395E">
              <w:rPr>
                <w:rFonts w:cstheme="minorHAnsi"/>
                <w:color w:val="000000" w:themeColor="text1"/>
              </w:rPr>
              <w:t>10.7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bookmarkEnd w:id="0"/>
    <w:p w14:paraId="45617577" w14:textId="11AE8A7C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445779">
        <w:rPr>
          <w:color w:val="7F7F7F" w:themeColor="text1" w:themeTint="80"/>
          <w:sz w:val="16"/>
          <w:szCs w:val="16"/>
        </w:rPr>
        <w:t>1/1/2023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22421914" w14:textId="79EEAA2E" w:rsidR="00C9550B" w:rsidRDefault="00C9550B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Package size</w:t>
      </w:r>
      <w:r w:rsidRPr="003045B7">
        <w:t>:</w:t>
      </w:r>
      <w:r>
        <w:t xml:space="preserve"> Eight-ounce packages are, by far, the biggest seller and </w:t>
      </w:r>
      <w:r w:rsidR="00030ABF">
        <w:t>is outperforming 16 ounces in growth</w:t>
      </w:r>
      <w:r>
        <w:t>.</w:t>
      </w:r>
    </w:p>
    <w:p w14:paraId="0C66834A" w14:textId="4A8D5ADA" w:rsidR="00EB30C7" w:rsidRDefault="004462C1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Organic vs</w:t>
      </w:r>
      <w:r w:rsidR="005B6968" w:rsidRPr="00C9550B">
        <w:rPr>
          <w:u w:val="single"/>
        </w:rPr>
        <w:t>.</w:t>
      </w:r>
      <w:r w:rsidRPr="00C9550B">
        <w:rPr>
          <w:u w:val="single"/>
        </w:rPr>
        <w:t xml:space="preserve"> conventional</w:t>
      </w:r>
      <w:r w:rsidRPr="004462C1">
        <w:t>:</w:t>
      </w:r>
      <w:r>
        <w:t xml:space="preserve"> Organic </w:t>
      </w:r>
      <w:r w:rsidR="005B6968">
        <w:t xml:space="preserve">mushrooms </w:t>
      </w:r>
      <w:r>
        <w:t xml:space="preserve">made up </w:t>
      </w:r>
      <w:r w:rsidR="00EF50DD">
        <w:t>10.7</w:t>
      </w:r>
      <w:r>
        <w:t xml:space="preserve">% of </w:t>
      </w:r>
      <w:r w:rsidR="00BE7EF2">
        <w:t xml:space="preserve">pounds </w:t>
      </w:r>
      <w:r w:rsidR="00C9550B">
        <w:t>but far outperformed conventional mushrooms in performance</w:t>
      </w:r>
      <w:r w:rsidR="005B6968">
        <w:t xml:space="preserve"> in dollars, units and volume. </w:t>
      </w:r>
    </w:p>
    <w:p w14:paraId="3D702F4A" w14:textId="7AC10159" w:rsidR="003045B7" w:rsidRDefault="004462C1" w:rsidP="00C81CBF">
      <w:pPr>
        <w:pStyle w:val="NoSpacing"/>
        <w:numPr>
          <w:ilvl w:val="0"/>
          <w:numId w:val="2"/>
        </w:numPr>
      </w:pPr>
      <w:r w:rsidRPr="00EB30C7">
        <w:rPr>
          <w:u w:val="single"/>
        </w:rPr>
        <w:t>Cut/prepared versus whole mushrooms</w:t>
      </w:r>
      <w:r>
        <w:t xml:space="preserve">: </w:t>
      </w:r>
      <w:r w:rsidR="0090410F">
        <w:t>Cut</w:t>
      </w:r>
      <w:r w:rsidR="00BE7EF2">
        <w:t xml:space="preserve"> or prepared mushrooms made up </w:t>
      </w:r>
      <w:r w:rsidR="00EF50DD">
        <w:t>45.3</w:t>
      </w:r>
      <w:r w:rsidR="0090410F">
        <w:t xml:space="preserve">% of </w:t>
      </w:r>
      <w:r w:rsidR="00C9550B">
        <w:t xml:space="preserve">pound </w:t>
      </w:r>
      <w:r w:rsidR="0090410F">
        <w:t xml:space="preserve">sales in </w:t>
      </w:r>
      <w:r w:rsidR="00BF5D9C">
        <w:t>the four</w:t>
      </w:r>
      <w:r w:rsidR="00461D8C">
        <w:t>-week period</w:t>
      </w:r>
      <w:r w:rsidR="00A51F5B">
        <w:t>. Mushrooms without preparation had the better performance</w:t>
      </w:r>
      <w:r w:rsidR="00347E3A">
        <w:t>.</w:t>
      </w:r>
    </w:p>
    <w:p w14:paraId="5DBFDF80" w14:textId="4DCCCBD8" w:rsidR="00B34EF7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445779">
        <w:rPr>
          <w:color w:val="7F7F7F" w:themeColor="text1" w:themeTint="80"/>
          <w:sz w:val="16"/>
          <w:szCs w:val="16"/>
        </w:rPr>
        <w:t>1/1/2023</w:t>
      </w:r>
      <w:r w:rsidR="00B34EF7">
        <w:t xml:space="preserve"> </w:t>
      </w:r>
    </w:p>
    <w:sectPr w:rsidR="00B34EF7" w:rsidRPr="00B34EF7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E2D30"/>
    <w:multiLevelType w:val="hybridMultilevel"/>
    <w:tmpl w:val="55B42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5569421">
    <w:abstractNumId w:val="3"/>
  </w:num>
  <w:num w:numId="2" w16cid:durableId="1290356221">
    <w:abstractNumId w:val="4"/>
  </w:num>
  <w:num w:numId="3" w16cid:durableId="1784418624">
    <w:abstractNumId w:val="6"/>
  </w:num>
  <w:num w:numId="4" w16cid:durableId="492068599">
    <w:abstractNumId w:val="1"/>
  </w:num>
  <w:num w:numId="5" w16cid:durableId="1144854232">
    <w:abstractNumId w:val="7"/>
  </w:num>
  <w:num w:numId="6" w16cid:durableId="1967806101">
    <w:abstractNumId w:val="5"/>
  </w:num>
  <w:num w:numId="7" w16cid:durableId="1002856625">
    <w:abstractNumId w:val="2"/>
  </w:num>
  <w:num w:numId="8" w16cid:durableId="128650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14271"/>
    <w:rsid w:val="00030ABF"/>
    <w:rsid w:val="00035D16"/>
    <w:rsid w:val="0004266D"/>
    <w:rsid w:val="00052828"/>
    <w:rsid w:val="0005390A"/>
    <w:rsid w:val="0007328F"/>
    <w:rsid w:val="000809C3"/>
    <w:rsid w:val="00085508"/>
    <w:rsid w:val="00085F10"/>
    <w:rsid w:val="000A4146"/>
    <w:rsid w:val="000C1DF9"/>
    <w:rsid w:val="000C29FA"/>
    <w:rsid w:val="000C3CC4"/>
    <w:rsid w:val="000D7A79"/>
    <w:rsid w:val="000E2A1D"/>
    <w:rsid w:val="000E61FF"/>
    <w:rsid w:val="000F43AC"/>
    <w:rsid w:val="001119BD"/>
    <w:rsid w:val="00113A33"/>
    <w:rsid w:val="00124C8B"/>
    <w:rsid w:val="00124CB7"/>
    <w:rsid w:val="00133971"/>
    <w:rsid w:val="00145E27"/>
    <w:rsid w:val="00164656"/>
    <w:rsid w:val="00170260"/>
    <w:rsid w:val="001A4D44"/>
    <w:rsid w:val="001A601E"/>
    <w:rsid w:val="001B762B"/>
    <w:rsid w:val="001D2675"/>
    <w:rsid w:val="002225C6"/>
    <w:rsid w:val="00224A21"/>
    <w:rsid w:val="00240137"/>
    <w:rsid w:val="002437CE"/>
    <w:rsid w:val="00276C09"/>
    <w:rsid w:val="00281498"/>
    <w:rsid w:val="00283DB2"/>
    <w:rsid w:val="00291F75"/>
    <w:rsid w:val="002B7E48"/>
    <w:rsid w:val="002F23A1"/>
    <w:rsid w:val="003045B7"/>
    <w:rsid w:val="00312734"/>
    <w:rsid w:val="00317163"/>
    <w:rsid w:val="00322039"/>
    <w:rsid w:val="00337F18"/>
    <w:rsid w:val="00347E3A"/>
    <w:rsid w:val="00362BB1"/>
    <w:rsid w:val="00396448"/>
    <w:rsid w:val="003C1DD2"/>
    <w:rsid w:val="003C72DD"/>
    <w:rsid w:val="003D3BDA"/>
    <w:rsid w:val="003D6A0F"/>
    <w:rsid w:val="003E61D0"/>
    <w:rsid w:val="003F77CF"/>
    <w:rsid w:val="00403666"/>
    <w:rsid w:val="00417945"/>
    <w:rsid w:val="00445779"/>
    <w:rsid w:val="004462C1"/>
    <w:rsid w:val="00451263"/>
    <w:rsid w:val="00455F77"/>
    <w:rsid w:val="0045625B"/>
    <w:rsid w:val="00461D8C"/>
    <w:rsid w:val="00467FB5"/>
    <w:rsid w:val="00472B02"/>
    <w:rsid w:val="0047570E"/>
    <w:rsid w:val="00476C12"/>
    <w:rsid w:val="00483711"/>
    <w:rsid w:val="00485429"/>
    <w:rsid w:val="004A3A95"/>
    <w:rsid w:val="004A50D2"/>
    <w:rsid w:val="004B6371"/>
    <w:rsid w:val="004B7951"/>
    <w:rsid w:val="004C2808"/>
    <w:rsid w:val="004E6889"/>
    <w:rsid w:val="00504377"/>
    <w:rsid w:val="005049A9"/>
    <w:rsid w:val="00525F06"/>
    <w:rsid w:val="00527BE9"/>
    <w:rsid w:val="0054182D"/>
    <w:rsid w:val="00541AFF"/>
    <w:rsid w:val="00552C5D"/>
    <w:rsid w:val="005547EE"/>
    <w:rsid w:val="00555250"/>
    <w:rsid w:val="005571F3"/>
    <w:rsid w:val="005A3316"/>
    <w:rsid w:val="005A54F2"/>
    <w:rsid w:val="005B42B7"/>
    <w:rsid w:val="005B6968"/>
    <w:rsid w:val="005C6AEE"/>
    <w:rsid w:val="005D4183"/>
    <w:rsid w:val="005E1A66"/>
    <w:rsid w:val="005E5127"/>
    <w:rsid w:val="005F1173"/>
    <w:rsid w:val="006035CB"/>
    <w:rsid w:val="00615709"/>
    <w:rsid w:val="00621E2A"/>
    <w:rsid w:val="00632993"/>
    <w:rsid w:val="00645A58"/>
    <w:rsid w:val="006617FB"/>
    <w:rsid w:val="00666D40"/>
    <w:rsid w:val="00677889"/>
    <w:rsid w:val="006A7A6E"/>
    <w:rsid w:val="006F1F55"/>
    <w:rsid w:val="00704ED8"/>
    <w:rsid w:val="00706FA9"/>
    <w:rsid w:val="0071051A"/>
    <w:rsid w:val="00730897"/>
    <w:rsid w:val="00731BCD"/>
    <w:rsid w:val="00734289"/>
    <w:rsid w:val="00782D09"/>
    <w:rsid w:val="007A0B40"/>
    <w:rsid w:val="007B57F7"/>
    <w:rsid w:val="007D30DA"/>
    <w:rsid w:val="007D33D8"/>
    <w:rsid w:val="007D3D1C"/>
    <w:rsid w:val="007F098A"/>
    <w:rsid w:val="007F1F55"/>
    <w:rsid w:val="008147CB"/>
    <w:rsid w:val="00826014"/>
    <w:rsid w:val="00832F0A"/>
    <w:rsid w:val="00837283"/>
    <w:rsid w:val="00851AC9"/>
    <w:rsid w:val="0086198D"/>
    <w:rsid w:val="0086536E"/>
    <w:rsid w:val="008701E5"/>
    <w:rsid w:val="00873884"/>
    <w:rsid w:val="008855C4"/>
    <w:rsid w:val="008A084A"/>
    <w:rsid w:val="008A1DBB"/>
    <w:rsid w:val="008A56E2"/>
    <w:rsid w:val="008B128D"/>
    <w:rsid w:val="008B633D"/>
    <w:rsid w:val="008B7FFD"/>
    <w:rsid w:val="009040DB"/>
    <w:rsid w:val="0090410F"/>
    <w:rsid w:val="00910CD7"/>
    <w:rsid w:val="0092088E"/>
    <w:rsid w:val="00927EAC"/>
    <w:rsid w:val="0094219B"/>
    <w:rsid w:val="00957F25"/>
    <w:rsid w:val="00972570"/>
    <w:rsid w:val="00977F7F"/>
    <w:rsid w:val="009B0330"/>
    <w:rsid w:val="009B7AC3"/>
    <w:rsid w:val="009D5574"/>
    <w:rsid w:val="00A00697"/>
    <w:rsid w:val="00A13601"/>
    <w:rsid w:val="00A14586"/>
    <w:rsid w:val="00A5084B"/>
    <w:rsid w:val="00A51F5B"/>
    <w:rsid w:val="00A52EB4"/>
    <w:rsid w:val="00A53BAA"/>
    <w:rsid w:val="00A657C4"/>
    <w:rsid w:val="00A668C3"/>
    <w:rsid w:val="00A72B72"/>
    <w:rsid w:val="00A94A88"/>
    <w:rsid w:val="00A96E20"/>
    <w:rsid w:val="00AA3C0D"/>
    <w:rsid w:val="00AA721E"/>
    <w:rsid w:val="00AC2C09"/>
    <w:rsid w:val="00AD30B8"/>
    <w:rsid w:val="00AD7044"/>
    <w:rsid w:val="00AE0F54"/>
    <w:rsid w:val="00AF14BD"/>
    <w:rsid w:val="00AF3EE5"/>
    <w:rsid w:val="00AF55E3"/>
    <w:rsid w:val="00AF67BA"/>
    <w:rsid w:val="00B03343"/>
    <w:rsid w:val="00B13706"/>
    <w:rsid w:val="00B25DFD"/>
    <w:rsid w:val="00B34EF7"/>
    <w:rsid w:val="00B40C43"/>
    <w:rsid w:val="00B562D5"/>
    <w:rsid w:val="00B6395E"/>
    <w:rsid w:val="00B94D0E"/>
    <w:rsid w:val="00B979CF"/>
    <w:rsid w:val="00BB197D"/>
    <w:rsid w:val="00BC34B2"/>
    <w:rsid w:val="00BE58DB"/>
    <w:rsid w:val="00BE7EF2"/>
    <w:rsid w:val="00BF5D9C"/>
    <w:rsid w:val="00BF713B"/>
    <w:rsid w:val="00C329D7"/>
    <w:rsid w:val="00C71FDD"/>
    <w:rsid w:val="00C81CBF"/>
    <w:rsid w:val="00C8545B"/>
    <w:rsid w:val="00C9550B"/>
    <w:rsid w:val="00CB0BBD"/>
    <w:rsid w:val="00CB4067"/>
    <w:rsid w:val="00CB6109"/>
    <w:rsid w:val="00CE27CF"/>
    <w:rsid w:val="00D03B05"/>
    <w:rsid w:val="00D1241B"/>
    <w:rsid w:val="00D22E21"/>
    <w:rsid w:val="00D260B5"/>
    <w:rsid w:val="00D26DE8"/>
    <w:rsid w:val="00D4752E"/>
    <w:rsid w:val="00D55AB1"/>
    <w:rsid w:val="00D66EF8"/>
    <w:rsid w:val="00D81FBA"/>
    <w:rsid w:val="00D8225F"/>
    <w:rsid w:val="00D9097A"/>
    <w:rsid w:val="00D96AEE"/>
    <w:rsid w:val="00D97BC7"/>
    <w:rsid w:val="00DB764D"/>
    <w:rsid w:val="00DD58ED"/>
    <w:rsid w:val="00E20285"/>
    <w:rsid w:val="00E20E22"/>
    <w:rsid w:val="00E27066"/>
    <w:rsid w:val="00E34CF4"/>
    <w:rsid w:val="00E4438B"/>
    <w:rsid w:val="00E508BB"/>
    <w:rsid w:val="00E57C49"/>
    <w:rsid w:val="00E629E0"/>
    <w:rsid w:val="00E65269"/>
    <w:rsid w:val="00E65A4C"/>
    <w:rsid w:val="00E758A0"/>
    <w:rsid w:val="00EB30C7"/>
    <w:rsid w:val="00EF1E09"/>
    <w:rsid w:val="00EF25E4"/>
    <w:rsid w:val="00EF50DD"/>
    <w:rsid w:val="00F02776"/>
    <w:rsid w:val="00F0742E"/>
    <w:rsid w:val="00F26DD2"/>
    <w:rsid w:val="00F4460A"/>
    <w:rsid w:val="00F46C68"/>
    <w:rsid w:val="00F47EA1"/>
    <w:rsid w:val="00F57DFC"/>
    <w:rsid w:val="00F86B08"/>
    <w:rsid w:val="00F96C98"/>
    <w:rsid w:val="00FA1CDF"/>
    <w:rsid w:val="00FB15C0"/>
    <w:rsid w:val="00FC53C7"/>
    <w:rsid w:val="00FF2D4A"/>
    <w:rsid w:val="00F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15</cp:revision>
  <dcterms:created xsi:type="dcterms:W3CDTF">2023-01-12T10:16:00Z</dcterms:created>
  <dcterms:modified xsi:type="dcterms:W3CDTF">2023-01-16T15:13:00Z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