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B6A7" w14:textId="39842917" w:rsidR="005049A9" w:rsidRDefault="005049A9" w:rsidP="005049A9">
      <w:pPr>
        <w:pStyle w:val="Title"/>
        <w:jc w:val="center"/>
      </w:pPr>
      <w:r w:rsidRPr="005049A9">
        <w:rPr>
          <w:noProof/>
          <w:lang w:val="nl-NL" w:eastAsia="nl-NL"/>
        </w:rPr>
        <w:drawing>
          <wp:anchor distT="0" distB="0" distL="114300" distR="114300" simplePos="0" relativeHeight="251658240" behindDoc="0" locked="0" layoutInCell="1" allowOverlap="1" wp14:anchorId="53E5FC2F" wp14:editId="1E292A74">
            <wp:simplePos x="0" y="0"/>
            <wp:positionH relativeFrom="margin">
              <wp:align>center</wp:align>
            </wp:positionH>
            <wp:positionV relativeFrom="paragraph">
              <wp:posOffset>0</wp:posOffset>
            </wp:positionV>
            <wp:extent cx="2098415" cy="752475"/>
            <wp:effectExtent l="0" t="0" r="0" b="0"/>
            <wp:wrapNone/>
            <wp:docPr id="2050" name="Picture 2">
              <a:extLst xmlns:a="http://schemas.openxmlformats.org/drawingml/2006/main">
                <a:ext uri="{FF2B5EF4-FFF2-40B4-BE49-F238E27FC236}">
                  <a16:creationId xmlns:a16="http://schemas.microsoft.com/office/drawing/2014/main" id="{DC5CF1A7-753C-4952-8F0D-A77DEE87F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DC5CF1A7-753C-4952-8F0D-A77DEE87FB7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415" cy="752475"/>
                    </a:xfrm>
                    <a:prstGeom prst="rect">
                      <a:avLst/>
                    </a:prstGeom>
                    <a:noFill/>
                  </pic:spPr>
                </pic:pic>
              </a:graphicData>
            </a:graphic>
            <wp14:sizeRelH relativeFrom="margin">
              <wp14:pctWidth>0</wp14:pctWidth>
            </wp14:sizeRelH>
            <wp14:sizeRelV relativeFrom="margin">
              <wp14:pctHeight>0</wp14:pctHeight>
            </wp14:sizeRelV>
          </wp:anchor>
        </w:drawing>
      </w:r>
    </w:p>
    <w:p w14:paraId="6F4D26D3" w14:textId="77777777" w:rsidR="0054182D" w:rsidRPr="00A72B72" w:rsidRDefault="0054182D" w:rsidP="00B34EF7">
      <w:pPr>
        <w:pStyle w:val="Title"/>
        <w:rPr>
          <w:sz w:val="48"/>
          <w:szCs w:val="48"/>
        </w:rPr>
      </w:pPr>
    </w:p>
    <w:p w14:paraId="2AC16FEE" w14:textId="2B28AF7B" w:rsidR="00A5084B" w:rsidRPr="000C3CC4" w:rsidRDefault="001119BD" w:rsidP="001119BD">
      <w:pPr>
        <w:pStyle w:val="Title"/>
        <w:ind w:right="-180"/>
        <w:rPr>
          <w:sz w:val="44"/>
          <w:szCs w:val="44"/>
        </w:rPr>
      </w:pPr>
      <w:r w:rsidRPr="000C3CC4">
        <w:rPr>
          <w:sz w:val="44"/>
          <w:szCs w:val="44"/>
        </w:rPr>
        <w:t>Fresh Mushroom Sales Review</w:t>
      </w:r>
      <w:r w:rsidR="000C3CC4" w:rsidRPr="000C3CC4">
        <w:rPr>
          <w:sz w:val="44"/>
          <w:szCs w:val="44"/>
        </w:rPr>
        <w:t xml:space="preserve">; </w:t>
      </w:r>
      <w:r w:rsidR="00D22E21">
        <w:rPr>
          <w:sz w:val="44"/>
          <w:szCs w:val="44"/>
        </w:rPr>
        <w:t xml:space="preserve">YTD and </w:t>
      </w:r>
      <w:r w:rsidR="000C3CC4" w:rsidRPr="000C3CC4">
        <w:rPr>
          <w:sz w:val="44"/>
          <w:szCs w:val="44"/>
        </w:rPr>
        <w:t>4 w</w:t>
      </w:r>
      <w:r w:rsidR="00D22E21">
        <w:rPr>
          <w:sz w:val="44"/>
          <w:szCs w:val="44"/>
        </w:rPr>
        <w:t>.e.</w:t>
      </w:r>
      <w:r w:rsidR="000C3CC4" w:rsidRPr="000C3CC4">
        <w:rPr>
          <w:sz w:val="44"/>
          <w:szCs w:val="44"/>
        </w:rPr>
        <w:t xml:space="preserve"> </w:t>
      </w:r>
      <w:r w:rsidR="00910CD7">
        <w:rPr>
          <w:sz w:val="44"/>
          <w:szCs w:val="44"/>
        </w:rPr>
        <w:t>12.4</w:t>
      </w:r>
      <w:r w:rsidR="000C3CC4" w:rsidRPr="000C3CC4">
        <w:rPr>
          <w:sz w:val="44"/>
          <w:szCs w:val="44"/>
        </w:rPr>
        <w:t>.2022</w:t>
      </w:r>
    </w:p>
    <w:p w14:paraId="022A5B42" w14:textId="605814EC" w:rsidR="00B34EF7" w:rsidRDefault="00B34EF7" w:rsidP="00B34EF7">
      <w:pPr>
        <w:pStyle w:val="NoSpacing"/>
      </w:pPr>
    </w:p>
    <w:p w14:paraId="5B083E85" w14:textId="64A361CA" w:rsidR="00F86B08" w:rsidRDefault="00F86B08" w:rsidP="00927EAC">
      <w:pPr>
        <w:pStyle w:val="Heading2"/>
        <w:rPr>
          <w:b/>
          <w:bCs/>
          <w:color w:val="ED7D31" w:themeColor="accent2"/>
        </w:rPr>
      </w:pPr>
      <w:r>
        <w:rPr>
          <w:b/>
          <w:bCs/>
          <w:color w:val="ED7D31" w:themeColor="accent2"/>
        </w:rPr>
        <w:t>The Marketplace</w:t>
      </w:r>
    </w:p>
    <w:p w14:paraId="6DD208AF" w14:textId="0B225628" w:rsidR="007F098A" w:rsidRPr="00645A58" w:rsidRDefault="00645A58" w:rsidP="0005390A">
      <w:pPr>
        <w:pStyle w:val="NoSpacing"/>
        <w:rPr>
          <w:rFonts w:cstheme="minorHAnsi"/>
        </w:rPr>
      </w:pPr>
      <w:r w:rsidRPr="00645A58">
        <w:rPr>
          <w:rFonts w:cstheme="minorHAnsi"/>
        </w:rPr>
        <w:t>As one of the biggest food holidays in America, Thanksgiving sales make or break November for food retailing</w:t>
      </w:r>
      <w:r w:rsidR="00957F25" w:rsidRPr="00645A58">
        <w:rPr>
          <w:rFonts w:cstheme="minorHAnsi"/>
        </w:rPr>
        <w:t>.</w:t>
      </w:r>
      <w:r w:rsidRPr="00645A58">
        <w:rPr>
          <w:rFonts w:cstheme="minorHAnsi"/>
        </w:rPr>
        <w:t xml:space="preserve"> It is also one of the biggest months for mushroom sales. According to the IRI shopper survey, COVID was less of a concern with party sizes normalizing, but inflation made its marks</w:t>
      </w:r>
      <w:r w:rsidR="000C1DF9">
        <w:rPr>
          <w:rFonts w:cstheme="minorHAnsi"/>
        </w:rPr>
        <w:t>.</w:t>
      </w:r>
    </w:p>
    <w:p w14:paraId="31F4ABB6" w14:textId="34A6EBDD" w:rsidR="00F86B08" w:rsidRPr="00645A58" w:rsidRDefault="00645A58" w:rsidP="00645A58">
      <w:pPr>
        <w:pStyle w:val="NoSpacing"/>
        <w:numPr>
          <w:ilvl w:val="0"/>
          <w:numId w:val="3"/>
        </w:numPr>
        <w:rPr>
          <w:rFonts w:cstheme="minorHAnsi"/>
        </w:rPr>
      </w:pPr>
      <w:r w:rsidRPr="00645A58">
        <w:rPr>
          <w:rFonts w:cstheme="minorHAnsi"/>
        </w:rPr>
        <w:t xml:space="preserve">One in five Americans were worried about being able to afford the type of Thanksgiving celebration they usually have because of inflation. </w:t>
      </w:r>
    </w:p>
    <w:p w14:paraId="02B35B79" w14:textId="59EFCAAD" w:rsidR="00645A58" w:rsidRPr="00645A58" w:rsidRDefault="00645A58" w:rsidP="00645A58">
      <w:pPr>
        <w:pStyle w:val="NoSpacing"/>
        <w:numPr>
          <w:ilvl w:val="0"/>
          <w:numId w:val="3"/>
        </w:numPr>
        <w:rPr>
          <w:rFonts w:cstheme="minorHAnsi"/>
        </w:rPr>
      </w:pPr>
      <w:r w:rsidRPr="00645A58">
        <w:rPr>
          <w:rFonts w:cstheme="minorHAnsi"/>
        </w:rPr>
        <w:t>Historically, many categories see significant lifts in the runup to Thanksgiving</w:t>
      </w:r>
      <w:r w:rsidR="000C1DF9">
        <w:rPr>
          <w:rFonts w:cstheme="minorHAnsi"/>
        </w:rPr>
        <w:t>. While these patterns persisted</w:t>
      </w:r>
      <w:r w:rsidRPr="00645A58">
        <w:rPr>
          <w:rFonts w:cstheme="minorHAnsi"/>
        </w:rPr>
        <w:t>, volume was down</w:t>
      </w:r>
      <w:r w:rsidR="000C1DF9">
        <w:rPr>
          <w:rFonts w:cstheme="minorHAnsi"/>
        </w:rPr>
        <w:t xml:space="preserve"> year-on-year</w:t>
      </w:r>
      <w:r w:rsidRPr="00645A58">
        <w:rPr>
          <w:rFonts w:cstheme="minorHAnsi"/>
        </w:rPr>
        <w:t xml:space="preserve"> in almost all categories. </w:t>
      </w:r>
      <w:r w:rsidRPr="00645A58">
        <w:rPr>
          <w:rFonts w:cstheme="minorHAnsi"/>
        </w:rPr>
        <w:t xml:space="preserve">In the two weeks before Thanksgiving, prices were up more than 14% over year ago levels. </w:t>
      </w:r>
      <w:r w:rsidRPr="00645A58">
        <w:rPr>
          <w:rFonts w:cstheme="minorHAnsi"/>
        </w:rPr>
        <w:t>Inflation did continue to drive dollar gains for most.</w:t>
      </w:r>
    </w:p>
    <w:p w14:paraId="0AE6679B" w14:textId="22B802A8" w:rsidR="00645A58" w:rsidRPr="00645A58" w:rsidRDefault="00645A58" w:rsidP="00645A58">
      <w:pPr>
        <w:pStyle w:val="NoSpacing"/>
        <w:numPr>
          <w:ilvl w:val="0"/>
          <w:numId w:val="3"/>
        </w:numPr>
        <w:rPr>
          <w:rFonts w:cstheme="minorHAnsi"/>
        </w:rPr>
      </w:pPr>
      <w:r w:rsidRPr="00645A58">
        <w:rPr>
          <w:rFonts w:cstheme="minorHAnsi"/>
        </w:rPr>
        <w:t xml:space="preserve">The hybrid meal, </w:t>
      </w:r>
      <w:r>
        <w:rPr>
          <w:rFonts w:cstheme="minorHAnsi"/>
        </w:rPr>
        <w:t xml:space="preserve">mixing </w:t>
      </w:r>
      <w:r w:rsidRPr="00645A58">
        <w:rPr>
          <w:rFonts w:cstheme="minorHAnsi"/>
        </w:rPr>
        <w:t xml:space="preserve">scratch </w:t>
      </w:r>
      <w:r>
        <w:rPr>
          <w:rFonts w:cstheme="minorHAnsi"/>
        </w:rPr>
        <w:t xml:space="preserve">cooking with </w:t>
      </w:r>
      <w:r w:rsidRPr="00645A58">
        <w:rPr>
          <w:rFonts w:cstheme="minorHAnsi"/>
        </w:rPr>
        <w:t xml:space="preserve">semi- and fully-prepared items, </w:t>
      </w:r>
      <w:r>
        <w:rPr>
          <w:rFonts w:cstheme="minorHAnsi"/>
        </w:rPr>
        <w:t xml:space="preserve">represented two-thirds of </w:t>
      </w:r>
      <w:r w:rsidRPr="00645A58">
        <w:rPr>
          <w:rFonts w:cstheme="minorHAnsi"/>
        </w:rPr>
        <w:t>Thanksgiving meals this year</w:t>
      </w:r>
      <w:r w:rsidR="000C1DF9">
        <w:rPr>
          <w:rFonts w:cstheme="minorHAnsi"/>
        </w:rPr>
        <w:t xml:space="preserve"> — </w:t>
      </w:r>
      <w:r w:rsidR="00085508">
        <w:rPr>
          <w:rFonts w:cstheme="minorHAnsi"/>
        </w:rPr>
        <w:t xml:space="preserve">underscoring the importance of </w:t>
      </w:r>
      <w:r w:rsidR="000C1DF9">
        <w:rPr>
          <w:rFonts w:cstheme="minorHAnsi"/>
        </w:rPr>
        <w:t>mushroom</w:t>
      </w:r>
      <w:r w:rsidR="00085508">
        <w:rPr>
          <w:rFonts w:cstheme="minorHAnsi"/>
        </w:rPr>
        <w:t>s</w:t>
      </w:r>
      <w:r w:rsidR="000C1DF9">
        <w:rPr>
          <w:rFonts w:cstheme="minorHAnsi"/>
        </w:rPr>
        <w:t xml:space="preserve"> in deli-prepared options</w:t>
      </w:r>
      <w:r w:rsidRPr="00645A58">
        <w:rPr>
          <w:rFonts w:cstheme="minorHAnsi"/>
        </w:rPr>
        <w:t xml:space="preserve">. </w:t>
      </w:r>
    </w:p>
    <w:p w14:paraId="382D4B68" w14:textId="65C31940" w:rsidR="00645A58" w:rsidRPr="000C1DF9" w:rsidRDefault="00645A58" w:rsidP="000C1DF9">
      <w:pPr>
        <w:pStyle w:val="NoSpacing"/>
        <w:numPr>
          <w:ilvl w:val="0"/>
          <w:numId w:val="3"/>
        </w:numPr>
        <w:rPr>
          <w:rFonts w:cstheme="minorHAnsi"/>
        </w:rPr>
      </w:pPr>
      <w:r w:rsidRPr="00645A58">
        <w:rPr>
          <w:rFonts w:cstheme="minorHAnsi"/>
        </w:rPr>
        <w:t>Inflation plagues everyday grocery purchases also. A record-high 96% of consumers are concerned about the price increases</w:t>
      </w:r>
      <w:r w:rsidR="00085508">
        <w:rPr>
          <w:rFonts w:cstheme="minorHAnsi"/>
        </w:rPr>
        <w:t xml:space="preserve"> in grocery</w:t>
      </w:r>
      <w:r w:rsidR="000C1DF9">
        <w:rPr>
          <w:rFonts w:cstheme="minorHAnsi"/>
        </w:rPr>
        <w:t xml:space="preserve"> and a record </w:t>
      </w:r>
      <w:r w:rsidRPr="00645A58">
        <w:rPr>
          <w:rFonts w:cstheme="minorHAnsi"/>
        </w:rPr>
        <w:t xml:space="preserve">84% are making changes to their grocery shopping to manage inflation. Popular money-saving measures are sales specials, cutting back on non-essentials and buying store brands. At the same time, 54% of shoppers say fewer of the items they want are on sale and 50% believe the items are not discounted as much. </w:t>
      </w:r>
    </w:p>
    <w:p w14:paraId="6AEB6A9B" w14:textId="06D1E045" w:rsidR="00F86B08" w:rsidRDefault="00F86B08" w:rsidP="00F86B08">
      <w:pPr>
        <w:pStyle w:val="NoSpacing"/>
      </w:pPr>
    </w:p>
    <w:p w14:paraId="737234D5" w14:textId="7E09DA4A" w:rsidR="00927EAC" w:rsidRPr="00927EAC" w:rsidRDefault="00927EAC" w:rsidP="00927EAC">
      <w:pPr>
        <w:pStyle w:val="Heading2"/>
        <w:rPr>
          <w:b/>
          <w:bCs/>
          <w:color w:val="ED7D31" w:themeColor="accent2"/>
        </w:rPr>
      </w:pPr>
      <w:r w:rsidRPr="00927EAC">
        <w:rPr>
          <w:b/>
          <w:bCs/>
          <w:color w:val="ED7D31" w:themeColor="accent2"/>
        </w:rPr>
        <w:t>Dollars, Units and Volume Performance</w:t>
      </w:r>
    </w:p>
    <w:p w14:paraId="39C5E7B3" w14:textId="3AB9B78A" w:rsidR="00826014" w:rsidRDefault="005A3316" w:rsidP="00472B02">
      <w:pPr>
        <w:pStyle w:val="NoSpacing"/>
      </w:pPr>
      <w:r>
        <w:t xml:space="preserve">The </w:t>
      </w:r>
      <w:r w:rsidR="00826014">
        <w:t xml:space="preserve">persistent </w:t>
      </w:r>
      <w:r>
        <w:t>high</w:t>
      </w:r>
      <w:r w:rsidR="00826014">
        <w:t xml:space="preserve"> level of</w:t>
      </w:r>
      <w:r>
        <w:t xml:space="preserve"> inflation is </w:t>
      </w:r>
      <w:r w:rsidR="00826014">
        <w:t xml:space="preserve">continuing the now familiar sales patterns for most departments around the store, including fresh produce: dollars up </w:t>
      </w:r>
      <w:r w:rsidR="000C1DF9">
        <w:t xml:space="preserve">4.2% </w:t>
      </w:r>
      <w:r w:rsidR="00826014">
        <w:t xml:space="preserve">year-on-year, but units </w:t>
      </w:r>
      <w:r w:rsidR="000C1DF9">
        <w:t xml:space="preserve">(-1.0%) </w:t>
      </w:r>
      <w:r w:rsidR="00826014">
        <w:t xml:space="preserve">and volume </w:t>
      </w:r>
      <w:r w:rsidR="000C1DF9">
        <w:t xml:space="preserve">(-1.3%) </w:t>
      </w:r>
      <w:r w:rsidR="00826014">
        <w:t>down.</w:t>
      </w:r>
      <w:r w:rsidR="000C1DF9">
        <w:t xml:space="preserve"> T</w:t>
      </w:r>
      <w:r w:rsidR="00826014">
        <w:t>he dollar gains for fresh produce were below that of total food and beverages as inflation is slowing down rapidly</w:t>
      </w:r>
      <w:r w:rsidR="00030ABF">
        <w:t xml:space="preserve"> on the fruit side</w:t>
      </w:r>
      <w:r w:rsidR="00826014">
        <w:t>. Additionally, fresh fruit and vegetables lost share to frozen and canned as consumers emphasized price and shelf-life</w:t>
      </w:r>
      <w:r w:rsidR="00030ABF">
        <w:t xml:space="preserve">. </w:t>
      </w:r>
      <w:r w:rsidR="000C1DF9">
        <w:t>2022 saw fewer fresh produce department trips in 2022 and fewer units per trip. Fewer trips to the department altogether could be one of the underlying reasons for the lower engagement with fresh mushrooms as well — underscoring the importance of secondary displays.</w:t>
      </w:r>
    </w:p>
    <w:p w14:paraId="38CFFFCE" w14:textId="77777777" w:rsidR="00826014" w:rsidRDefault="00826014" w:rsidP="00472B02">
      <w:pPr>
        <w:pStyle w:val="NoSpacing"/>
      </w:pPr>
    </w:p>
    <w:p w14:paraId="47797D03" w14:textId="141AEA93" w:rsidR="00472B02" w:rsidRDefault="007D30DA" w:rsidP="00472B02">
      <w:pPr>
        <w:pStyle w:val="NoSpacing"/>
      </w:pPr>
      <w:r>
        <w:t>For the four weeks</w:t>
      </w:r>
      <w:r w:rsidR="00F4460A">
        <w:t xml:space="preserve"> ending </w:t>
      </w:r>
      <w:r w:rsidR="00910CD7">
        <w:t>December 4</w:t>
      </w:r>
      <w:r w:rsidR="00D1241B" w:rsidRPr="00D1241B">
        <w:rPr>
          <w:vertAlign w:val="superscript"/>
        </w:rPr>
        <w:t>th</w:t>
      </w:r>
      <w:r w:rsidR="00F4460A">
        <w:t>, 2022</w:t>
      </w:r>
      <w:r>
        <w:t xml:space="preserve">, </w:t>
      </w:r>
      <w:r w:rsidR="00124C8B">
        <w:t xml:space="preserve">fresh mushroom </w:t>
      </w:r>
      <w:r>
        <w:t>d</w:t>
      </w:r>
      <w:r w:rsidR="0092088E">
        <w:t xml:space="preserve">ollars </w:t>
      </w:r>
      <w:r>
        <w:t xml:space="preserve">decreased </w:t>
      </w:r>
      <w:r w:rsidR="003F77CF">
        <w:t>3.7</w:t>
      </w:r>
      <w:r w:rsidR="0092088E">
        <w:t>% year-over</w:t>
      </w:r>
      <w:r w:rsidR="00826014">
        <w:t>-</w:t>
      </w:r>
      <w:r w:rsidR="0092088E">
        <w:t>year</w:t>
      </w:r>
      <w:r w:rsidR="00D26DE8">
        <w:t xml:space="preserve"> </w:t>
      </w:r>
      <w:r w:rsidR="0092088E">
        <w:t xml:space="preserve">and volume declined </w:t>
      </w:r>
      <w:r>
        <w:t xml:space="preserve">by </w:t>
      </w:r>
      <w:r w:rsidR="003F77CF">
        <w:t>11.1</w:t>
      </w:r>
      <w:r w:rsidR="0092088E">
        <w:t xml:space="preserve">%. </w:t>
      </w:r>
      <w:r w:rsidR="00EF1E09">
        <w:t>Yea</w:t>
      </w:r>
      <w:r w:rsidR="00910CD7">
        <w:t xml:space="preserve">r-to-date, dollars were down </w:t>
      </w:r>
      <w:r w:rsidR="003F77CF">
        <w:t>4.0</w:t>
      </w:r>
      <w:r w:rsidR="00910CD7">
        <w:t xml:space="preserve">% versus year ago and pounds </w:t>
      </w:r>
      <w:r w:rsidR="003F77CF">
        <w:t>10.5</w:t>
      </w:r>
      <w:r w:rsidR="00EF1E09">
        <w:t xml:space="preserve">%. </w:t>
      </w:r>
      <w:r w:rsidR="00826014">
        <w:t>Dollars remained ahead of 2019 in both the shorter- and longer-term views,</w:t>
      </w:r>
      <w:r w:rsidR="00910CD7">
        <w:t xml:space="preserve"> but pounds are now </w:t>
      </w:r>
      <w:r w:rsidR="003F77CF">
        <w:t>2.4</w:t>
      </w:r>
      <w:r w:rsidR="00826014">
        <w:t>% behind those of 2019 in the year-to-date views</w:t>
      </w:r>
      <w:r w:rsidR="003F77CF">
        <w:t xml:space="preserve"> and</w:t>
      </w:r>
      <w:r w:rsidR="00910CD7">
        <w:t xml:space="preserve"> </w:t>
      </w:r>
      <w:r w:rsidR="003F77CF">
        <w:t>8.2</w:t>
      </w:r>
      <w:r w:rsidR="00030ABF">
        <w:t>% in the quad-week view versus pre-pandemic</w:t>
      </w:r>
      <w:r w:rsidR="00826014">
        <w:t xml:space="preserve">. </w:t>
      </w:r>
    </w:p>
    <w:p w14:paraId="40FAA348" w14:textId="6A56CCC2" w:rsidR="00AD7044" w:rsidRDefault="00AD7044" w:rsidP="00472B02">
      <w:pPr>
        <w:pStyle w:val="NoSpacing"/>
      </w:pPr>
    </w:p>
    <w:tbl>
      <w:tblPr>
        <w:tblStyle w:val="ListTable3-Accent2"/>
        <w:tblW w:w="10054" w:type="dxa"/>
        <w:tblLook w:val="04A0" w:firstRow="1" w:lastRow="0" w:firstColumn="1" w:lastColumn="0" w:noHBand="0" w:noVBand="1"/>
      </w:tblPr>
      <w:tblGrid>
        <w:gridCol w:w="1795"/>
        <w:gridCol w:w="1710"/>
        <w:gridCol w:w="1200"/>
        <w:gridCol w:w="1102"/>
        <w:gridCol w:w="1817"/>
        <w:gridCol w:w="135"/>
        <w:gridCol w:w="1098"/>
        <w:gridCol w:w="27"/>
        <w:gridCol w:w="1143"/>
        <w:gridCol w:w="27"/>
      </w:tblGrid>
      <w:tr w:rsidR="00AD7044" w:rsidRPr="00124CB7" w14:paraId="5D073D77" w14:textId="77777777" w:rsidTr="00AD7044">
        <w:trPr>
          <w:gridAfter w:val="1"/>
          <w:cnfStyle w:val="100000000000" w:firstRow="1" w:lastRow="0" w:firstColumn="0" w:lastColumn="0" w:oddVBand="0" w:evenVBand="0" w:oddHBand="0" w:evenHBand="0" w:firstRowFirstColumn="0" w:firstRowLastColumn="0" w:lastRowFirstColumn="0" w:lastRowLastColumn="0"/>
          <w:wAfter w:w="27" w:type="dxa"/>
        </w:trPr>
        <w:tc>
          <w:tcPr>
            <w:cnfStyle w:val="001000000100" w:firstRow="0" w:lastRow="0" w:firstColumn="1" w:lastColumn="0" w:oddVBand="0" w:evenVBand="0" w:oddHBand="0" w:evenHBand="0" w:firstRowFirstColumn="1" w:firstRowLastColumn="0" w:lastRowFirstColumn="0" w:lastRowLastColumn="0"/>
            <w:tcW w:w="1795" w:type="dxa"/>
          </w:tcPr>
          <w:p w14:paraId="0624EE87" w14:textId="77777777" w:rsidR="00AD7044" w:rsidRPr="00124CB7" w:rsidRDefault="00AD7044" w:rsidP="00AD7044">
            <w:pPr>
              <w:pStyle w:val="NoSpacing"/>
            </w:pPr>
            <w:r w:rsidRPr="00124CB7">
              <w:t>Fresh mushrooms</w:t>
            </w:r>
          </w:p>
        </w:tc>
        <w:tc>
          <w:tcPr>
            <w:tcW w:w="1710" w:type="dxa"/>
          </w:tcPr>
          <w:p w14:paraId="51DF6E55" w14:textId="598E6264" w:rsidR="00AD7044" w:rsidRPr="00124CB7" w:rsidRDefault="00AD7044" w:rsidP="00AD7044">
            <w:pPr>
              <w:pStyle w:val="NoSpacing"/>
              <w:jc w:val="right"/>
              <w:cnfStyle w:val="100000000000" w:firstRow="1" w:lastRow="0" w:firstColumn="0" w:lastColumn="0" w:oddVBand="0" w:evenVBand="0" w:oddHBand="0" w:evenHBand="0" w:firstRowFirstColumn="0" w:firstRowLastColumn="0" w:lastRowFirstColumn="0" w:lastRowLastColumn="0"/>
            </w:pPr>
            <w:r>
              <w:t xml:space="preserve">4 weeks ending </w:t>
            </w:r>
            <w:r w:rsidR="00910CD7">
              <w:t>12/4/2022</w:t>
            </w:r>
          </w:p>
        </w:tc>
        <w:tc>
          <w:tcPr>
            <w:tcW w:w="1200" w:type="dxa"/>
          </w:tcPr>
          <w:p w14:paraId="0398A30D" w14:textId="77777777" w:rsidR="00AD7044" w:rsidRPr="00124CB7" w:rsidRDefault="00AD7044" w:rsidP="00AD704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c>
          <w:tcPr>
            <w:tcW w:w="1102" w:type="dxa"/>
            <w:tcBorders>
              <w:right w:val="single" w:sz="4" w:space="0" w:color="ED7D31" w:themeColor="accent2"/>
            </w:tcBorders>
          </w:tcPr>
          <w:p w14:paraId="11B3D9FB" w14:textId="77777777" w:rsidR="00AD7044" w:rsidRPr="00124CB7" w:rsidRDefault="00AD7044" w:rsidP="00AD704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w:t>
            </w:r>
            <w:r>
              <w:t>19</w:t>
            </w:r>
          </w:p>
        </w:tc>
        <w:tc>
          <w:tcPr>
            <w:tcW w:w="1952" w:type="dxa"/>
            <w:gridSpan w:val="2"/>
            <w:tcBorders>
              <w:top w:val="single" w:sz="4" w:space="0" w:color="ED7D31" w:themeColor="accent2"/>
              <w:left w:val="single" w:sz="4" w:space="0" w:color="ED7D31" w:themeColor="accent2"/>
              <w:bottom w:val="single" w:sz="4" w:space="0" w:color="ED7D31" w:themeColor="accent2"/>
            </w:tcBorders>
          </w:tcPr>
          <w:p w14:paraId="3BBE24C3" w14:textId="2335B200" w:rsidR="00AD7044" w:rsidRPr="00124CB7" w:rsidRDefault="00AD7044" w:rsidP="00AD7044">
            <w:pPr>
              <w:pStyle w:val="NoSpacing"/>
              <w:jc w:val="right"/>
              <w:cnfStyle w:val="100000000000" w:firstRow="1" w:lastRow="0" w:firstColumn="0" w:lastColumn="0" w:oddVBand="0" w:evenVBand="0" w:oddHBand="0" w:evenHBand="0" w:firstRowFirstColumn="0" w:firstRowLastColumn="0" w:lastRowFirstColumn="0" w:lastRowLastColumn="0"/>
            </w:pPr>
            <w:r>
              <w:t xml:space="preserve">Building CY thru </w:t>
            </w:r>
            <w:r w:rsidR="00910CD7">
              <w:t>12/4/2022</w:t>
            </w:r>
          </w:p>
        </w:tc>
        <w:tc>
          <w:tcPr>
            <w:tcW w:w="1098" w:type="dxa"/>
          </w:tcPr>
          <w:p w14:paraId="0895179F" w14:textId="77777777" w:rsidR="00AD7044" w:rsidRPr="00124CB7" w:rsidRDefault="00AD7044" w:rsidP="00AD7044">
            <w:pPr>
              <w:pStyle w:val="NoSpacing"/>
              <w:jc w:val="right"/>
              <w:cnfStyle w:val="100000000000" w:firstRow="1" w:lastRow="0" w:firstColumn="0" w:lastColumn="0" w:oddVBand="0" w:evenVBand="0" w:oddHBand="0" w:evenHBand="0" w:firstRowFirstColumn="0" w:firstRowLastColumn="0" w:lastRowFirstColumn="0" w:lastRowLastColumn="0"/>
            </w:pPr>
            <w:r>
              <w:t>Vs. 2021</w:t>
            </w:r>
          </w:p>
        </w:tc>
        <w:tc>
          <w:tcPr>
            <w:tcW w:w="1170" w:type="dxa"/>
            <w:gridSpan w:val="2"/>
          </w:tcPr>
          <w:p w14:paraId="5AB7ECE0" w14:textId="77777777" w:rsidR="00AD7044" w:rsidRPr="00124CB7" w:rsidRDefault="00AD7044" w:rsidP="00AD7044">
            <w:pPr>
              <w:pStyle w:val="NoSpacing"/>
              <w:jc w:val="right"/>
              <w:cnfStyle w:val="100000000000" w:firstRow="1" w:lastRow="0" w:firstColumn="0" w:lastColumn="0" w:oddVBand="0" w:evenVBand="0" w:oddHBand="0" w:evenHBand="0" w:firstRowFirstColumn="0" w:firstRowLastColumn="0" w:lastRowFirstColumn="0" w:lastRowLastColumn="0"/>
            </w:pPr>
            <w:r>
              <w:t>Vs. 2019</w:t>
            </w:r>
          </w:p>
        </w:tc>
      </w:tr>
      <w:tr w:rsidR="00AD7044" w14:paraId="22401D5B" w14:textId="77777777" w:rsidTr="00AD704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95" w:type="dxa"/>
          </w:tcPr>
          <w:p w14:paraId="79CDF43D" w14:textId="77777777" w:rsidR="00AD7044" w:rsidRPr="00124CB7" w:rsidRDefault="00AD7044" w:rsidP="00AD7044">
            <w:pPr>
              <w:pStyle w:val="NoSpacing"/>
              <w:rPr>
                <w:b w:val="0"/>
                <w:bCs w:val="0"/>
              </w:rPr>
            </w:pPr>
            <w:r w:rsidRPr="00124CB7">
              <w:rPr>
                <w:b w:val="0"/>
                <w:bCs w:val="0"/>
              </w:rPr>
              <w:t>Dollars</w:t>
            </w:r>
          </w:p>
        </w:tc>
        <w:tc>
          <w:tcPr>
            <w:tcW w:w="1710" w:type="dxa"/>
          </w:tcPr>
          <w:p w14:paraId="6D1FCB95" w14:textId="4E1F7AC3"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485429">
              <w:t>99</w:t>
            </w:r>
            <w:r w:rsidR="00AD7044">
              <w:t xml:space="preserve"> million</w:t>
            </w:r>
          </w:p>
        </w:tc>
        <w:tc>
          <w:tcPr>
            <w:tcW w:w="1200" w:type="dxa"/>
          </w:tcPr>
          <w:p w14:paraId="77D2040B" w14:textId="1AA96744"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CB0BBD">
              <w:t>3.7</w:t>
            </w:r>
            <w:r w:rsidR="00AD7044">
              <w:t>%</w:t>
            </w:r>
          </w:p>
        </w:tc>
        <w:tc>
          <w:tcPr>
            <w:tcW w:w="1102" w:type="dxa"/>
            <w:tcBorders>
              <w:right w:val="single" w:sz="4" w:space="0" w:color="ED7D31" w:themeColor="accent2"/>
            </w:tcBorders>
          </w:tcPr>
          <w:p w14:paraId="4EF21002" w14:textId="69B50034"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CB0BBD">
              <w:t>4.8</w:t>
            </w:r>
            <w:r w:rsidR="00AD7044">
              <w:t>%</w:t>
            </w:r>
          </w:p>
        </w:tc>
        <w:tc>
          <w:tcPr>
            <w:tcW w:w="1817" w:type="dxa"/>
            <w:tcBorders>
              <w:left w:val="single" w:sz="4" w:space="0" w:color="ED7D31" w:themeColor="accent2"/>
            </w:tcBorders>
          </w:tcPr>
          <w:p w14:paraId="375CF9DD" w14:textId="3FAAD301"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CB0BBD">
              <w:t>1.2</w:t>
            </w:r>
            <w:r w:rsidR="00AD7044">
              <w:t xml:space="preserve"> billion</w:t>
            </w:r>
          </w:p>
        </w:tc>
        <w:tc>
          <w:tcPr>
            <w:tcW w:w="1260" w:type="dxa"/>
            <w:gridSpan w:val="3"/>
          </w:tcPr>
          <w:p w14:paraId="04EA64A9" w14:textId="760A41D5"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CB0BBD">
              <w:t>4.0</w:t>
            </w:r>
            <w:r w:rsidR="00AD7044">
              <w:t>%</w:t>
            </w:r>
          </w:p>
        </w:tc>
        <w:tc>
          <w:tcPr>
            <w:tcW w:w="1170" w:type="dxa"/>
            <w:gridSpan w:val="2"/>
          </w:tcPr>
          <w:p w14:paraId="2F2464E9" w14:textId="284AF628"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CB0BBD">
              <w:t>9.3</w:t>
            </w:r>
            <w:r w:rsidR="00AD7044">
              <w:t>%</w:t>
            </w:r>
          </w:p>
        </w:tc>
      </w:tr>
      <w:tr w:rsidR="00AD7044" w14:paraId="31FB8D29" w14:textId="77777777" w:rsidTr="00AD7044">
        <w:tc>
          <w:tcPr>
            <w:cnfStyle w:val="001000000000" w:firstRow="0" w:lastRow="0" w:firstColumn="1" w:lastColumn="0" w:oddVBand="0" w:evenVBand="0" w:oddHBand="0" w:evenHBand="0" w:firstRowFirstColumn="0" w:firstRowLastColumn="0" w:lastRowFirstColumn="0" w:lastRowLastColumn="0"/>
            <w:tcW w:w="1795" w:type="dxa"/>
          </w:tcPr>
          <w:p w14:paraId="10B2F651" w14:textId="77777777" w:rsidR="00AD7044" w:rsidRPr="00124CB7" w:rsidRDefault="00AD7044" w:rsidP="00AD7044">
            <w:pPr>
              <w:pStyle w:val="NoSpacing"/>
              <w:rPr>
                <w:b w:val="0"/>
                <w:bCs w:val="0"/>
              </w:rPr>
            </w:pPr>
            <w:r w:rsidRPr="00124CB7">
              <w:rPr>
                <w:b w:val="0"/>
                <w:bCs w:val="0"/>
              </w:rPr>
              <w:t>Units</w:t>
            </w:r>
          </w:p>
        </w:tc>
        <w:tc>
          <w:tcPr>
            <w:tcW w:w="1710" w:type="dxa"/>
          </w:tcPr>
          <w:p w14:paraId="3CA03520" w14:textId="1CA2887A" w:rsidR="00AD7044" w:rsidRDefault="00485429" w:rsidP="00485429">
            <w:pPr>
              <w:pStyle w:val="NoSpacing"/>
              <w:jc w:val="right"/>
              <w:cnfStyle w:val="000000000000" w:firstRow="0" w:lastRow="0" w:firstColumn="0" w:lastColumn="0" w:oddVBand="0" w:evenVBand="0" w:oddHBand="0" w:evenHBand="0" w:firstRowFirstColumn="0" w:firstRowLastColumn="0" w:lastRowFirstColumn="0" w:lastRowLastColumn="0"/>
            </w:pPr>
            <w:r>
              <w:t>32</w:t>
            </w:r>
            <w:r w:rsidR="00AD7044">
              <w:t xml:space="preserve"> million</w:t>
            </w:r>
          </w:p>
        </w:tc>
        <w:tc>
          <w:tcPr>
            <w:tcW w:w="1200" w:type="dxa"/>
          </w:tcPr>
          <w:p w14:paraId="6922F333" w14:textId="041FACDB" w:rsidR="00AD7044" w:rsidRDefault="00910CD7" w:rsidP="00AD7044">
            <w:pPr>
              <w:pStyle w:val="NoSpacing"/>
              <w:jc w:val="right"/>
              <w:cnfStyle w:val="000000000000" w:firstRow="0" w:lastRow="0" w:firstColumn="0" w:lastColumn="0" w:oddVBand="0" w:evenVBand="0" w:oddHBand="0" w:evenHBand="0" w:firstRowFirstColumn="0" w:firstRowLastColumn="0" w:lastRowFirstColumn="0" w:lastRowLastColumn="0"/>
            </w:pPr>
            <w:r>
              <w:t>-</w:t>
            </w:r>
            <w:r w:rsidR="00CB0BBD">
              <w:t>12.7</w:t>
            </w:r>
            <w:r w:rsidR="00AD7044">
              <w:t>%</w:t>
            </w:r>
          </w:p>
        </w:tc>
        <w:tc>
          <w:tcPr>
            <w:tcW w:w="1102" w:type="dxa"/>
            <w:tcBorders>
              <w:right w:val="single" w:sz="4" w:space="0" w:color="ED7D31" w:themeColor="accent2"/>
            </w:tcBorders>
          </w:tcPr>
          <w:p w14:paraId="7CD8DEEA" w14:textId="0423A78B" w:rsidR="00AD7044" w:rsidRDefault="00910CD7" w:rsidP="00AD7044">
            <w:pPr>
              <w:pStyle w:val="NoSpacing"/>
              <w:jc w:val="right"/>
              <w:cnfStyle w:val="000000000000" w:firstRow="0" w:lastRow="0" w:firstColumn="0" w:lastColumn="0" w:oddVBand="0" w:evenVBand="0" w:oddHBand="0" w:evenHBand="0" w:firstRowFirstColumn="0" w:firstRowLastColumn="0" w:lastRowFirstColumn="0" w:lastRowLastColumn="0"/>
            </w:pPr>
            <w:r>
              <w:t>-</w:t>
            </w:r>
            <w:r w:rsidR="00CB0BBD">
              <w:t>11.3</w:t>
            </w:r>
            <w:r w:rsidR="00AD7044">
              <w:t>%</w:t>
            </w:r>
          </w:p>
        </w:tc>
        <w:tc>
          <w:tcPr>
            <w:tcW w:w="1817" w:type="dxa"/>
            <w:tcBorders>
              <w:top w:val="single" w:sz="4" w:space="0" w:color="ED7D31" w:themeColor="accent2"/>
              <w:left w:val="single" w:sz="4" w:space="0" w:color="ED7D31" w:themeColor="accent2"/>
              <w:bottom w:val="single" w:sz="4" w:space="0" w:color="ED7D31" w:themeColor="accent2"/>
            </w:tcBorders>
          </w:tcPr>
          <w:p w14:paraId="26ECACB9" w14:textId="35595DCB" w:rsidR="00AD7044" w:rsidRDefault="00485429" w:rsidP="00AD7044">
            <w:pPr>
              <w:pStyle w:val="NoSpacing"/>
              <w:jc w:val="right"/>
              <w:cnfStyle w:val="000000000000" w:firstRow="0" w:lastRow="0" w:firstColumn="0" w:lastColumn="0" w:oddVBand="0" w:evenVBand="0" w:oddHBand="0" w:evenHBand="0" w:firstRowFirstColumn="0" w:firstRowLastColumn="0" w:lastRowFirstColumn="0" w:lastRowLastColumn="0"/>
            </w:pPr>
            <w:r>
              <w:t>399</w:t>
            </w:r>
            <w:r w:rsidR="00AD7044">
              <w:t xml:space="preserve"> million</w:t>
            </w:r>
          </w:p>
        </w:tc>
        <w:tc>
          <w:tcPr>
            <w:tcW w:w="1260" w:type="dxa"/>
            <w:gridSpan w:val="3"/>
          </w:tcPr>
          <w:p w14:paraId="60AAF678" w14:textId="165F0253" w:rsidR="00AD7044" w:rsidRDefault="00910CD7" w:rsidP="00AD7044">
            <w:pPr>
              <w:pStyle w:val="NoSpacing"/>
              <w:jc w:val="right"/>
              <w:cnfStyle w:val="000000000000" w:firstRow="0" w:lastRow="0" w:firstColumn="0" w:lastColumn="0" w:oddVBand="0" w:evenVBand="0" w:oddHBand="0" w:evenHBand="0" w:firstRowFirstColumn="0" w:firstRowLastColumn="0" w:lastRowFirstColumn="0" w:lastRowLastColumn="0"/>
            </w:pPr>
            <w:r>
              <w:t>-</w:t>
            </w:r>
            <w:r w:rsidR="00CB0BBD">
              <w:t>10.3</w:t>
            </w:r>
            <w:r w:rsidR="00AD7044">
              <w:t>%</w:t>
            </w:r>
          </w:p>
        </w:tc>
        <w:tc>
          <w:tcPr>
            <w:tcW w:w="1170" w:type="dxa"/>
            <w:gridSpan w:val="2"/>
          </w:tcPr>
          <w:p w14:paraId="19BE3B74" w14:textId="57D2A4FF" w:rsidR="00AD7044" w:rsidRDefault="00910CD7" w:rsidP="00AD7044">
            <w:pPr>
              <w:pStyle w:val="NoSpacing"/>
              <w:jc w:val="right"/>
              <w:cnfStyle w:val="000000000000" w:firstRow="0" w:lastRow="0" w:firstColumn="0" w:lastColumn="0" w:oddVBand="0" w:evenVBand="0" w:oddHBand="0" w:evenHBand="0" w:firstRowFirstColumn="0" w:firstRowLastColumn="0" w:lastRowFirstColumn="0" w:lastRowLastColumn="0"/>
            </w:pPr>
            <w:r>
              <w:t>-</w:t>
            </w:r>
            <w:r w:rsidR="00CB0BBD">
              <w:t>4.7</w:t>
            </w:r>
            <w:r w:rsidR="00AD7044">
              <w:t>%</w:t>
            </w:r>
          </w:p>
        </w:tc>
      </w:tr>
      <w:tr w:rsidR="00AD7044" w14:paraId="2EB720F3" w14:textId="77777777" w:rsidTr="00AD7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632454" w14:textId="77777777" w:rsidR="00AD7044" w:rsidRPr="00124CB7" w:rsidRDefault="00AD7044" w:rsidP="00AD7044">
            <w:pPr>
              <w:pStyle w:val="NoSpacing"/>
              <w:rPr>
                <w:b w:val="0"/>
                <w:bCs w:val="0"/>
              </w:rPr>
            </w:pPr>
            <w:r w:rsidRPr="00124CB7">
              <w:rPr>
                <w:b w:val="0"/>
                <w:bCs w:val="0"/>
              </w:rPr>
              <w:t>Volume</w:t>
            </w:r>
            <w:r>
              <w:rPr>
                <w:b w:val="0"/>
                <w:bCs w:val="0"/>
              </w:rPr>
              <w:t xml:space="preserve"> (pounds)</w:t>
            </w:r>
          </w:p>
        </w:tc>
        <w:tc>
          <w:tcPr>
            <w:tcW w:w="1710" w:type="dxa"/>
          </w:tcPr>
          <w:p w14:paraId="68757A76" w14:textId="51B9B398" w:rsidR="00AD7044" w:rsidRDefault="00485429" w:rsidP="00485429">
            <w:pPr>
              <w:pStyle w:val="NoSpacing"/>
              <w:tabs>
                <w:tab w:val="center" w:pos="747"/>
                <w:tab w:val="right" w:pos="1494"/>
              </w:tabs>
              <w:cnfStyle w:val="000000100000" w:firstRow="0" w:lastRow="0" w:firstColumn="0" w:lastColumn="0" w:oddVBand="0" w:evenVBand="0" w:oddHBand="1" w:evenHBand="0" w:firstRowFirstColumn="0" w:firstRowLastColumn="0" w:lastRowFirstColumn="0" w:lastRowLastColumn="0"/>
            </w:pPr>
            <w:r>
              <w:tab/>
              <w:t>21</w:t>
            </w:r>
            <w:r>
              <w:tab/>
            </w:r>
            <w:r w:rsidR="00AD7044">
              <w:t>million</w:t>
            </w:r>
          </w:p>
        </w:tc>
        <w:tc>
          <w:tcPr>
            <w:tcW w:w="1200" w:type="dxa"/>
          </w:tcPr>
          <w:p w14:paraId="7DE7F9CC" w14:textId="5049D874"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485429">
              <w:t>11.1</w:t>
            </w:r>
            <w:r w:rsidR="00AD7044">
              <w:t>%</w:t>
            </w:r>
          </w:p>
        </w:tc>
        <w:tc>
          <w:tcPr>
            <w:tcW w:w="1102" w:type="dxa"/>
            <w:tcBorders>
              <w:right w:val="single" w:sz="4" w:space="0" w:color="ED7D31" w:themeColor="accent2"/>
            </w:tcBorders>
          </w:tcPr>
          <w:p w14:paraId="47670DC1" w14:textId="39A84383"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485429">
              <w:t>8.2</w:t>
            </w:r>
            <w:r w:rsidR="00AD7044">
              <w:t>%</w:t>
            </w:r>
          </w:p>
        </w:tc>
        <w:tc>
          <w:tcPr>
            <w:tcW w:w="1817" w:type="dxa"/>
            <w:tcBorders>
              <w:left w:val="single" w:sz="4" w:space="0" w:color="ED7D31" w:themeColor="accent2"/>
            </w:tcBorders>
          </w:tcPr>
          <w:p w14:paraId="57878EB0" w14:textId="346AD44A" w:rsidR="00AD7044" w:rsidRDefault="00910CD7" w:rsidP="00910CD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pPr>
            <w:r>
              <w:t xml:space="preserve">           </w:t>
            </w:r>
            <w:r w:rsidR="00485429">
              <w:t>251</w:t>
            </w:r>
            <w:r w:rsidR="00AD7044">
              <w:t xml:space="preserve"> million</w:t>
            </w:r>
          </w:p>
        </w:tc>
        <w:tc>
          <w:tcPr>
            <w:tcW w:w="1260" w:type="dxa"/>
            <w:gridSpan w:val="3"/>
          </w:tcPr>
          <w:p w14:paraId="0679CD28" w14:textId="20B401AE"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485429">
              <w:t>10.5</w:t>
            </w:r>
            <w:r w:rsidR="00AD7044">
              <w:t>%</w:t>
            </w:r>
          </w:p>
        </w:tc>
        <w:tc>
          <w:tcPr>
            <w:tcW w:w="1170" w:type="dxa"/>
            <w:gridSpan w:val="2"/>
          </w:tcPr>
          <w:p w14:paraId="09C03B7F" w14:textId="5DB6733A"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485429">
              <w:t>2.4</w:t>
            </w:r>
            <w:r w:rsidR="00AD7044">
              <w:t>%</w:t>
            </w:r>
          </w:p>
        </w:tc>
      </w:tr>
    </w:tbl>
    <w:p w14:paraId="5B1F1AF6" w14:textId="6E222677" w:rsidR="0092088E"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977F7F">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910CD7">
        <w:rPr>
          <w:color w:val="7F7F7F" w:themeColor="text1" w:themeTint="80"/>
          <w:sz w:val="16"/>
          <w:szCs w:val="16"/>
        </w:rPr>
        <w:t>12/4/2022</w:t>
      </w:r>
    </w:p>
    <w:p w14:paraId="693975F5" w14:textId="5C6F2673" w:rsidR="000809C3" w:rsidRDefault="000809C3" w:rsidP="00472B02">
      <w:pPr>
        <w:pStyle w:val="NoSpacing"/>
      </w:pPr>
    </w:p>
    <w:p w14:paraId="6A743FB2" w14:textId="67096AF0" w:rsidR="000809C3" w:rsidRDefault="00730897" w:rsidP="00FF42F9">
      <w:pPr>
        <w:pStyle w:val="NoSpacing"/>
      </w:pPr>
      <w:r>
        <w:t>W</w:t>
      </w:r>
      <w:r w:rsidR="005547EE">
        <w:t xml:space="preserve">eekly sales </w:t>
      </w:r>
      <w:r>
        <w:t xml:space="preserve">for mushrooms </w:t>
      </w:r>
      <w:r w:rsidR="00BE7EF2">
        <w:t>averaged between</w:t>
      </w:r>
      <w:r w:rsidR="00085508">
        <w:t xml:space="preserve"> </w:t>
      </w:r>
      <w:r w:rsidR="00085508">
        <w:t>$22.2 million</w:t>
      </w:r>
      <w:r w:rsidR="00085508">
        <w:t xml:space="preserve"> and</w:t>
      </w:r>
      <w:r w:rsidR="00BE7EF2">
        <w:t xml:space="preserve"> $</w:t>
      </w:r>
      <w:r w:rsidR="00312734">
        <w:t>27.1</w:t>
      </w:r>
      <w:r w:rsidR="00085508">
        <w:t xml:space="preserve"> million the week leading up to Thanksgiving. This was </w:t>
      </w:r>
      <w:r w:rsidR="00F47EA1">
        <w:t xml:space="preserve">an improvement for each </w:t>
      </w:r>
      <w:r w:rsidR="00085508">
        <w:t xml:space="preserve">week </w:t>
      </w:r>
      <w:r w:rsidR="00F47EA1">
        <w:t>when compared to the prior quad</w:t>
      </w:r>
      <w:r w:rsidR="00085508">
        <w:t>-</w:t>
      </w:r>
      <w:r w:rsidR="00F47EA1">
        <w:t xml:space="preserve">week period. Total pounds increased compared to the prior quad-week as well — following prior-year patterns that show an increase in mushroom sales from August through the end of the year </w:t>
      </w:r>
      <w:r w:rsidR="00347E3A">
        <w:t>(see forecast tab)</w:t>
      </w:r>
      <w:r w:rsidR="00677889">
        <w:t xml:space="preserve">. </w:t>
      </w:r>
      <w:r w:rsidR="00085508">
        <w:t xml:space="preserve">This quad week period is typically one of the biggest ones. While this was case, volume </w:t>
      </w:r>
      <w:r w:rsidR="00EF1E09">
        <w:t>remain</w:t>
      </w:r>
      <w:r w:rsidR="00085508">
        <w:t>ed</w:t>
      </w:r>
      <w:r w:rsidR="00EF1E09">
        <w:t xml:space="preserve"> behind year-ago</w:t>
      </w:r>
      <w:r w:rsidR="00085508">
        <w:t xml:space="preserve"> and 2019</w:t>
      </w:r>
      <w:r w:rsidR="00EF1E09">
        <w:t xml:space="preserve"> levels. </w:t>
      </w:r>
    </w:p>
    <w:p w14:paraId="121F64A3" w14:textId="77777777" w:rsidR="00D55AB1" w:rsidRDefault="00D55AB1" w:rsidP="00FF42F9">
      <w:pPr>
        <w:pStyle w:val="NoSpacing"/>
      </w:pPr>
    </w:p>
    <w:p w14:paraId="71B34E16" w14:textId="77777777" w:rsidR="00FF42F9" w:rsidRDefault="00FF42F9" w:rsidP="00FF42F9">
      <w:pPr>
        <w:pStyle w:val="NoSpacing"/>
      </w:pPr>
    </w:p>
    <w:tbl>
      <w:tblPr>
        <w:tblStyle w:val="ListTable3-Accent2"/>
        <w:tblW w:w="9985" w:type="dxa"/>
        <w:tblLook w:val="04A0" w:firstRow="1" w:lastRow="0" w:firstColumn="1" w:lastColumn="0" w:noHBand="0" w:noVBand="1"/>
      </w:tblPr>
      <w:tblGrid>
        <w:gridCol w:w="2122"/>
        <w:gridCol w:w="997"/>
        <w:gridCol w:w="1291"/>
        <w:gridCol w:w="1291"/>
        <w:gridCol w:w="1134"/>
        <w:gridCol w:w="1530"/>
        <w:gridCol w:w="1620"/>
      </w:tblGrid>
      <w:tr w:rsidR="000809C3" w:rsidRPr="00DE633B" w14:paraId="5AF9AC2D" w14:textId="77777777" w:rsidTr="008B633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122" w:type="dxa"/>
          </w:tcPr>
          <w:p w14:paraId="3CBC11F7" w14:textId="77777777" w:rsidR="000809C3" w:rsidRPr="006A7A6E" w:rsidRDefault="000809C3" w:rsidP="000809C3">
            <w:pPr>
              <w:rPr>
                <w:rFonts w:cstheme="minorHAnsi"/>
              </w:rPr>
            </w:pPr>
            <w:r w:rsidRPr="006A7A6E">
              <w:rPr>
                <w:rFonts w:cstheme="minorHAnsi"/>
              </w:rPr>
              <w:t>Fresh mushrooms</w:t>
            </w:r>
          </w:p>
        </w:tc>
        <w:tc>
          <w:tcPr>
            <w:tcW w:w="997" w:type="dxa"/>
          </w:tcPr>
          <w:p w14:paraId="160A0879" w14:textId="77777777"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w:t>
            </w:r>
            <w:r w:rsidRPr="006A7A6E">
              <w:rPr>
                <w:rFonts w:cstheme="minorHAnsi"/>
              </w:rPr>
              <w:br/>
              <w:t>sales</w:t>
            </w:r>
          </w:p>
        </w:tc>
        <w:tc>
          <w:tcPr>
            <w:tcW w:w="1291" w:type="dxa"/>
          </w:tcPr>
          <w:p w14:paraId="19F3D856" w14:textId="77777777"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Dollar gains vs. 2021</w:t>
            </w:r>
          </w:p>
        </w:tc>
        <w:tc>
          <w:tcPr>
            <w:tcW w:w="1291" w:type="dxa"/>
            <w:tcBorders>
              <w:right w:val="single" w:sz="4" w:space="0" w:color="ED7D31" w:themeColor="accent2"/>
            </w:tcBorders>
          </w:tcPr>
          <w:p w14:paraId="3ABF0E92" w14:textId="6E27270E"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Dollar gains vs. 20</w:t>
            </w:r>
            <w:r w:rsidR="00FF42F9">
              <w:rPr>
                <w:rFonts w:cstheme="minorHAnsi"/>
              </w:rPr>
              <w:t>19</w:t>
            </w:r>
          </w:p>
        </w:tc>
        <w:tc>
          <w:tcPr>
            <w:tcW w:w="1134" w:type="dxa"/>
            <w:tcBorders>
              <w:left w:val="single" w:sz="4" w:space="0" w:color="ED7D31" w:themeColor="accent2"/>
            </w:tcBorders>
          </w:tcPr>
          <w:p w14:paraId="4E9EBAC6" w14:textId="64CD0FF1"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w:t>
            </w:r>
            <w:r w:rsidRPr="006A7A6E">
              <w:rPr>
                <w:rFonts w:cstheme="minorHAnsi"/>
              </w:rPr>
              <w:br/>
              <w:t>sales</w:t>
            </w:r>
          </w:p>
        </w:tc>
        <w:tc>
          <w:tcPr>
            <w:tcW w:w="1530" w:type="dxa"/>
          </w:tcPr>
          <w:p w14:paraId="3A701F90" w14:textId="754623E0"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Volume gains vs. 2021</w:t>
            </w:r>
          </w:p>
        </w:tc>
        <w:tc>
          <w:tcPr>
            <w:tcW w:w="1620" w:type="dxa"/>
          </w:tcPr>
          <w:p w14:paraId="7A77A4C9" w14:textId="76254015"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Volume gains vs. 20</w:t>
            </w:r>
            <w:r w:rsidR="00FF42F9">
              <w:rPr>
                <w:rFonts w:cstheme="minorHAnsi"/>
              </w:rPr>
              <w:t>19</w:t>
            </w:r>
          </w:p>
        </w:tc>
      </w:tr>
      <w:tr w:rsidR="000809C3" w14:paraId="69B1B691"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374F2F9C" w14:textId="1028FDF5" w:rsidR="000809C3" w:rsidRPr="006A7A6E" w:rsidRDefault="000C3CC4" w:rsidP="000809C3">
            <w:pPr>
              <w:pStyle w:val="NoSpacing"/>
              <w:rPr>
                <w:rFonts w:cstheme="minorHAnsi"/>
                <w:color w:val="000000" w:themeColor="text1"/>
              </w:rPr>
            </w:pPr>
            <w:r>
              <w:rPr>
                <w:rFonts w:cstheme="minorHAnsi"/>
                <w:color w:val="000000" w:themeColor="text1"/>
              </w:rPr>
              <w:t xml:space="preserve">4 w.e. </w:t>
            </w:r>
            <w:r w:rsidR="00910CD7">
              <w:rPr>
                <w:rFonts w:cstheme="minorHAnsi"/>
                <w:color w:val="000000" w:themeColor="text1"/>
              </w:rPr>
              <w:t>12/4/2022</w:t>
            </w:r>
          </w:p>
        </w:tc>
        <w:tc>
          <w:tcPr>
            <w:tcW w:w="997" w:type="dxa"/>
          </w:tcPr>
          <w:p w14:paraId="73E257C6" w14:textId="62B7F49A"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485429">
              <w:rPr>
                <w:rFonts w:cstheme="minorHAnsi"/>
                <w:b/>
                <w:bCs/>
                <w:color w:val="000000" w:themeColor="text1"/>
              </w:rPr>
              <w:t>98.6</w:t>
            </w:r>
            <w:r w:rsidRPr="006A7A6E">
              <w:rPr>
                <w:rFonts w:cstheme="minorHAnsi"/>
                <w:b/>
                <w:bCs/>
                <w:color w:val="000000" w:themeColor="text1"/>
              </w:rPr>
              <w:t>M</w:t>
            </w:r>
          </w:p>
        </w:tc>
        <w:tc>
          <w:tcPr>
            <w:tcW w:w="1291" w:type="dxa"/>
          </w:tcPr>
          <w:p w14:paraId="4D4E3A8B" w14:textId="2A6D36A1"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485429">
              <w:rPr>
                <w:rFonts w:cstheme="minorHAnsi"/>
                <w:b/>
                <w:bCs/>
                <w:color w:val="000000" w:themeColor="text1"/>
              </w:rPr>
              <w:t>3.7</w:t>
            </w:r>
            <w:r w:rsidRPr="006A7A6E">
              <w:rPr>
                <w:rFonts w:cstheme="minorHAnsi"/>
                <w:b/>
                <w:bCs/>
                <w:color w:val="000000" w:themeColor="text1"/>
              </w:rPr>
              <w:t>%</w:t>
            </w:r>
          </w:p>
        </w:tc>
        <w:tc>
          <w:tcPr>
            <w:tcW w:w="1291" w:type="dxa"/>
            <w:tcBorders>
              <w:right w:val="single" w:sz="4" w:space="0" w:color="ED7D31" w:themeColor="accent2"/>
            </w:tcBorders>
          </w:tcPr>
          <w:p w14:paraId="4D28CAD3" w14:textId="5731FEB7" w:rsidR="000809C3" w:rsidRPr="006A7A6E" w:rsidRDefault="00145E27"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w:t>
            </w:r>
            <w:r w:rsidR="00485429">
              <w:rPr>
                <w:rFonts w:cstheme="minorHAnsi"/>
                <w:b/>
                <w:bCs/>
                <w:color w:val="000000" w:themeColor="text1"/>
              </w:rPr>
              <w:t>4.8</w:t>
            </w:r>
            <w:r w:rsidR="000809C3" w:rsidRPr="006A7A6E">
              <w:rPr>
                <w:rFonts w:cstheme="minorHAnsi"/>
                <w:b/>
                <w:bCs/>
                <w:color w:val="000000" w:themeColor="text1"/>
              </w:rPr>
              <w:t>%</w:t>
            </w:r>
          </w:p>
        </w:tc>
        <w:tc>
          <w:tcPr>
            <w:tcW w:w="1134" w:type="dxa"/>
            <w:tcBorders>
              <w:left w:val="single" w:sz="4" w:space="0" w:color="ED7D31" w:themeColor="accent2"/>
            </w:tcBorders>
          </w:tcPr>
          <w:p w14:paraId="30F9E2CF" w14:textId="5530DA21" w:rsidR="000809C3" w:rsidRPr="006A7A6E" w:rsidRDefault="00485429"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20.7</w:t>
            </w:r>
            <w:r w:rsidR="000809C3" w:rsidRPr="006A7A6E">
              <w:rPr>
                <w:rFonts w:cstheme="minorHAnsi"/>
                <w:b/>
                <w:bCs/>
                <w:color w:val="000000" w:themeColor="text1"/>
              </w:rPr>
              <w:t>M</w:t>
            </w:r>
          </w:p>
        </w:tc>
        <w:tc>
          <w:tcPr>
            <w:tcW w:w="1530" w:type="dxa"/>
          </w:tcPr>
          <w:p w14:paraId="7D7EF716" w14:textId="749664CB"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485429">
              <w:rPr>
                <w:rFonts w:cstheme="minorHAnsi"/>
                <w:b/>
                <w:bCs/>
                <w:color w:val="000000" w:themeColor="text1"/>
              </w:rPr>
              <w:t>11.1</w:t>
            </w:r>
            <w:r w:rsidRPr="006A7A6E">
              <w:rPr>
                <w:rFonts w:cstheme="minorHAnsi"/>
                <w:b/>
                <w:bCs/>
                <w:color w:val="000000" w:themeColor="text1"/>
              </w:rPr>
              <w:t>%</w:t>
            </w:r>
          </w:p>
        </w:tc>
        <w:tc>
          <w:tcPr>
            <w:tcW w:w="1620" w:type="dxa"/>
          </w:tcPr>
          <w:p w14:paraId="0ADA09AC" w14:textId="5F6D7D34" w:rsidR="000809C3" w:rsidRPr="006A7A6E" w:rsidRDefault="0086198D"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w:t>
            </w:r>
            <w:r w:rsidR="00485429">
              <w:rPr>
                <w:rFonts w:cstheme="minorHAnsi"/>
                <w:b/>
                <w:bCs/>
                <w:color w:val="000000" w:themeColor="text1"/>
              </w:rPr>
              <w:t>8.2</w:t>
            </w:r>
            <w:r w:rsidR="000809C3" w:rsidRPr="006A7A6E">
              <w:rPr>
                <w:rFonts w:cstheme="minorHAnsi"/>
                <w:b/>
                <w:bCs/>
                <w:color w:val="000000" w:themeColor="text1"/>
              </w:rPr>
              <w:t>%</w:t>
            </w:r>
          </w:p>
        </w:tc>
      </w:tr>
      <w:tr w:rsidR="0004266D" w14:paraId="4161B78F" w14:textId="77777777" w:rsidTr="008B633D">
        <w:trPr>
          <w:trHeight w:val="255"/>
        </w:trPr>
        <w:tc>
          <w:tcPr>
            <w:cnfStyle w:val="001000000000" w:firstRow="0" w:lastRow="0" w:firstColumn="1" w:lastColumn="0" w:oddVBand="0" w:evenVBand="0" w:oddHBand="0" w:evenHBand="0" w:firstRowFirstColumn="0" w:firstRowLastColumn="0" w:lastRowFirstColumn="0" w:lastRowLastColumn="0"/>
            <w:tcW w:w="2122" w:type="dxa"/>
          </w:tcPr>
          <w:p w14:paraId="61B5C386" w14:textId="6EE93C0F" w:rsidR="0004266D" w:rsidRPr="006A7A6E" w:rsidRDefault="0004266D" w:rsidP="0004266D">
            <w:pPr>
              <w:pStyle w:val="NoSpacing"/>
              <w:rPr>
                <w:rFonts w:cstheme="minorHAnsi"/>
                <w:b w:val="0"/>
                <w:color w:val="000000" w:themeColor="text1"/>
              </w:rPr>
            </w:pPr>
            <w:r w:rsidRPr="006A7A6E">
              <w:rPr>
                <w:rFonts w:cstheme="minorHAnsi"/>
                <w:b w:val="0"/>
                <w:color w:val="000000" w:themeColor="text1"/>
              </w:rPr>
              <w:t xml:space="preserve">w.e. </w:t>
            </w:r>
            <w:r w:rsidR="00910CD7">
              <w:rPr>
                <w:rFonts w:cstheme="minorHAnsi"/>
                <w:b w:val="0"/>
                <w:color w:val="000000" w:themeColor="text1"/>
              </w:rPr>
              <w:t>11</w:t>
            </w:r>
            <w:r w:rsidRPr="006A7A6E">
              <w:rPr>
                <w:rFonts w:cstheme="minorHAnsi"/>
                <w:b w:val="0"/>
                <w:color w:val="000000" w:themeColor="text1"/>
              </w:rPr>
              <w:t>/</w:t>
            </w:r>
            <w:r w:rsidR="00910CD7">
              <w:rPr>
                <w:rFonts w:cstheme="minorHAnsi"/>
                <w:b w:val="0"/>
                <w:color w:val="000000" w:themeColor="text1"/>
              </w:rPr>
              <w:t>13</w:t>
            </w:r>
            <w:r w:rsidRPr="006A7A6E">
              <w:rPr>
                <w:rFonts w:cstheme="minorHAnsi"/>
                <w:b w:val="0"/>
                <w:color w:val="000000" w:themeColor="text1"/>
              </w:rPr>
              <w:t>/2022</w:t>
            </w:r>
          </w:p>
        </w:tc>
        <w:tc>
          <w:tcPr>
            <w:tcW w:w="997" w:type="dxa"/>
          </w:tcPr>
          <w:p w14:paraId="151AC645" w14:textId="2E44C8AB" w:rsidR="0004266D" w:rsidRPr="0004266D" w:rsidRDefault="0004266D"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85429">
              <w:rPr>
                <w:rFonts w:cstheme="minorHAnsi"/>
                <w:color w:val="000000" w:themeColor="text1"/>
              </w:rPr>
              <w:t>23.5</w:t>
            </w:r>
            <w:r w:rsidRPr="0004266D">
              <w:rPr>
                <w:rFonts w:cstheme="minorHAnsi"/>
                <w:color w:val="000000" w:themeColor="text1"/>
              </w:rPr>
              <w:t>M</w:t>
            </w:r>
          </w:p>
        </w:tc>
        <w:tc>
          <w:tcPr>
            <w:tcW w:w="1291" w:type="dxa"/>
          </w:tcPr>
          <w:p w14:paraId="3F350FB2" w14:textId="17B24D8A" w:rsidR="0004266D" w:rsidRPr="0004266D" w:rsidRDefault="0004266D"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F02776">
              <w:rPr>
                <w:rFonts w:cstheme="minorHAnsi"/>
                <w:color w:val="000000" w:themeColor="text1"/>
              </w:rPr>
              <w:t>3.9</w:t>
            </w:r>
            <w:r w:rsidRPr="0004266D">
              <w:rPr>
                <w:rFonts w:cstheme="minorHAnsi"/>
                <w:color w:val="000000" w:themeColor="text1"/>
              </w:rPr>
              <w:t>%</w:t>
            </w:r>
          </w:p>
        </w:tc>
        <w:tc>
          <w:tcPr>
            <w:tcW w:w="1291" w:type="dxa"/>
            <w:tcBorders>
              <w:right w:val="single" w:sz="4" w:space="0" w:color="ED7D31" w:themeColor="accent2"/>
            </w:tcBorders>
          </w:tcPr>
          <w:p w14:paraId="71A7F634" w14:textId="6FEC4A14" w:rsidR="0004266D" w:rsidRPr="0004266D" w:rsidRDefault="00FF42F9"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r w:rsidR="00F02776">
              <w:rPr>
                <w:rFonts w:cstheme="minorHAnsi"/>
                <w:color w:val="000000" w:themeColor="text1"/>
              </w:rPr>
              <w:t>5.1</w:t>
            </w:r>
            <w:r w:rsidR="0004266D" w:rsidRPr="0004266D">
              <w:rPr>
                <w:rFonts w:cstheme="minorHAnsi"/>
                <w:color w:val="000000" w:themeColor="text1"/>
              </w:rPr>
              <w:t>%</w:t>
            </w:r>
          </w:p>
        </w:tc>
        <w:tc>
          <w:tcPr>
            <w:tcW w:w="1134" w:type="dxa"/>
            <w:tcBorders>
              <w:left w:val="single" w:sz="4" w:space="0" w:color="ED7D31" w:themeColor="accent2"/>
            </w:tcBorders>
          </w:tcPr>
          <w:p w14:paraId="539D2139" w14:textId="1B8BC417" w:rsidR="0004266D" w:rsidRPr="0004266D" w:rsidRDefault="00485429"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4.9</w:t>
            </w:r>
            <w:r w:rsidR="0004266D" w:rsidRPr="0004266D">
              <w:rPr>
                <w:rFonts w:cstheme="minorHAnsi"/>
                <w:color w:val="000000" w:themeColor="text1"/>
              </w:rPr>
              <w:t>M</w:t>
            </w:r>
          </w:p>
        </w:tc>
        <w:tc>
          <w:tcPr>
            <w:tcW w:w="1530" w:type="dxa"/>
          </w:tcPr>
          <w:p w14:paraId="4E107D1E" w14:textId="28CBC03B" w:rsidR="0004266D" w:rsidRPr="0004266D" w:rsidRDefault="0004266D"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F02776">
              <w:rPr>
                <w:rFonts w:cstheme="minorHAnsi"/>
                <w:color w:val="000000" w:themeColor="text1"/>
              </w:rPr>
              <w:t>12.6</w:t>
            </w:r>
            <w:r w:rsidRPr="0004266D">
              <w:rPr>
                <w:rFonts w:cstheme="minorHAnsi"/>
                <w:color w:val="000000" w:themeColor="text1"/>
              </w:rPr>
              <w:t>%</w:t>
            </w:r>
          </w:p>
        </w:tc>
        <w:tc>
          <w:tcPr>
            <w:tcW w:w="1620" w:type="dxa"/>
          </w:tcPr>
          <w:p w14:paraId="699CD9F0" w14:textId="3C8CB718" w:rsidR="0004266D" w:rsidRPr="0004266D" w:rsidRDefault="00910CD7"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r w:rsidR="00F02776">
              <w:rPr>
                <w:rFonts w:cstheme="minorHAnsi"/>
                <w:color w:val="000000" w:themeColor="text1"/>
              </w:rPr>
              <w:t>8.5</w:t>
            </w:r>
            <w:r w:rsidR="0004266D" w:rsidRPr="0004266D">
              <w:rPr>
                <w:rFonts w:cstheme="minorHAnsi"/>
                <w:color w:val="000000" w:themeColor="text1"/>
              </w:rPr>
              <w:t>%</w:t>
            </w:r>
          </w:p>
        </w:tc>
      </w:tr>
      <w:tr w:rsidR="005547EE" w14:paraId="46E32385"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5CCBCDF3" w14:textId="227CD164" w:rsidR="005547EE" w:rsidRPr="006A7A6E" w:rsidRDefault="005547EE" w:rsidP="005547EE">
            <w:pPr>
              <w:rPr>
                <w:rFonts w:cstheme="minorHAnsi"/>
                <w:color w:val="000000" w:themeColor="text1"/>
              </w:rPr>
            </w:pPr>
            <w:r w:rsidRPr="006A7A6E">
              <w:rPr>
                <w:rFonts w:cstheme="minorHAnsi"/>
                <w:b w:val="0"/>
                <w:color w:val="000000" w:themeColor="text1"/>
              </w:rPr>
              <w:t xml:space="preserve">w.e. </w:t>
            </w:r>
            <w:r w:rsidR="00910CD7">
              <w:rPr>
                <w:rFonts w:cstheme="minorHAnsi"/>
                <w:b w:val="0"/>
                <w:color w:val="000000" w:themeColor="text1"/>
              </w:rPr>
              <w:t>11</w:t>
            </w:r>
            <w:r w:rsidRPr="006A7A6E">
              <w:rPr>
                <w:rFonts w:cstheme="minorHAnsi"/>
                <w:b w:val="0"/>
                <w:color w:val="000000" w:themeColor="text1"/>
              </w:rPr>
              <w:t>/</w:t>
            </w:r>
            <w:r w:rsidR="00910CD7">
              <w:rPr>
                <w:rFonts w:cstheme="minorHAnsi"/>
                <w:b w:val="0"/>
                <w:color w:val="000000" w:themeColor="text1"/>
              </w:rPr>
              <w:t>20</w:t>
            </w:r>
            <w:r w:rsidRPr="006A7A6E">
              <w:rPr>
                <w:rFonts w:cstheme="minorHAnsi"/>
                <w:b w:val="0"/>
                <w:color w:val="000000" w:themeColor="text1"/>
              </w:rPr>
              <w:t>/2022</w:t>
            </w:r>
          </w:p>
        </w:tc>
        <w:tc>
          <w:tcPr>
            <w:tcW w:w="997" w:type="dxa"/>
          </w:tcPr>
          <w:p w14:paraId="11A8DDCA" w14:textId="1D2F20BA"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85429">
              <w:rPr>
                <w:rFonts w:cstheme="minorHAnsi"/>
                <w:color w:val="000000" w:themeColor="text1"/>
              </w:rPr>
              <w:t>25.9</w:t>
            </w:r>
            <w:r w:rsidRPr="0004266D">
              <w:rPr>
                <w:rFonts w:cstheme="minorHAnsi"/>
                <w:color w:val="000000" w:themeColor="text1"/>
              </w:rPr>
              <w:t>M</w:t>
            </w:r>
          </w:p>
        </w:tc>
        <w:tc>
          <w:tcPr>
            <w:tcW w:w="1291" w:type="dxa"/>
          </w:tcPr>
          <w:p w14:paraId="16514130" w14:textId="338CAFC7"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F02776">
              <w:rPr>
                <w:rFonts w:cstheme="minorHAnsi"/>
                <w:color w:val="000000" w:themeColor="text1"/>
              </w:rPr>
              <w:t>3.8</w:t>
            </w:r>
            <w:r w:rsidRPr="0004266D">
              <w:rPr>
                <w:rFonts w:cstheme="minorHAnsi"/>
                <w:color w:val="000000" w:themeColor="text1"/>
              </w:rPr>
              <w:t>%</w:t>
            </w:r>
          </w:p>
        </w:tc>
        <w:tc>
          <w:tcPr>
            <w:tcW w:w="1291" w:type="dxa"/>
            <w:tcBorders>
              <w:right w:val="single" w:sz="4" w:space="0" w:color="ED7D31" w:themeColor="accent2"/>
            </w:tcBorders>
          </w:tcPr>
          <w:p w14:paraId="463E87C2" w14:textId="411642A8" w:rsidR="005547EE" w:rsidRPr="0004266D" w:rsidRDefault="00145E27"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r w:rsidR="00F02776">
              <w:rPr>
                <w:rFonts w:cstheme="minorHAnsi"/>
                <w:color w:val="000000" w:themeColor="text1"/>
              </w:rPr>
              <w:t>7.4</w:t>
            </w:r>
            <w:r w:rsidR="005547EE" w:rsidRPr="0004266D">
              <w:rPr>
                <w:rFonts w:cstheme="minorHAnsi"/>
                <w:color w:val="000000" w:themeColor="text1"/>
              </w:rPr>
              <w:t>%</w:t>
            </w:r>
          </w:p>
        </w:tc>
        <w:tc>
          <w:tcPr>
            <w:tcW w:w="1134" w:type="dxa"/>
            <w:tcBorders>
              <w:left w:val="single" w:sz="4" w:space="0" w:color="ED7D31" w:themeColor="accent2"/>
            </w:tcBorders>
          </w:tcPr>
          <w:p w14:paraId="67EAF597" w14:textId="1ED414E0" w:rsidR="005547EE" w:rsidRPr="0004266D" w:rsidRDefault="00485429"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5.4</w:t>
            </w:r>
            <w:r w:rsidR="005547EE" w:rsidRPr="0004266D">
              <w:rPr>
                <w:rFonts w:cstheme="minorHAnsi"/>
                <w:color w:val="000000" w:themeColor="text1"/>
              </w:rPr>
              <w:t>M</w:t>
            </w:r>
          </w:p>
        </w:tc>
        <w:tc>
          <w:tcPr>
            <w:tcW w:w="1530" w:type="dxa"/>
          </w:tcPr>
          <w:p w14:paraId="3BDC9313" w14:textId="2A4E14FE"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F02776">
              <w:rPr>
                <w:rFonts w:cstheme="minorHAnsi"/>
                <w:color w:val="000000" w:themeColor="text1"/>
              </w:rPr>
              <w:t>11.7</w:t>
            </w:r>
            <w:r w:rsidRPr="0004266D">
              <w:rPr>
                <w:rFonts w:cstheme="minorHAnsi"/>
                <w:color w:val="000000" w:themeColor="text1"/>
              </w:rPr>
              <w:t>%</w:t>
            </w:r>
          </w:p>
        </w:tc>
        <w:tc>
          <w:tcPr>
            <w:tcW w:w="1620" w:type="dxa"/>
          </w:tcPr>
          <w:p w14:paraId="180304FD" w14:textId="0C34E9DF" w:rsidR="005547EE" w:rsidRPr="0004266D" w:rsidRDefault="00145E27"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r w:rsidR="00F02776">
              <w:rPr>
                <w:rFonts w:cstheme="minorHAnsi"/>
                <w:color w:val="000000" w:themeColor="text1"/>
              </w:rPr>
              <w:t>6.6</w:t>
            </w:r>
            <w:r w:rsidR="005547EE" w:rsidRPr="0004266D">
              <w:rPr>
                <w:rFonts w:cstheme="minorHAnsi"/>
                <w:color w:val="000000" w:themeColor="text1"/>
              </w:rPr>
              <w:t>%</w:t>
            </w:r>
          </w:p>
        </w:tc>
      </w:tr>
      <w:tr w:rsidR="005547EE" w14:paraId="29C076C3" w14:textId="77777777" w:rsidTr="008B633D">
        <w:trPr>
          <w:trHeight w:val="255"/>
        </w:trPr>
        <w:tc>
          <w:tcPr>
            <w:cnfStyle w:val="001000000000" w:firstRow="0" w:lastRow="0" w:firstColumn="1" w:lastColumn="0" w:oddVBand="0" w:evenVBand="0" w:oddHBand="0" w:evenHBand="0" w:firstRowFirstColumn="0" w:firstRowLastColumn="0" w:lastRowFirstColumn="0" w:lastRowLastColumn="0"/>
            <w:tcW w:w="2122" w:type="dxa"/>
          </w:tcPr>
          <w:p w14:paraId="12D67558" w14:textId="790E6851" w:rsidR="005547EE" w:rsidRPr="006A7A6E" w:rsidRDefault="005547EE" w:rsidP="005547EE">
            <w:pPr>
              <w:rPr>
                <w:rFonts w:cstheme="minorHAnsi"/>
                <w:color w:val="000000" w:themeColor="text1"/>
              </w:rPr>
            </w:pPr>
            <w:r w:rsidRPr="006A7A6E">
              <w:rPr>
                <w:rFonts w:cstheme="minorHAnsi"/>
                <w:b w:val="0"/>
                <w:color w:val="000000" w:themeColor="text1"/>
              </w:rPr>
              <w:t xml:space="preserve">w.e. </w:t>
            </w:r>
            <w:r w:rsidR="00910CD7">
              <w:rPr>
                <w:rFonts w:cstheme="minorHAnsi"/>
                <w:b w:val="0"/>
                <w:color w:val="000000" w:themeColor="text1"/>
              </w:rPr>
              <w:t>11</w:t>
            </w:r>
            <w:r w:rsidRPr="006A7A6E">
              <w:rPr>
                <w:rFonts w:cstheme="minorHAnsi"/>
                <w:b w:val="0"/>
                <w:color w:val="000000" w:themeColor="text1"/>
              </w:rPr>
              <w:t>/</w:t>
            </w:r>
            <w:r w:rsidR="00910CD7">
              <w:rPr>
                <w:rFonts w:cstheme="minorHAnsi"/>
                <w:b w:val="0"/>
                <w:color w:val="000000" w:themeColor="text1"/>
              </w:rPr>
              <w:t>27</w:t>
            </w:r>
            <w:r w:rsidRPr="006A7A6E">
              <w:rPr>
                <w:rFonts w:cstheme="minorHAnsi"/>
                <w:b w:val="0"/>
                <w:color w:val="000000" w:themeColor="text1"/>
              </w:rPr>
              <w:t>/2022</w:t>
            </w:r>
          </w:p>
        </w:tc>
        <w:tc>
          <w:tcPr>
            <w:tcW w:w="997" w:type="dxa"/>
          </w:tcPr>
          <w:p w14:paraId="48606425" w14:textId="43FC7DFD" w:rsidR="005547EE" w:rsidRPr="0004266D" w:rsidRDefault="005547EE"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85429">
              <w:rPr>
                <w:rFonts w:cstheme="minorHAnsi"/>
                <w:color w:val="000000" w:themeColor="text1"/>
              </w:rPr>
              <w:t>27.1</w:t>
            </w:r>
            <w:r w:rsidRPr="0004266D">
              <w:rPr>
                <w:rFonts w:cstheme="minorHAnsi"/>
                <w:color w:val="000000" w:themeColor="text1"/>
              </w:rPr>
              <w:t>M</w:t>
            </w:r>
          </w:p>
        </w:tc>
        <w:tc>
          <w:tcPr>
            <w:tcW w:w="1291" w:type="dxa"/>
          </w:tcPr>
          <w:p w14:paraId="34EEBB9B" w14:textId="2A6919C8" w:rsidR="005547EE" w:rsidRPr="0004266D" w:rsidRDefault="005547EE"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F02776">
              <w:rPr>
                <w:rFonts w:cstheme="minorHAnsi"/>
                <w:color w:val="000000" w:themeColor="text1"/>
              </w:rPr>
              <w:t>1.8</w:t>
            </w:r>
            <w:r w:rsidRPr="0004266D">
              <w:rPr>
                <w:rFonts w:cstheme="minorHAnsi"/>
                <w:color w:val="000000" w:themeColor="text1"/>
              </w:rPr>
              <w:t>%</w:t>
            </w:r>
          </w:p>
        </w:tc>
        <w:tc>
          <w:tcPr>
            <w:tcW w:w="1291" w:type="dxa"/>
            <w:tcBorders>
              <w:right w:val="single" w:sz="4" w:space="0" w:color="ED7D31" w:themeColor="accent2"/>
            </w:tcBorders>
          </w:tcPr>
          <w:p w14:paraId="459FECD2" w14:textId="54BFA926" w:rsidR="005547EE" w:rsidRPr="0004266D" w:rsidRDefault="00145E27"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r w:rsidR="00F02776">
              <w:rPr>
                <w:rFonts w:cstheme="minorHAnsi"/>
                <w:color w:val="000000" w:themeColor="text1"/>
              </w:rPr>
              <w:t>1.5</w:t>
            </w:r>
            <w:r w:rsidR="005547EE" w:rsidRPr="0004266D">
              <w:rPr>
                <w:rFonts w:cstheme="minorHAnsi"/>
                <w:color w:val="000000" w:themeColor="text1"/>
              </w:rPr>
              <w:t>%</w:t>
            </w:r>
          </w:p>
        </w:tc>
        <w:tc>
          <w:tcPr>
            <w:tcW w:w="1134" w:type="dxa"/>
            <w:tcBorders>
              <w:left w:val="single" w:sz="4" w:space="0" w:color="ED7D31" w:themeColor="accent2"/>
            </w:tcBorders>
          </w:tcPr>
          <w:p w14:paraId="234D0105" w14:textId="2032FEC2" w:rsidR="005547EE" w:rsidRPr="0004266D" w:rsidRDefault="00485429"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5.8</w:t>
            </w:r>
            <w:r w:rsidR="005547EE" w:rsidRPr="0004266D">
              <w:rPr>
                <w:rFonts w:cstheme="minorHAnsi"/>
                <w:color w:val="000000" w:themeColor="text1"/>
              </w:rPr>
              <w:t>M</w:t>
            </w:r>
          </w:p>
        </w:tc>
        <w:tc>
          <w:tcPr>
            <w:tcW w:w="1530" w:type="dxa"/>
          </w:tcPr>
          <w:p w14:paraId="5C2CD04A" w14:textId="461EEE32" w:rsidR="005547EE" w:rsidRPr="0004266D" w:rsidRDefault="005547EE"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F02776">
              <w:rPr>
                <w:rFonts w:cstheme="minorHAnsi"/>
                <w:color w:val="000000" w:themeColor="text1"/>
              </w:rPr>
              <w:t>9.0</w:t>
            </w:r>
            <w:r w:rsidRPr="0004266D">
              <w:rPr>
                <w:rFonts w:cstheme="minorHAnsi"/>
                <w:color w:val="000000" w:themeColor="text1"/>
              </w:rPr>
              <w:t>%</w:t>
            </w:r>
          </w:p>
        </w:tc>
        <w:tc>
          <w:tcPr>
            <w:tcW w:w="1620" w:type="dxa"/>
          </w:tcPr>
          <w:p w14:paraId="3E3F9EEB" w14:textId="1F6B0A26" w:rsidR="005547EE" w:rsidRPr="0004266D" w:rsidRDefault="00145E27"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r w:rsidR="00F02776">
              <w:rPr>
                <w:rFonts w:cstheme="minorHAnsi"/>
                <w:color w:val="000000" w:themeColor="text1"/>
              </w:rPr>
              <w:t>10.2</w:t>
            </w:r>
            <w:r w:rsidR="005547EE" w:rsidRPr="0004266D">
              <w:rPr>
                <w:rFonts w:cstheme="minorHAnsi"/>
                <w:color w:val="000000" w:themeColor="text1"/>
              </w:rPr>
              <w:t>%</w:t>
            </w:r>
          </w:p>
        </w:tc>
      </w:tr>
      <w:tr w:rsidR="005547EE" w14:paraId="7E43EA98"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5798E510" w14:textId="06EED10F" w:rsidR="005547EE" w:rsidRPr="006A7A6E" w:rsidRDefault="005547EE" w:rsidP="005547EE">
            <w:pPr>
              <w:rPr>
                <w:rFonts w:cstheme="minorHAnsi"/>
                <w:color w:val="000000" w:themeColor="text1"/>
              </w:rPr>
            </w:pPr>
            <w:r w:rsidRPr="006A7A6E">
              <w:rPr>
                <w:rFonts w:cstheme="minorHAnsi"/>
                <w:b w:val="0"/>
                <w:color w:val="000000" w:themeColor="text1"/>
              </w:rPr>
              <w:t xml:space="preserve">w.e. </w:t>
            </w:r>
            <w:r w:rsidR="00910CD7">
              <w:rPr>
                <w:rFonts w:cstheme="minorHAnsi"/>
                <w:b w:val="0"/>
                <w:color w:val="000000" w:themeColor="text1"/>
              </w:rPr>
              <w:t>12/4/2022</w:t>
            </w:r>
          </w:p>
        </w:tc>
        <w:tc>
          <w:tcPr>
            <w:tcW w:w="997" w:type="dxa"/>
          </w:tcPr>
          <w:p w14:paraId="1F9888EE" w14:textId="2C674D87"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85429">
              <w:rPr>
                <w:rFonts w:cstheme="minorHAnsi"/>
                <w:color w:val="000000" w:themeColor="text1"/>
              </w:rPr>
              <w:t>22.2</w:t>
            </w:r>
            <w:r w:rsidRPr="0004266D">
              <w:rPr>
                <w:rFonts w:cstheme="minorHAnsi"/>
                <w:color w:val="000000" w:themeColor="text1"/>
              </w:rPr>
              <w:t>M</w:t>
            </w:r>
          </w:p>
        </w:tc>
        <w:tc>
          <w:tcPr>
            <w:tcW w:w="1291" w:type="dxa"/>
          </w:tcPr>
          <w:p w14:paraId="39C9DE70" w14:textId="4EE9B6A8"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F02776">
              <w:rPr>
                <w:rFonts w:cstheme="minorHAnsi"/>
                <w:color w:val="000000" w:themeColor="text1"/>
              </w:rPr>
              <w:t>5.7</w:t>
            </w:r>
            <w:r w:rsidRPr="0004266D">
              <w:rPr>
                <w:rFonts w:cstheme="minorHAnsi"/>
                <w:color w:val="000000" w:themeColor="text1"/>
              </w:rPr>
              <w:t>%</w:t>
            </w:r>
          </w:p>
        </w:tc>
        <w:tc>
          <w:tcPr>
            <w:tcW w:w="1291" w:type="dxa"/>
            <w:tcBorders>
              <w:right w:val="single" w:sz="4" w:space="0" w:color="ED7D31" w:themeColor="accent2"/>
            </w:tcBorders>
          </w:tcPr>
          <w:p w14:paraId="10674F93" w14:textId="5C386970" w:rsidR="005547EE" w:rsidRPr="0004266D" w:rsidRDefault="00145E27"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r w:rsidR="00F02776">
              <w:rPr>
                <w:rFonts w:cstheme="minorHAnsi"/>
                <w:color w:val="000000" w:themeColor="text1"/>
              </w:rPr>
              <w:t>5.7</w:t>
            </w:r>
            <w:r w:rsidR="005547EE" w:rsidRPr="0004266D">
              <w:rPr>
                <w:rFonts w:cstheme="minorHAnsi"/>
                <w:color w:val="000000" w:themeColor="text1"/>
              </w:rPr>
              <w:t>%</w:t>
            </w:r>
          </w:p>
        </w:tc>
        <w:tc>
          <w:tcPr>
            <w:tcW w:w="1134" w:type="dxa"/>
            <w:tcBorders>
              <w:left w:val="single" w:sz="4" w:space="0" w:color="ED7D31" w:themeColor="accent2"/>
            </w:tcBorders>
          </w:tcPr>
          <w:p w14:paraId="6664688E" w14:textId="4F1ADDEC" w:rsidR="005547EE" w:rsidRPr="0004266D" w:rsidRDefault="00485429"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4.7</w:t>
            </w:r>
            <w:r w:rsidR="005547EE" w:rsidRPr="0004266D">
              <w:rPr>
                <w:rFonts w:cstheme="minorHAnsi"/>
                <w:color w:val="000000" w:themeColor="text1"/>
              </w:rPr>
              <w:t>M</w:t>
            </w:r>
          </w:p>
        </w:tc>
        <w:tc>
          <w:tcPr>
            <w:tcW w:w="1530" w:type="dxa"/>
          </w:tcPr>
          <w:p w14:paraId="350C0B98" w14:textId="573AF24E"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F02776">
              <w:rPr>
                <w:rFonts w:cstheme="minorHAnsi"/>
                <w:color w:val="000000" w:themeColor="text1"/>
              </w:rPr>
              <w:t>11.3</w:t>
            </w:r>
            <w:r w:rsidRPr="0004266D">
              <w:rPr>
                <w:rFonts w:cstheme="minorHAnsi"/>
                <w:color w:val="000000" w:themeColor="text1"/>
              </w:rPr>
              <w:t>%</w:t>
            </w:r>
          </w:p>
        </w:tc>
        <w:tc>
          <w:tcPr>
            <w:tcW w:w="1620" w:type="dxa"/>
          </w:tcPr>
          <w:p w14:paraId="2A25914C" w14:textId="0F1E0BB9" w:rsidR="005547EE" w:rsidRPr="0004266D" w:rsidRDefault="00145E27"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r w:rsidR="00F02776">
              <w:rPr>
                <w:rFonts w:cstheme="minorHAnsi"/>
                <w:color w:val="000000" w:themeColor="text1"/>
              </w:rPr>
              <w:t>7.0</w:t>
            </w:r>
            <w:r w:rsidR="005547EE" w:rsidRPr="0004266D">
              <w:rPr>
                <w:rFonts w:cstheme="minorHAnsi"/>
                <w:color w:val="000000" w:themeColor="text1"/>
              </w:rPr>
              <w:t>%</w:t>
            </w:r>
          </w:p>
        </w:tc>
      </w:tr>
    </w:tbl>
    <w:p w14:paraId="712DC4DB" w14:textId="589B75CB" w:rsidR="00541AFF" w:rsidRDefault="00541AFF" w:rsidP="00541AFF">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910CD7">
        <w:rPr>
          <w:color w:val="7F7F7F" w:themeColor="text1" w:themeTint="80"/>
          <w:sz w:val="16"/>
          <w:szCs w:val="16"/>
        </w:rPr>
        <w:t>12/4/2022</w:t>
      </w:r>
    </w:p>
    <w:p w14:paraId="0C708971" w14:textId="77777777" w:rsidR="003D3BDA" w:rsidRPr="00555250" w:rsidRDefault="003D3BDA" w:rsidP="00541AFF">
      <w:pPr>
        <w:pStyle w:val="NoSpacing"/>
        <w:spacing w:before="120"/>
        <w:rPr>
          <w:color w:val="7F7F7F" w:themeColor="text1" w:themeTint="80"/>
          <w:sz w:val="16"/>
          <w:szCs w:val="16"/>
        </w:rPr>
      </w:pPr>
    </w:p>
    <w:p w14:paraId="2A45DBD8" w14:textId="04A1650F" w:rsidR="00666D40" w:rsidRPr="00927EAC" w:rsidRDefault="00666D40" w:rsidP="00927EAC">
      <w:pPr>
        <w:pStyle w:val="Heading2"/>
        <w:rPr>
          <w:b/>
          <w:bCs/>
          <w:color w:val="ED7D31" w:themeColor="accent2"/>
        </w:rPr>
      </w:pPr>
      <w:r w:rsidRPr="00927EAC">
        <w:rPr>
          <w:b/>
          <w:bCs/>
          <w:color w:val="ED7D31" w:themeColor="accent2"/>
        </w:rPr>
        <w:t>Inflation</w:t>
      </w:r>
    </w:p>
    <w:p w14:paraId="4A3C02BB" w14:textId="38B8BA36" w:rsidR="00666D40" w:rsidRDefault="00030ABF" w:rsidP="00472B02">
      <w:pPr>
        <w:pStyle w:val="NoSpacing"/>
      </w:pPr>
      <w:r>
        <w:t>M</w:t>
      </w:r>
      <w:r w:rsidR="000E2A1D">
        <w:t xml:space="preserve">ushroom prices </w:t>
      </w:r>
      <w:r w:rsidR="00C9550B">
        <w:t xml:space="preserve">per unit </w:t>
      </w:r>
      <w:r w:rsidR="000E2A1D">
        <w:t>increase</w:t>
      </w:r>
      <w:r w:rsidR="00322039">
        <w:t>d</w:t>
      </w:r>
      <w:r w:rsidR="000E2A1D">
        <w:t xml:space="preserve"> </w:t>
      </w:r>
      <w:r w:rsidR="00A14586">
        <w:t xml:space="preserve">by </w:t>
      </w:r>
      <w:r w:rsidR="00F0742E">
        <w:t>10.3</w:t>
      </w:r>
      <w:r w:rsidR="00322039">
        <w:t xml:space="preserve">% versus year ago </w:t>
      </w:r>
      <w:r w:rsidR="000E2A1D">
        <w:t>in the latest quad-week period</w:t>
      </w:r>
      <w:r>
        <w:t xml:space="preserve">. This means the rate of inflation jumped ahead of that </w:t>
      </w:r>
      <w:r w:rsidR="000E2A1D">
        <w:t xml:space="preserve">for total </w:t>
      </w:r>
      <w:r>
        <w:t xml:space="preserve">fresh </w:t>
      </w:r>
      <w:r w:rsidR="000E2A1D">
        <w:t>vegetables</w:t>
      </w:r>
      <w:r w:rsidR="00A14586">
        <w:t xml:space="preserve"> (+</w:t>
      </w:r>
      <w:r w:rsidR="00AF55E3">
        <w:t>8.4</w:t>
      </w:r>
      <w:r w:rsidR="00322039">
        <w:t>%)</w:t>
      </w:r>
      <w:r w:rsidR="00C9550B">
        <w:t xml:space="preserve"> and</w:t>
      </w:r>
      <w:r w:rsidR="000E2A1D">
        <w:t xml:space="preserve"> </w:t>
      </w:r>
      <w:r>
        <w:t xml:space="preserve">total fresh </w:t>
      </w:r>
      <w:r w:rsidR="000E2A1D">
        <w:t xml:space="preserve">produce </w:t>
      </w:r>
      <w:r w:rsidR="00A14586">
        <w:t>(+</w:t>
      </w:r>
      <w:r w:rsidR="00AF55E3">
        <w:t>5.1</w:t>
      </w:r>
      <w:r w:rsidR="00322039">
        <w:t>%)</w:t>
      </w:r>
      <w:r w:rsidR="000E2A1D">
        <w:t xml:space="preserve">. </w:t>
      </w:r>
    </w:p>
    <w:p w14:paraId="484C35C9" w14:textId="2EB83AFC" w:rsidR="0094219B" w:rsidRDefault="0094219B" w:rsidP="00472B02">
      <w:pPr>
        <w:pStyle w:val="NoSpacing"/>
      </w:pPr>
    </w:p>
    <w:tbl>
      <w:tblPr>
        <w:tblStyle w:val="ListTable3-Accent2"/>
        <w:tblW w:w="10075" w:type="dxa"/>
        <w:tblLook w:val="04A0" w:firstRow="1" w:lastRow="0" w:firstColumn="1" w:lastColumn="0" w:noHBand="0" w:noVBand="1"/>
      </w:tblPr>
      <w:tblGrid>
        <w:gridCol w:w="3256"/>
        <w:gridCol w:w="299"/>
        <w:gridCol w:w="1146"/>
        <w:gridCol w:w="973"/>
        <w:gridCol w:w="909"/>
        <w:gridCol w:w="1776"/>
        <w:gridCol w:w="817"/>
        <w:gridCol w:w="899"/>
      </w:tblGrid>
      <w:tr w:rsidR="000C3CC4" w:rsidRPr="00124CB7" w14:paraId="6E9D1AEF" w14:textId="162D7E86" w:rsidTr="006778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14:paraId="74759AF7" w14:textId="77777777" w:rsidR="000C3CC4" w:rsidRPr="00124CB7" w:rsidRDefault="000C3CC4" w:rsidP="000C3CC4">
            <w:pPr>
              <w:pStyle w:val="NoSpacing"/>
            </w:pPr>
            <w:r w:rsidRPr="00124CB7">
              <w:t>Fresh mushrooms</w:t>
            </w:r>
          </w:p>
        </w:tc>
        <w:tc>
          <w:tcPr>
            <w:tcW w:w="1445" w:type="dxa"/>
            <w:gridSpan w:val="2"/>
          </w:tcPr>
          <w:p w14:paraId="5EC6EFF0" w14:textId="0B82F7E5" w:rsidR="000C3CC4" w:rsidRPr="00124CB7" w:rsidRDefault="000C3CC4"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4 w.e. </w:t>
            </w:r>
            <w:r w:rsidR="00910CD7">
              <w:t>12/4/2022</w:t>
            </w:r>
          </w:p>
        </w:tc>
        <w:tc>
          <w:tcPr>
            <w:tcW w:w="973" w:type="dxa"/>
          </w:tcPr>
          <w:p w14:paraId="10EFADEC" w14:textId="7CE9F61A"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c>
          <w:tcPr>
            <w:tcW w:w="909" w:type="dxa"/>
            <w:tcBorders>
              <w:right w:val="single" w:sz="4" w:space="0" w:color="ED7D31"/>
            </w:tcBorders>
          </w:tcPr>
          <w:p w14:paraId="55EFE125" w14:textId="7950772A"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w:t>
            </w:r>
            <w:r w:rsidR="00E629E0">
              <w:t>19</w:t>
            </w:r>
          </w:p>
        </w:tc>
        <w:tc>
          <w:tcPr>
            <w:tcW w:w="1776" w:type="dxa"/>
            <w:tcBorders>
              <w:left w:val="single" w:sz="4" w:space="0" w:color="ED7D31"/>
            </w:tcBorders>
          </w:tcPr>
          <w:p w14:paraId="6A5B944C" w14:textId="7C015242" w:rsidR="000C3CC4" w:rsidRPr="00124CB7" w:rsidRDefault="000C3CC4"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Building CY thru </w:t>
            </w:r>
            <w:r w:rsidR="00910CD7">
              <w:t>12/4/2022</w:t>
            </w:r>
          </w:p>
        </w:tc>
        <w:tc>
          <w:tcPr>
            <w:tcW w:w="817" w:type="dxa"/>
          </w:tcPr>
          <w:p w14:paraId="56551B99" w14:textId="3BE2DA79"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c>
          <w:tcPr>
            <w:tcW w:w="899" w:type="dxa"/>
          </w:tcPr>
          <w:p w14:paraId="1A109D51" w14:textId="56ADA7D4"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w:t>
            </w:r>
            <w:r w:rsidR="00483711">
              <w:t>19</w:t>
            </w:r>
          </w:p>
        </w:tc>
      </w:tr>
      <w:tr w:rsidR="000C3CC4" w14:paraId="2B35BE12" w14:textId="0A6FF303" w:rsidTr="0067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gridSpan w:val="2"/>
          </w:tcPr>
          <w:p w14:paraId="5B4CB702" w14:textId="77777777" w:rsidR="000C3CC4" w:rsidRPr="00124CB7" w:rsidRDefault="000C3CC4" w:rsidP="000C3CC4">
            <w:pPr>
              <w:pStyle w:val="NoSpacing"/>
              <w:rPr>
                <w:b w:val="0"/>
                <w:bCs w:val="0"/>
              </w:rPr>
            </w:pPr>
            <w:r>
              <w:rPr>
                <w:b w:val="0"/>
                <w:bCs w:val="0"/>
              </w:rPr>
              <w:t>Price/unit</w:t>
            </w:r>
          </w:p>
        </w:tc>
        <w:tc>
          <w:tcPr>
            <w:tcW w:w="1146" w:type="dxa"/>
          </w:tcPr>
          <w:p w14:paraId="2915A28B" w14:textId="35B3A020"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6617FB">
              <w:t>3.11</w:t>
            </w:r>
          </w:p>
        </w:tc>
        <w:tc>
          <w:tcPr>
            <w:tcW w:w="973" w:type="dxa"/>
          </w:tcPr>
          <w:p w14:paraId="3E0967AB" w14:textId="50C6B0EA" w:rsidR="000C3CC4" w:rsidRDefault="00145E27"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6617FB">
              <w:t>10.3</w:t>
            </w:r>
            <w:r w:rsidR="000C3CC4">
              <w:t>%</w:t>
            </w:r>
          </w:p>
        </w:tc>
        <w:tc>
          <w:tcPr>
            <w:tcW w:w="909" w:type="dxa"/>
            <w:tcBorders>
              <w:right w:val="single" w:sz="4" w:space="0" w:color="ED7D31"/>
            </w:tcBorders>
          </w:tcPr>
          <w:p w14:paraId="09DAD54E" w14:textId="4706C520"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6617FB">
              <w:t>18.2</w:t>
            </w:r>
            <w:r>
              <w:t>%</w:t>
            </w:r>
          </w:p>
        </w:tc>
        <w:tc>
          <w:tcPr>
            <w:tcW w:w="1776" w:type="dxa"/>
            <w:tcBorders>
              <w:left w:val="single" w:sz="4" w:space="0" w:color="ED7D31"/>
            </w:tcBorders>
          </w:tcPr>
          <w:p w14:paraId="03CA719E" w14:textId="4FDBD03B"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6617FB">
              <w:t>2.91</w:t>
            </w:r>
          </w:p>
        </w:tc>
        <w:tc>
          <w:tcPr>
            <w:tcW w:w="817" w:type="dxa"/>
          </w:tcPr>
          <w:p w14:paraId="08755E5E" w14:textId="1FECEA29"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6617FB">
              <w:t>7.1</w:t>
            </w:r>
            <w:r>
              <w:t>%</w:t>
            </w:r>
          </w:p>
        </w:tc>
        <w:tc>
          <w:tcPr>
            <w:tcW w:w="899" w:type="dxa"/>
          </w:tcPr>
          <w:p w14:paraId="19B1F6D2" w14:textId="0800777A" w:rsidR="000C3CC4" w:rsidRDefault="000C3CC4" w:rsidP="00677889">
            <w:pPr>
              <w:pStyle w:val="NoSpacing"/>
              <w:jc w:val="right"/>
              <w:cnfStyle w:val="000000100000" w:firstRow="0" w:lastRow="0" w:firstColumn="0" w:lastColumn="0" w:oddVBand="0" w:evenVBand="0" w:oddHBand="1" w:evenHBand="0" w:firstRowFirstColumn="0" w:firstRowLastColumn="0" w:lastRowFirstColumn="0" w:lastRowLastColumn="0"/>
            </w:pPr>
            <w:r>
              <w:t>+</w:t>
            </w:r>
            <w:r w:rsidR="006617FB">
              <w:t>14.7</w:t>
            </w:r>
            <w:r>
              <w:t>%</w:t>
            </w:r>
          </w:p>
        </w:tc>
      </w:tr>
      <w:tr w:rsidR="0004266D" w14:paraId="7C18640F" w14:textId="5B569261" w:rsidTr="00677889">
        <w:tc>
          <w:tcPr>
            <w:cnfStyle w:val="001000000000" w:firstRow="0" w:lastRow="0" w:firstColumn="1" w:lastColumn="0" w:oddVBand="0" w:evenVBand="0" w:oddHBand="0" w:evenHBand="0" w:firstRowFirstColumn="0" w:firstRowLastColumn="0" w:lastRowFirstColumn="0" w:lastRowLastColumn="0"/>
            <w:tcW w:w="3555" w:type="dxa"/>
            <w:gridSpan w:val="2"/>
          </w:tcPr>
          <w:p w14:paraId="47C97CE0" w14:textId="77777777" w:rsidR="0004266D" w:rsidRPr="00124CB7" w:rsidRDefault="0004266D" w:rsidP="0004266D">
            <w:pPr>
              <w:pStyle w:val="NoSpacing"/>
              <w:rPr>
                <w:b w:val="0"/>
                <w:bCs w:val="0"/>
              </w:rPr>
            </w:pPr>
            <w:r>
              <w:rPr>
                <w:b w:val="0"/>
                <w:bCs w:val="0"/>
              </w:rPr>
              <w:t>Price/volume</w:t>
            </w:r>
          </w:p>
        </w:tc>
        <w:tc>
          <w:tcPr>
            <w:tcW w:w="1146" w:type="dxa"/>
          </w:tcPr>
          <w:p w14:paraId="17C86A08" w14:textId="311EA859"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6617FB">
              <w:t>4.75</w:t>
            </w:r>
          </w:p>
        </w:tc>
        <w:tc>
          <w:tcPr>
            <w:tcW w:w="973" w:type="dxa"/>
          </w:tcPr>
          <w:p w14:paraId="7E986169" w14:textId="2CB9EE9B"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6617FB">
              <w:t>8.3</w:t>
            </w:r>
            <w:r>
              <w:t>%</w:t>
            </w:r>
          </w:p>
        </w:tc>
        <w:tc>
          <w:tcPr>
            <w:tcW w:w="909" w:type="dxa"/>
            <w:tcBorders>
              <w:right w:val="single" w:sz="4" w:space="0" w:color="ED7D31"/>
            </w:tcBorders>
          </w:tcPr>
          <w:p w14:paraId="36DDF54D" w14:textId="142A47E5" w:rsidR="0004266D" w:rsidRDefault="0004266D" w:rsidP="00483711">
            <w:pPr>
              <w:pStyle w:val="NoSpacing"/>
              <w:jc w:val="right"/>
              <w:cnfStyle w:val="000000000000" w:firstRow="0" w:lastRow="0" w:firstColumn="0" w:lastColumn="0" w:oddVBand="0" w:evenVBand="0" w:oddHBand="0" w:evenHBand="0" w:firstRowFirstColumn="0" w:firstRowLastColumn="0" w:lastRowFirstColumn="0" w:lastRowLastColumn="0"/>
            </w:pPr>
            <w:r>
              <w:t>+</w:t>
            </w:r>
            <w:r w:rsidR="006617FB">
              <w:t>14.1</w:t>
            </w:r>
            <w:r>
              <w:t>%</w:t>
            </w:r>
          </w:p>
        </w:tc>
        <w:tc>
          <w:tcPr>
            <w:tcW w:w="1776" w:type="dxa"/>
            <w:tcBorders>
              <w:left w:val="single" w:sz="4" w:space="0" w:color="ED7D31"/>
            </w:tcBorders>
          </w:tcPr>
          <w:p w14:paraId="233A8701" w14:textId="2B84EC58"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6617FB">
              <w:t>4.62</w:t>
            </w:r>
          </w:p>
        </w:tc>
        <w:tc>
          <w:tcPr>
            <w:tcW w:w="817" w:type="dxa"/>
          </w:tcPr>
          <w:p w14:paraId="1759FD32" w14:textId="40A76D74"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6617FB">
              <w:t>7.3</w:t>
            </w:r>
            <w:r>
              <w:t>%</w:t>
            </w:r>
          </w:p>
        </w:tc>
        <w:tc>
          <w:tcPr>
            <w:tcW w:w="899" w:type="dxa"/>
          </w:tcPr>
          <w:p w14:paraId="725313BE" w14:textId="7CAFD509"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6617FB">
              <w:t>11.9</w:t>
            </w:r>
            <w:r w:rsidR="00483711">
              <w:t>%</w:t>
            </w:r>
          </w:p>
        </w:tc>
      </w:tr>
    </w:tbl>
    <w:p w14:paraId="5CF68DB9" w14:textId="77777777" w:rsidR="00170260" w:rsidRDefault="00170260" w:rsidP="00170260">
      <w:pPr>
        <w:pStyle w:val="NoSpacing"/>
      </w:pPr>
    </w:p>
    <w:p w14:paraId="611C2D9A" w14:textId="76233AB4" w:rsidR="00170260" w:rsidRDefault="00085508" w:rsidP="00170260">
      <w:pPr>
        <w:pStyle w:val="NoSpacing"/>
      </w:pPr>
      <w:r>
        <w:t>P</w:t>
      </w:r>
      <w:r w:rsidR="00E508BB">
        <w:t xml:space="preserve">romotional </w:t>
      </w:r>
      <w:r w:rsidR="001D2675">
        <w:t>activity</w:t>
      </w:r>
      <w:r w:rsidR="00FF2D4A">
        <w:t xml:space="preserve"> </w:t>
      </w:r>
      <w:r>
        <w:t>improved during the Thanksgiving period</w:t>
      </w:r>
      <w:r w:rsidR="00FF2D4A">
        <w:t xml:space="preserve">, at </w:t>
      </w:r>
      <w:r w:rsidR="00F0742E">
        <w:t>16.4</w:t>
      </w:r>
      <w:r w:rsidR="00FF2D4A">
        <w:t xml:space="preserve">% of total </w:t>
      </w:r>
      <w:r>
        <w:t xml:space="preserve">fresh mushroom </w:t>
      </w:r>
      <w:r w:rsidR="00FF2D4A">
        <w:t xml:space="preserve">dollars and </w:t>
      </w:r>
      <w:r w:rsidR="00F0742E">
        <w:t>20.3</w:t>
      </w:r>
      <w:r w:rsidR="00FF2D4A">
        <w:t>%</w:t>
      </w:r>
      <w:r w:rsidR="00E508BB">
        <w:t xml:space="preserve"> of total pounds sold. Promotional levels </w:t>
      </w:r>
      <w:r w:rsidR="00C9550B">
        <w:t>for total fresh produce as well as total food and beverages are also up a bit year-on-year, but still below the 2019 pre-pandemic levels</w:t>
      </w:r>
      <w:r w:rsidR="00E508BB">
        <w:t xml:space="preserve">. </w:t>
      </w:r>
    </w:p>
    <w:p w14:paraId="363D2F2B" w14:textId="77777777" w:rsidR="00170260" w:rsidRDefault="00170260" w:rsidP="00170260">
      <w:pPr>
        <w:pStyle w:val="NoSpacing"/>
      </w:pPr>
    </w:p>
    <w:tbl>
      <w:tblPr>
        <w:tblStyle w:val="ListTable3-Accent2"/>
        <w:tblW w:w="9265" w:type="dxa"/>
        <w:tblLook w:val="04A0" w:firstRow="1" w:lastRow="0" w:firstColumn="1" w:lastColumn="0" w:noHBand="0" w:noVBand="1"/>
      </w:tblPr>
      <w:tblGrid>
        <w:gridCol w:w="3441"/>
        <w:gridCol w:w="179"/>
        <w:gridCol w:w="1235"/>
        <w:gridCol w:w="1260"/>
        <w:gridCol w:w="1890"/>
        <w:gridCol w:w="1260"/>
      </w:tblGrid>
      <w:tr w:rsidR="00972570" w:rsidRPr="00124CB7" w14:paraId="5DFB9CAB" w14:textId="77777777" w:rsidTr="00D97B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1" w:type="dxa"/>
          </w:tcPr>
          <w:p w14:paraId="4168BC1A" w14:textId="77777777" w:rsidR="00972570" w:rsidRPr="00124CB7" w:rsidRDefault="00972570" w:rsidP="00FF6A85">
            <w:pPr>
              <w:pStyle w:val="NoSpacing"/>
            </w:pPr>
            <w:r w:rsidRPr="00124CB7">
              <w:t>Fresh mushrooms</w:t>
            </w:r>
          </w:p>
        </w:tc>
        <w:tc>
          <w:tcPr>
            <w:tcW w:w="1414" w:type="dxa"/>
            <w:gridSpan w:val="2"/>
          </w:tcPr>
          <w:p w14:paraId="6A0500B8" w14:textId="5E933814"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t xml:space="preserve">4 w.e. </w:t>
            </w:r>
            <w:r w:rsidR="00910CD7">
              <w:t>12/4/2022</w:t>
            </w:r>
          </w:p>
        </w:tc>
        <w:tc>
          <w:tcPr>
            <w:tcW w:w="1260" w:type="dxa"/>
            <w:tcBorders>
              <w:right w:val="single" w:sz="4" w:space="0" w:color="ED7D31"/>
            </w:tcBorders>
          </w:tcPr>
          <w:p w14:paraId="5CF9736D" w14:textId="77777777"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c>
          <w:tcPr>
            <w:tcW w:w="1890" w:type="dxa"/>
            <w:tcBorders>
              <w:left w:val="single" w:sz="4" w:space="0" w:color="ED7D31"/>
            </w:tcBorders>
          </w:tcPr>
          <w:p w14:paraId="413A4F70" w14:textId="04ACC256" w:rsidR="00972570" w:rsidRPr="00124CB7" w:rsidRDefault="00972570"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Building CY thru </w:t>
            </w:r>
            <w:r w:rsidR="00910CD7">
              <w:t>12/4/2022</w:t>
            </w:r>
          </w:p>
        </w:tc>
        <w:tc>
          <w:tcPr>
            <w:tcW w:w="1260" w:type="dxa"/>
          </w:tcPr>
          <w:p w14:paraId="75064544" w14:textId="77777777"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r>
      <w:tr w:rsidR="004A50D2" w14:paraId="3B76FFA3" w14:textId="78296325" w:rsidTr="0066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0" w:type="dxa"/>
            <w:gridSpan w:val="2"/>
          </w:tcPr>
          <w:p w14:paraId="2B5B6C81" w14:textId="6313A9FC" w:rsidR="004A50D2" w:rsidRDefault="004A50D2" w:rsidP="004A50D2">
            <w:pPr>
              <w:pStyle w:val="NoSpacing"/>
              <w:rPr>
                <w:b w:val="0"/>
                <w:bCs w:val="0"/>
              </w:rPr>
            </w:pPr>
            <w:r>
              <w:rPr>
                <w:b w:val="0"/>
                <w:bCs w:val="0"/>
              </w:rPr>
              <w:t>Share of dollars sold on promotion</w:t>
            </w:r>
          </w:p>
        </w:tc>
        <w:tc>
          <w:tcPr>
            <w:tcW w:w="1235" w:type="dxa"/>
            <w:shd w:val="clear" w:color="auto" w:fill="auto"/>
          </w:tcPr>
          <w:p w14:paraId="6D5E5F03" w14:textId="611A060F" w:rsidR="004A50D2" w:rsidRPr="006617FB" w:rsidRDefault="00FA1CDF" w:rsidP="004A50D2">
            <w:pPr>
              <w:pStyle w:val="NoSpacing"/>
              <w:jc w:val="right"/>
              <w:cnfStyle w:val="000000100000" w:firstRow="0" w:lastRow="0" w:firstColumn="0" w:lastColumn="0" w:oddVBand="0" w:evenVBand="0" w:oddHBand="1" w:evenHBand="0" w:firstRowFirstColumn="0" w:firstRowLastColumn="0" w:lastRowFirstColumn="0" w:lastRowLastColumn="0"/>
            </w:pPr>
            <w:r>
              <w:t>16.4</w:t>
            </w:r>
            <w:r w:rsidR="004A50D2" w:rsidRPr="006617FB">
              <w:t>%</w:t>
            </w:r>
          </w:p>
        </w:tc>
        <w:tc>
          <w:tcPr>
            <w:tcW w:w="1260" w:type="dxa"/>
            <w:tcBorders>
              <w:right w:val="single" w:sz="4" w:space="0" w:color="ED7D31"/>
            </w:tcBorders>
          </w:tcPr>
          <w:p w14:paraId="586FECBD" w14:textId="14FFB712" w:rsidR="004A50D2" w:rsidRPr="009B0330" w:rsidRDefault="00F0742E" w:rsidP="004A50D2">
            <w:pPr>
              <w:pStyle w:val="NoSpacing"/>
              <w:jc w:val="right"/>
              <w:cnfStyle w:val="000000100000" w:firstRow="0" w:lastRow="0" w:firstColumn="0" w:lastColumn="0" w:oddVBand="0" w:evenVBand="0" w:oddHBand="1" w:evenHBand="0" w:firstRowFirstColumn="0" w:firstRowLastColumn="0" w:lastRowFirstColumn="0" w:lastRowLastColumn="0"/>
            </w:pPr>
            <w:r>
              <w:t>+15.4</w:t>
            </w:r>
            <w:r w:rsidR="004A50D2" w:rsidRPr="009B0330">
              <w:t>%</w:t>
            </w:r>
          </w:p>
        </w:tc>
        <w:tc>
          <w:tcPr>
            <w:tcW w:w="1890" w:type="dxa"/>
            <w:tcBorders>
              <w:left w:val="single" w:sz="4" w:space="0" w:color="ED7D31"/>
            </w:tcBorders>
          </w:tcPr>
          <w:p w14:paraId="66CD7DD9" w14:textId="4F09CDF7" w:rsidR="004A50D2" w:rsidRPr="009B0330" w:rsidRDefault="00FA1CDF" w:rsidP="009B0330">
            <w:pPr>
              <w:pStyle w:val="NoSpacing"/>
              <w:jc w:val="right"/>
              <w:cnfStyle w:val="000000100000" w:firstRow="0" w:lastRow="0" w:firstColumn="0" w:lastColumn="0" w:oddVBand="0" w:evenVBand="0" w:oddHBand="1" w:evenHBand="0" w:firstRowFirstColumn="0" w:firstRowLastColumn="0" w:lastRowFirstColumn="0" w:lastRowLastColumn="0"/>
            </w:pPr>
            <w:r>
              <w:t>15.6</w:t>
            </w:r>
            <w:r w:rsidR="004A50D2" w:rsidRPr="009B0330">
              <w:t>%</w:t>
            </w:r>
          </w:p>
        </w:tc>
        <w:tc>
          <w:tcPr>
            <w:tcW w:w="1260" w:type="dxa"/>
          </w:tcPr>
          <w:p w14:paraId="7461CDF6" w14:textId="409981F9" w:rsidR="004A50D2" w:rsidRPr="009B0330" w:rsidRDefault="00F0742E" w:rsidP="00145E27">
            <w:pPr>
              <w:pStyle w:val="NoSpacing"/>
              <w:jc w:val="right"/>
              <w:cnfStyle w:val="000000100000" w:firstRow="0" w:lastRow="0" w:firstColumn="0" w:lastColumn="0" w:oddVBand="0" w:evenVBand="0" w:oddHBand="1" w:evenHBand="0" w:firstRowFirstColumn="0" w:firstRowLastColumn="0" w:lastRowFirstColumn="0" w:lastRowLastColumn="0"/>
            </w:pPr>
            <w:r>
              <w:t>+1.4</w:t>
            </w:r>
            <w:r w:rsidR="004A50D2" w:rsidRPr="009B0330">
              <w:t>%</w:t>
            </w:r>
          </w:p>
        </w:tc>
      </w:tr>
      <w:tr w:rsidR="004A50D2" w14:paraId="6BDC46F0" w14:textId="6B730DE2" w:rsidTr="006617FB">
        <w:tc>
          <w:tcPr>
            <w:cnfStyle w:val="001000000000" w:firstRow="0" w:lastRow="0" w:firstColumn="1" w:lastColumn="0" w:oddVBand="0" w:evenVBand="0" w:oddHBand="0" w:evenHBand="0" w:firstRowFirstColumn="0" w:firstRowLastColumn="0" w:lastRowFirstColumn="0" w:lastRowLastColumn="0"/>
            <w:tcW w:w="3620" w:type="dxa"/>
            <w:gridSpan w:val="2"/>
          </w:tcPr>
          <w:p w14:paraId="5F39E628" w14:textId="6809D4FA" w:rsidR="004A50D2" w:rsidRDefault="004A50D2" w:rsidP="004A50D2">
            <w:pPr>
              <w:pStyle w:val="NoSpacing"/>
              <w:rPr>
                <w:b w:val="0"/>
                <w:bCs w:val="0"/>
              </w:rPr>
            </w:pPr>
            <w:r>
              <w:rPr>
                <w:b w:val="0"/>
                <w:bCs w:val="0"/>
              </w:rPr>
              <w:t>Share of pounds sold on promotion</w:t>
            </w:r>
          </w:p>
        </w:tc>
        <w:tc>
          <w:tcPr>
            <w:tcW w:w="1235" w:type="dxa"/>
            <w:shd w:val="clear" w:color="auto" w:fill="auto"/>
          </w:tcPr>
          <w:p w14:paraId="4B3F737B" w14:textId="23AE24D1" w:rsidR="004A50D2" w:rsidRPr="006617FB" w:rsidRDefault="00FA1CDF" w:rsidP="00FA1CDF">
            <w:pPr>
              <w:pStyle w:val="NoSpacing"/>
              <w:jc w:val="right"/>
              <w:cnfStyle w:val="000000000000" w:firstRow="0" w:lastRow="0" w:firstColumn="0" w:lastColumn="0" w:oddVBand="0" w:evenVBand="0" w:oddHBand="0" w:evenHBand="0" w:firstRowFirstColumn="0" w:firstRowLastColumn="0" w:lastRowFirstColumn="0" w:lastRowLastColumn="0"/>
            </w:pPr>
            <w:r>
              <w:t>20.3</w:t>
            </w:r>
            <w:r w:rsidR="004A50D2" w:rsidRPr="006617FB">
              <w:t>%</w:t>
            </w:r>
          </w:p>
        </w:tc>
        <w:tc>
          <w:tcPr>
            <w:tcW w:w="1260" w:type="dxa"/>
            <w:tcBorders>
              <w:right w:val="single" w:sz="4" w:space="0" w:color="ED7D31"/>
            </w:tcBorders>
          </w:tcPr>
          <w:p w14:paraId="5C3E258D" w14:textId="70326519" w:rsidR="004A50D2" w:rsidRPr="009B0330" w:rsidRDefault="00910CD7" w:rsidP="004A50D2">
            <w:pPr>
              <w:pStyle w:val="NoSpacing"/>
              <w:jc w:val="right"/>
              <w:cnfStyle w:val="000000000000" w:firstRow="0" w:lastRow="0" w:firstColumn="0" w:lastColumn="0" w:oddVBand="0" w:evenVBand="0" w:oddHBand="0" w:evenHBand="0" w:firstRowFirstColumn="0" w:firstRowLastColumn="0" w:lastRowFirstColumn="0" w:lastRowLastColumn="0"/>
            </w:pPr>
            <w:r>
              <w:t>+</w:t>
            </w:r>
            <w:r w:rsidR="00F0742E">
              <w:t>16.3</w:t>
            </w:r>
            <w:r w:rsidR="004A50D2" w:rsidRPr="009B0330">
              <w:t>%</w:t>
            </w:r>
          </w:p>
        </w:tc>
        <w:tc>
          <w:tcPr>
            <w:tcW w:w="1890" w:type="dxa"/>
            <w:tcBorders>
              <w:left w:val="single" w:sz="4" w:space="0" w:color="ED7D31"/>
            </w:tcBorders>
          </w:tcPr>
          <w:p w14:paraId="37E892BC" w14:textId="42415A2C" w:rsidR="004A50D2" w:rsidRPr="009B0330" w:rsidRDefault="00FA1CDF" w:rsidP="004A50D2">
            <w:pPr>
              <w:pStyle w:val="NoSpacing"/>
              <w:jc w:val="right"/>
              <w:cnfStyle w:val="000000000000" w:firstRow="0" w:lastRow="0" w:firstColumn="0" w:lastColumn="0" w:oddVBand="0" w:evenVBand="0" w:oddHBand="0" w:evenHBand="0" w:firstRowFirstColumn="0" w:firstRowLastColumn="0" w:lastRowFirstColumn="0" w:lastRowLastColumn="0"/>
            </w:pPr>
            <w:r>
              <w:t>18.6</w:t>
            </w:r>
            <w:r w:rsidR="004A50D2" w:rsidRPr="009B0330">
              <w:t>%</w:t>
            </w:r>
          </w:p>
        </w:tc>
        <w:tc>
          <w:tcPr>
            <w:tcW w:w="1260" w:type="dxa"/>
          </w:tcPr>
          <w:p w14:paraId="7052050B" w14:textId="70CCE841" w:rsidR="004A50D2" w:rsidRPr="009B0330" w:rsidRDefault="00677889" w:rsidP="004A50D2">
            <w:pPr>
              <w:pStyle w:val="NoSpacing"/>
              <w:jc w:val="right"/>
              <w:cnfStyle w:val="000000000000" w:firstRow="0" w:lastRow="0" w:firstColumn="0" w:lastColumn="0" w:oddVBand="0" w:evenVBand="0" w:oddHBand="0" w:evenHBand="0" w:firstRowFirstColumn="0" w:firstRowLastColumn="0" w:lastRowFirstColumn="0" w:lastRowLastColumn="0"/>
            </w:pPr>
            <w:r>
              <w:t>+</w:t>
            </w:r>
            <w:r w:rsidR="00F0742E">
              <w:t>0.4</w:t>
            </w:r>
            <w:r w:rsidR="004A50D2" w:rsidRPr="009B0330">
              <w:t>%</w:t>
            </w:r>
          </w:p>
        </w:tc>
      </w:tr>
    </w:tbl>
    <w:p w14:paraId="23606064" w14:textId="35DB05E7" w:rsidR="00555250"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A657C4">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910CD7">
        <w:rPr>
          <w:color w:val="7F7F7F" w:themeColor="text1" w:themeTint="80"/>
          <w:sz w:val="16"/>
          <w:szCs w:val="16"/>
        </w:rPr>
        <w:t>12/4/2022</w:t>
      </w:r>
    </w:p>
    <w:p w14:paraId="6CBB9CA7" w14:textId="00F915EB" w:rsidR="0094219B" w:rsidRDefault="0094219B" w:rsidP="00472B02">
      <w:pPr>
        <w:pStyle w:val="NoSpacing"/>
      </w:pPr>
    </w:p>
    <w:p w14:paraId="6ECA980F" w14:textId="1C95F143" w:rsidR="005C6AEE" w:rsidRPr="00927EAC" w:rsidRDefault="005C6AEE" w:rsidP="00927EAC">
      <w:pPr>
        <w:pStyle w:val="Heading2"/>
        <w:rPr>
          <w:b/>
          <w:bCs/>
          <w:color w:val="ED7D31" w:themeColor="accent2"/>
        </w:rPr>
      </w:pPr>
      <w:r w:rsidRPr="00927EAC">
        <w:rPr>
          <w:b/>
          <w:bCs/>
          <w:color w:val="ED7D31" w:themeColor="accent2"/>
        </w:rPr>
        <w:t>Performance by segment</w:t>
      </w:r>
    </w:p>
    <w:p w14:paraId="3F555681" w14:textId="6BEAD56C" w:rsidR="00927EAC" w:rsidRDefault="004B7951" w:rsidP="00927EAC">
      <w:pPr>
        <w:pStyle w:val="NoSpacing"/>
      </w:pPr>
      <w:r>
        <w:t>W</w:t>
      </w:r>
      <w:r w:rsidR="00927EAC">
        <w:t>hite mushrooms represent</w:t>
      </w:r>
      <w:r w:rsidR="00461D8C">
        <w:t>ed</w:t>
      </w:r>
      <w:r w:rsidR="00927EAC">
        <w:t xml:space="preserve"> </w:t>
      </w:r>
      <w:r w:rsidR="00D96AEE">
        <w:t>50.5</w:t>
      </w:r>
      <w:r w:rsidR="00927EAC">
        <w:t xml:space="preserve">% of total fresh mushroom sales and </w:t>
      </w:r>
      <w:r w:rsidR="00D96AEE">
        <w:t>58.0</w:t>
      </w:r>
      <w:r w:rsidR="00927EAC">
        <w:t>% of pounds</w:t>
      </w:r>
      <w:r w:rsidR="00AC2C09">
        <w:t xml:space="preserve"> in</w:t>
      </w:r>
      <w:r>
        <w:t xml:space="preserve"> the four</w:t>
      </w:r>
      <w:r w:rsidR="00461D8C">
        <w:t>-week period</w:t>
      </w:r>
      <w:r w:rsidR="00927EAC">
        <w:t xml:space="preserve">. </w:t>
      </w:r>
      <w:r>
        <w:t xml:space="preserve">However, it was brown </w:t>
      </w:r>
      <w:r w:rsidR="00B25DFD">
        <w:t>mushrooms</w:t>
      </w:r>
      <w:r>
        <w:t>, the combination of cr</w:t>
      </w:r>
      <w:r w:rsidR="002437CE">
        <w:t>i</w:t>
      </w:r>
      <w:r>
        <w:t>minis and portabellas, that</w:t>
      </w:r>
      <w:r w:rsidR="00B25DFD">
        <w:t xml:space="preserve"> </w:t>
      </w:r>
      <w:r>
        <w:t>fared better</w:t>
      </w:r>
      <w:r w:rsidR="00CB4067">
        <w:t xml:space="preserve"> with </w:t>
      </w:r>
      <w:r w:rsidR="00D96AEE">
        <w:t>8.6</w:t>
      </w:r>
      <w:r w:rsidR="00CB4067">
        <w:t>% pound growth over the 2019 levels</w:t>
      </w:r>
      <w:r w:rsidR="00EB30C7">
        <w:t xml:space="preserve">, whereas white mushrooms were down </w:t>
      </w:r>
      <w:r w:rsidR="00D96AEE">
        <w:t>17.1</w:t>
      </w:r>
      <w:r w:rsidR="00EB30C7">
        <w:t>%</w:t>
      </w:r>
      <w:r w:rsidR="00CB4067">
        <w:t xml:space="preserve">. </w:t>
      </w:r>
    </w:p>
    <w:p w14:paraId="29B3DB23" w14:textId="73EA9AE3" w:rsidR="00B25DFD" w:rsidRDefault="00B25DFD" w:rsidP="00927EAC">
      <w:pPr>
        <w:pStyle w:val="NoSpacing"/>
      </w:pPr>
    </w:p>
    <w:tbl>
      <w:tblPr>
        <w:tblStyle w:val="ListTable3-Accent2"/>
        <w:tblW w:w="10615" w:type="dxa"/>
        <w:tblLook w:val="0400" w:firstRow="0" w:lastRow="0" w:firstColumn="0" w:lastColumn="0" w:noHBand="0" w:noVBand="1"/>
      </w:tblPr>
      <w:tblGrid>
        <w:gridCol w:w="2821"/>
        <w:gridCol w:w="1025"/>
        <w:gridCol w:w="882"/>
        <w:gridCol w:w="1011"/>
        <w:gridCol w:w="989"/>
        <w:gridCol w:w="927"/>
        <w:gridCol w:w="890"/>
        <w:gridCol w:w="1080"/>
        <w:gridCol w:w="990"/>
      </w:tblGrid>
      <w:tr w:rsidR="00D8225F" w:rsidRPr="00B25DFD" w14:paraId="66036A96" w14:textId="09558220" w:rsidTr="00D97BC7">
        <w:trPr>
          <w:cnfStyle w:val="000000100000" w:firstRow="0" w:lastRow="0" w:firstColumn="0" w:lastColumn="0" w:oddVBand="0" w:evenVBand="0" w:oddHBand="1" w:evenHBand="0" w:firstRowFirstColumn="0" w:firstRowLastColumn="0" w:lastRowFirstColumn="0" w:lastRowLastColumn="0"/>
          <w:trHeight w:val="20"/>
        </w:trPr>
        <w:tc>
          <w:tcPr>
            <w:tcW w:w="2821" w:type="dxa"/>
            <w:shd w:val="clear" w:color="auto" w:fill="ED7D31" w:themeFill="accent2"/>
            <w:vAlign w:val="center"/>
            <w:hideMark/>
          </w:tcPr>
          <w:p w14:paraId="4B138C18" w14:textId="3CDF95FA" w:rsidR="00461D8C" w:rsidRPr="006A7A6E" w:rsidRDefault="00461D8C" w:rsidP="00CE27CF">
            <w:pPr>
              <w:pStyle w:val="NoSpacing"/>
              <w:rPr>
                <w:rFonts w:cstheme="minorHAnsi"/>
                <w:b/>
                <w:bCs/>
                <w:color w:val="FFFFFF" w:themeColor="background1"/>
              </w:rPr>
            </w:pPr>
            <w:bookmarkStart w:id="0" w:name="_Hlk97115006"/>
            <w:r w:rsidRPr="006A7A6E">
              <w:rPr>
                <w:rFonts w:cstheme="minorHAnsi"/>
                <w:b/>
                <w:bCs/>
                <w:color w:val="FFFFFF" w:themeColor="background1"/>
              </w:rPr>
              <w:t xml:space="preserve">4 weeks ending </w:t>
            </w:r>
            <w:r w:rsidR="00910CD7">
              <w:rPr>
                <w:rFonts w:cstheme="minorHAnsi"/>
                <w:b/>
                <w:bCs/>
                <w:color w:val="FFFFFF" w:themeColor="background1"/>
              </w:rPr>
              <w:t>12/4/2022</w:t>
            </w:r>
          </w:p>
        </w:tc>
        <w:tc>
          <w:tcPr>
            <w:tcW w:w="1025" w:type="dxa"/>
            <w:shd w:val="clear" w:color="auto" w:fill="ED7D31" w:themeFill="accent2"/>
            <w:hideMark/>
          </w:tcPr>
          <w:p w14:paraId="47F253CD" w14:textId="6F53405A"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Dollars</w:t>
            </w:r>
          </w:p>
        </w:tc>
        <w:tc>
          <w:tcPr>
            <w:tcW w:w="882" w:type="dxa"/>
            <w:shd w:val="clear" w:color="auto" w:fill="ED7D31" w:themeFill="accent2"/>
          </w:tcPr>
          <w:p w14:paraId="385A94D8" w14:textId="1A4D75AA"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Dollar s</w:t>
            </w:r>
            <w:r w:rsidR="00461D8C">
              <w:rPr>
                <w:rFonts w:cstheme="minorHAnsi"/>
                <w:b/>
                <w:bCs/>
                <w:color w:val="FFFFFF" w:themeColor="background1"/>
              </w:rPr>
              <w:t>hare</w:t>
            </w:r>
          </w:p>
        </w:tc>
        <w:tc>
          <w:tcPr>
            <w:tcW w:w="1011" w:type="dxa"/>
            <w:shd w:val="clear" w:color="auto" w:fill="ED7D31" w:themeFill="accent2"/>
            <w:hideMark/>
          </w:tcPr>
          <w:p w14:paraId="3685CC92" w14:textId="483D67A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s. 2021</w:t>
            </w:r>
          </w:p>
        </w:tc>
        <w:tc>
          <w:tcPr>
            <w:tcW w:w="989" w:type="dxa"/>
            <w:tcBorders>
              <w:right w:val="single" w:sz="4" w:space="0" w:color="ED7D31"/>
            </w:tcBorders>
            <w:shd w:val="clear" w:color="auto" w:fill="ED7D31" w:themeFill="accent2"/>
            <w:hideMark/>
          </w:tcPr>
          <w:p w14:paraId="4605C27F" w14:textId="65D7CC71"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s. 20</w:t>
            </w:r>
            <w:r w:rsidR="00EF25E4">
              <w:rPr>
                <w:rFonts w:cstheme="minorHAnsi"/>
                <w:b/>
                <w:bCs/>
                <w:color w:val="FFFFFF" w:themeColor="background1"/>
              </w:rPr>
              <w:t>19</w:t>
            </w:r>
          </w:p>
        </w:tc>
        <w:tc>
          <w:tcPr>
            <w:tcW w:w="927" w:type="dxa"/>
            <w:tcBorders>
              <w:left w:val="single" w:sz="4" w:space="0" w:color="ED7D31"/>
            </w:tcBorders>
            <w:shd w:val="clear" w:color="auto" w:fill="ED7D31" w:themeFill="accent2"/>
          </w:tcPr>
          <w:p w14:paraId="306DC338" w14:textId="78470F88"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Volume</w:t>
            </w:r>
            <w:r w:rsidR="00D8225F">
              <w:rPr>
                <w:rFonts w:cstheme="minorHAnsi"/>
                <w:b/>
                <w:bCs/>
                <w:color w:val="FFFFFF" w:themeColor="background1"/>
              </w:rPr>
              <w:t xml:space="preserve"> (lbs)</w:t>
            </w:r>
          </w:p>
        </w:tc>
        <w:tc>
          <w:tcPr>
            <w:tcW w:w="890" w:type="dxa"/>
            <w:shd w:val="clear" w:color="auto" w:fill="ED7D31" w:themeFill="accent2"/>
          </w:tcPr>
          <w:p w14:paraId="782C6C5A" w14:textId="3EB1CA01" w:rsidR="00D8225F" w:rsidRDefault="00D8225F" w:rsidP="00CE27CF">
            <w:pPr>
              <w:pStyle w:val="NoSpacing"/>
              <w:jc w:val="right"/>
              <w:rPr>
                <w:rFonts w:cstheme="minorHAnsi"/>
                <w:b/>
                <w:bCs/>
                <w:color w:val="FFFFFF" w:themeColor="background1"/>
              </w:rPr>
            </w:pPr>
            <w:r>
              <w:rPr>
                <w:rFonts w:cstheme="minorHAnsi"/>
                <w:b/>
                <w:bCs/>
                <w:color w:val="FFFFFF" w:themeColor="background1"/>
              </w:rPr>
              <w:t>Lbs</w:t>
            </w:r>
          </w:p>
          <w:p w14:paraId="60FA614A" w14:textId="53D1140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s</w:t>
            </w:r>
            <w:r w:rsidR="00461D8C">
              <w:rPr>
                <w:rFonts w:cstheme="minorHAnsi"/>
                <w:b/>
                <w:bCs/>
                <w:color w:val="FFFFFF" w:themeColor="background1"/>
              </w:rPr>
              <w:t>hare</w:t>
            </w:r>
          </w:p>
        </w:tc>
        <w:tc>
          <w:tcPr>
            <w:tcW w:w="1080" w:type="dxa"/>
            <w:shd w:val="clear" w:color="auto" w:fill="ED7D31" w:themeFill="accent2"/>
          </w:tcPr>
          <w:p w14:paraId="7DE6FAA8" w14:textId="682B1B76"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xml:space="preserve">Lbs </w:t>
            </w:r>
            <w:r>
              <w:rPr>
                <w:rFonts w:cstheme="minorHAnsi"/>
                <w:b/>
                <w:bCs/>
                <w:color w:val="FFFFFF" w:themeColor="background1"/>
              </w:rPr>
              <w:br/>
              <w:t>v</w:t>
            </w:r>
            <w:r w:rsidR="00461D8C" w:rsidRPr="006A7A6E">
              <w:rPr>
                <w:rFonts w:cstheme="minorHAnsi"/>
                <w:b/>
                <w:bCs/>
                <w:color w:val="FFFFFF" w:themeColor="background1"/>
              </w:rPr>
              <w:t>s. 2021</w:t>
            </w:r>
          </w:p>
        </w:tc>
        <w:tc>
          <w:tcPr>
            <w:tcW w:w="990" w:type="dxa"/>
            <w:shd w:val="clear" w:color="auto" w:fill="ED7D31" w:themeFill="accent2"/>
          </w:tcPr>
          <w:p w14:paraId="212AEB88" w14:textId="563D5342"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Lbs v</w:t>
            </w:r>
            <w:r w:rsidR="00461D8C" w:rsidRPr="006A7A6E">
              <w:rPr>
                <w:rFonts w:cstheme="minorHAnsi"/>
                <w:b/>
                <w:bCs/>
                <w:color w:val="FFFFFF" w:themeColor="background1"/>
              </w:rPr>
              <w:t>s. 20</w:t>
            </w:r>
            <w:r w:rsidR="00EF25E4">
              <w:rPr>
                <w:rFonts w:cstheme="minorHAnsi"/>
                <w:b/>
                <w:bCs/>
                <w:color w:val="FFFFFF" w:themeColor="background1"/>
              </w:rPr>
              <w:t>19</w:t>
            </w:r>
          </w:p>
        </w:tc>
      </w:tr>
      <w:tr w:rsidR="00D8225F" w:rsidRPr="00B25DFD" w14:paraId="69D4AA5B" w14:textId="069A747C" w:rsidTr="00D97BC7">
        <w:trPr>
          <w:trHeight w:val="20"/>
        </w:trPr>
        <w:tc>
          <w:tcPr>
            <w:tcW w:w="2821" w:type="dxa"/>
            <w:vAlign w:val="center"/>
            <w:hideMark/>
          </w:tcPr>
          <w:p w14:paraId="2C1CDE46" w14:textId="178D4679" w:rsidR="00461D8C" w:rsidRPr="006A7A6E" w:rsidRDefault="00461D8C" w:rsidP="002F23A1">
            <w:pPr>
              <w:rPr>
                <w:rFonts w:cstheme="minorHAnsi"/>
                <w:b/>
                <w:bCs/>
              </w:rPr>
            </w:pPr>
            <w:r>
              <w:rPr>
                <w:rFonts w:cstheme="minorHAnsi"/>
                <w:b/>
                <w:bCs/>
              </w:rPr>
              <w:t>Total f</w:t>
            </w:r>
            <w:r w:rsidRPr="006A7A6E">
              <w:rPr>
                <w:rFonts w:cstheme="minorHAnsi"/>
                <w:b/>
                <w:bCs/>
              </w:rPr>
              <w:t>resh mushrooms</w:t>
            </w:r>
          </w:p>
        </w:tc>
        <w:tc>
          <w:tcPr>
            <w:tcW w:w="1025" w:type="dxa"/>
            <w:hideMark/>
          </w:tcPr>
          <w:p w14:paraId="6A87FED7" w14:textId="77025487" w:rsidR="00461D8C" w:rsidRPr="006A7A6E" w:rsidRDefault="00461D8C" w:rsidP="00677889">
            <w:pPr>
              <w:pStyle w:val="NoSpacing"/>
              <w:jc w:val="right"/>
              <w:rPr>
                <w:rFonts w:cstheme="minorHAnsi"/>
                <w:b/>
                <w:bCs/>
              </w:rPr>
            </w:pPr>
            <w:r w:rsidRPr="006A7A6E">
              <w:rPr>
                <w:rFonts w:cstheme="minorHAnsi"/>
                <w:b/>
                <w:bCs/>
                <w:color w:val="000000" w:themeColor="text1"/>
              </w:rPr>
              <w:t>$</w:t>
            </w:r>
            <w:r w:rsidR="00F0742E">
              <w:rPr>
                <w:rFonts w:cstheme="minorHAnsi"/>
                <w:b/>
                <w:bCs/>
                <w:color w:val="000000" w:themeColor="text1"/>
              </w:rPr>
              <w:t>98.6</w:t>
            </w:r>
            <w:r w:rsidRPr="006A7A6E">
              <w:rPr>
                <w:rFonts w:cstheme="minorHAnsi"/>
                <w:b/>
                <w:bCs/>
                <w:color w:val="000000" w:themeColor="text1"/>
              </w:rPr>
              <w:t>M</w:t>
            </w:r>
          </w:p>
        </w:tc>
        <w:tc>
          <w:tcPr>
            <w:tcW w:w="882" w:type="dxa"/>
          </w:tcPr>
          <w:p w14:paraId="3A01C257" w14:textId="24C4CBC7" w:rsidR="00461D8C" w:rsidRPr="006A7A6E" w:rsidRDefault="00910CD7" w:rsidP="002F23A1">
            <w:pPr>
              <w:pStyle w:val="NoSpacing"/>
              <w:jc w:val="right"/>
              <w:rPr>
                <w:rFonts w:cstheme="minorHAnsi"/>
                <w:b/>
                <w:bCs/>
                <w:color w:val="000000" w:themeColor="text1"/>
              </w:rPr>
            </w:pPr>
            <w:r>
              <w:rPr>
                <w:rFonts w:cstheme="minorHAnsi"/>
                <w:b/>
                <w:bCs/>
                <w:color w:val="000000" w:themeColor="text1"/>
              </w:rPr>
              <w:t>100.0</w:t>
            </w:r>
            <w:r w:rsidR="00461D8C">
              <w:rPr>
                <w:rFonts w:cstheme="minorHAnsi"/>
                <w:b/>
                <w:bCs/>
                <w:color w:val="000000" w:themeColor="text1"/>
              </w:rPr>
              <w:t>%</w:t>
            </w:r>
          </w:p>
        </w:tc>
        <w:tc>
          <w:tcPr>
            <w:tcW w:w="1011" w:type="dxa"/>
            <w:hideMark/>
          </w:tcPr>
          <w:p w14:paraId="7E486F05" w14:textId="018A38D5" w:rsidR="00461D8C" w:rsidRPr="006A7A6E" w:rsidRDefault="00461D8C" w:rsidP="002F23A1">
            <w:pPr>
              <w:pStyle w:val="NoSpacing"/>
              <w:jc w:val="right"/>
              <w:rPr>
                <w:rFonts w:cstheme="minorHAnsi"/>
                <w:b/>
                <w:bCs/>
              </w:rPr>
            </w:pPr>
            <w:r w:rsidRPr="006A7A6E">
              <w:rPr>
                <w:rFonts w:cstheme="minorHAnsi"/>
                <w:b/>
                <w:bCs/>
                <w:color w:val="000000" w:themeColor="text1"/>
              </w:rPr>
              <w:t>-</w:t>
            </w:r>
            <w:r w:rsidR="00F0742E">
              <w:rPr>
                <w:rFonts w:cstheme="minorHAnsi"/>
                <w:b/>
                <w:bCs/>
                <w:color w:val="000000" w:themeColor="text1"/>
              </w:rPr>
              <w:t>3.7</w:t>
            </w:r>
            <w:r w:rsidRPr="006A7A6E">
              <w:rPr>
                <w:rFonts w:cstheme="minorHAnsi"/>
                <w:b/>
                <w:bCs/>
                <w:color w:val="000000" w:themeColor="text1"/>
              </w:rPr>
              <w:t>%</w:t>
            </w:r>
          </w:p>
        </w:tc>
        <w:tc>
          <w:tcPr>
            <w:tcW w:w="989" w:type="dxa"/>
            <w:tcBorders>
              <w:right w:val="single" w:sz="4" w:space="0" w:color="ED7D31"/>
            </w:tcBorders>
            <w:hideMark/>
          </w:tcPr>
          <w:p w14:paraId="3BD808C1" w14:textId="57D76F6B" w:rsidR="00461D8C" w:rsidRPr="006A7A6E" w:rsidRDefault="009D5574" w:rsidP="002F23A1">
            <w:pPr>
              <w:pStyle w:val="NoSpacing"/>
              <w:jc w:val="right"/>
              <w:rPr>
                <w:rFonts w:cstheme="minorHAnsi"/>
                <w:b/>
                <w:bCs/>
              </w:rPr>
            </w:pPr>
            <w:r>
              <w:rPr>
                <w:rFonts w:cstheme="minorHAnsi"/>
                <w:b/>
                <w:bCs/>
                <w:color w:val="000000" w:themeColor="text1"/>
              </w:rPr>
              <w:t>+</w:t>
            </w:r>
            <w:r w:rsidR="00F0742E">
              <w:rPr>
                <w:rFonts w:cstheme="minorHAnsi"/>
                <w:b/>
                <w:bCs/>
                <w:color w:val="000000" w:themeColor="text1"/>
              </w:rPr>
              <w:t>4.8</w:t>
            </w:r>
            <w:r w:rsidR="00461D8C" w:rsidRPr="006A7A6E">
              <w:rPr>
                <w:rFonts w:cstheme="minorHAnsi"/>
                <w:b/>
                <w:bCs/>
                <w:color w:val="000000" w:themeColor="text1"/>
              </w:rPr>
              <w:t>%</w:t>
            </w:r>
          </w:p>
        </w:tc>
        <w:tc>
          <w:tcPr>
            <w:tcW w:w="927" w:type="dxa"/>
            <w:tcBorders>
              <w:left w:val="single" w:sz="4" w:space="0" w:color="ED7D31"/>
            </w:tcBorders>
          </w:tcPr>
          <w:p w14:paraId="6E7375BC" w14:textId="205A49E9" w:rsidR="00461D8C" w:rsidRPr="006A7A6E" w:rsidRDefault="00F0742E" w:rsidP="002F23A1">
            <w:pPr>
              <w:pStyle w:val="NoSpacing"/>
              <w:jc w:val="right"/>
              <w:rPr>
                <w:rFonts w:cstheme="minorHAnsi"/>
                <w:b/>
                <w:bCs/>
              </w:rPr>
            </w:pPr>
            <w:r>
              <w:rPr>
                <w:rFonts w:cstheme="minorHAnsi"/>
                <w:b/>
                <w:bCs/>
                <w:color w:val="000000" w:themeColor="text1"/>
              </w:rPr>
              <w:t>20.7</w:t>
            </w:r>
            <w:r w:rsidR="00461D8C" w:rsidRPr="006A7A6E">
              <w:rPr>
                <w:rFonts w:cstheme="minorHAnsi"/>
                <w:b/>
                <w:bCs/>
                <w:color w:val="000000" w:themeColor="text1"/>
              </w:rPr>
              <w:t>M</w:t>
            </w:r>
          </w:p>
        </w:tc>
        <w:tc>
          <w:tcPr>
            <w:tcW w:w="890" w:type="dxa"/>
          </w:tcPr>
          <w:p w14:paraId="62317D86" w14:textId="460A43AB" w:rsidR="00461D8C" w:rsidRPr="006A7A6E" w:rsidRDefault="00461D8C" w:rsidP="002F23A1">
            <w:pPr>
              <w:pStyle w:val="NoSpacing"/>
              <w:jc w:val="right"/>
              <w:rPr>
                <w:rFonts w:cstheme="minorHAnsi"/>
                <w:b/>
                <w:bCs/>
                <w:color w:val="000000" w:themeColor="text1"/>
              </w:rPr>
            </w:pPr>
            <w:r>
              <w:rPr>
                <w:rFonts w:cstheme="minorHAnsi"/>
                <w:b/>
                <w:bCs/>
                <w:color w:val="000000" w:themeColor="text1"/>
              </w:rPr>
              <w:t>100.0%</w:t>
            </w:r>
          </w:p>
        </w:tc>
        <w:tc>
          <w:tcPr>
            <w:tcW w:w="1080" w:type="dxa"/>
          </w:tcPr>
          <w:p w14:paraId="5E78B271" w14:textId="372F21B2" w:rsidR="00461D8C" w:rsidRPr="006A7A6E" w:rsidRDefault="00461D8C" w:rsidP="002F23A1">
            <w:pPr>
              <w:pStyle w:val="NoSpacing"/>
              <w:jc w:val="right"/>
              <w:rPr>
                <w:rFonts w:cstheme="minorHAnsi"/>
                <w:b/>
                <w:bCs/>
              </w:rPr>
            </w:pPr>
            <w:r w:rsidRPr="006A7A6E">
              <w:rPr>
                <w:rFonts w:cstheme="minorHAnsi"/>
                <w:b/>
                <w:bCs/>
                <w:color w:val="000000" w:themeColor="text1"/>
              </w:rPr>
              <w:t>-</w:t>
            </w:r>
            <w:r w:rsidR="00F0742E">
              <w:rPr>
                <w:rFonts w:cstheme="minorHAnsi"/>
                <w:b/>
                <w:bCs/>
                <w:color w:val="000000" w:themeColor="text1"/>
              </w:rPr>
              <w:t>11.1</w:t>
            </w:r>
            <w:r w:rsidRPr="006A7A6E">
              <w:rPr>
                <w:rFonts w:cstheme="minorHAnsi"/>
                <w:b/>
                <w:bCs/>
                <w:color w:val="000000" w:themeColor="text1"/>
              </w:rPr>
              <w:t>%</w:t>
            </w:r>
          </w:p>
        </w:tc>
        <w:tc>
          <w:tcPr>
            <w:tcW w:w="990" w:type="dxa"/>
          </w:tcPr>
          <w:p w14:paraId="576290B6" w14:textId="4A4F4208" w:rsidR="00461D8C" w:rsidRPr="006A7A6E" w:rsidRDefault="006F1F55" w:rsidP="002F23A1">
            <w:pPr>
              <w:pStyle w:val="NoSpacing"/>
              <w:jc w:val="right"/>
              <w:rPr>
                <w:rFonts w:cstheme="minorHAnsi"/>
                <w:b/>
                <w:bCs/>
              </w:rPr>
            </w:pPr>
            <w:r>
              <w:rPr>
                <w:rFonts w:cstheme="minorHAnsi"/>
                <w:b/>
                <w:bCs/>
                <w:color w:val="000000" w:themeColor="text1"/>
              </w:rPr>
              <w:t>-</w:t>
            </w:r>
            <w:r w:rsidR="00F0742E">
              <w:rPr>
                <w:rFonts w:cstheme="minorHAnsi"/>
                <w:b/>
                <w:bCs/>
                <w:color w:val="000000" w:themeColor="text1"/>
              </w:rPr>
              <w:t>8.2</w:t>
            </w:r>
            <w:r w:rsidR="00461D8C" w:rsidRPr="006A7A6E">
              <w:rPr>
                <w:rFonts w:cstheme="minorHAnsi"/>
                <w:b/>
                <w:bCs/>
                <w:color w:val="000000" w:themeColor="text1"/>
              </w:rPr>
              <w:t>%</w:t>
            </w:r>
          </w:p>
        </w:tc>
      </w:tr>
      <w:tr w:rsidR="0004266D" w:rsidRPr="00B25DFD" w14:paraId="20B4A675" w14:textId="7B567306" w:rsidTr="00D97BC7">
        <w:trPr>
          <w:cnfStyle w:val="000000100000" w:firstRow="0" w:lastRow="0" w:firstColumn="0" w:lastColumn="0" w:oddVBand="0" w:evenVBand="0" w:oddHBand="1" w:evenHBand="0" w:firstRowFirstColumn="0" w:firstRowLastColumn="0" w:lastRowFirstColumn="0" w:lastRowLastColumn="0"/>
          <w:trHeight w:val="20"/>
        </w:trPr>
        <w:tc>
          <w:tcPr>
            <w:tcW w:w="2821" w:type="dxa"/>
            <w:vAlign w:val="center"/>
            <w:hideMark/>
          </w:tcPr>
          <w:p w14:paraId="0674F69D" w14:textId="21733F06" w:rsidR="0004266D" w:rsidRPr="006A7A6E" w:rsidRDefault="0004266D" w:rsidP="0004266D">
            <w:pPr>
              <w:rPr>
                <w:rFonts w:cstheme="minorHAnsi"/>
              </w:rPr>
            </w:pPr>
            <w:r w:rsidRPr="006A7A6E">
              <w:rPr>
                <w:rFonts w:cstheme="minorHAnsi"/>
              </w:rPr>
              <w:t>White mushrooms</w:t>
            </w:r>
          </w:p>
        </w:tc>
        <w:tc>
          <w:tcPr>
            <w:tcW w:w="1025" w:type="dxa"/>
            <w:hideMark/>
          </w:tcPr>
          <w:p w14:paraId="502595AA" w14:textId="7BB6AF1B" w:rsidR="0004266D" w:rsidRPr="002F23A1" w:rsidRDefault="0004266D" w:rsidP="0004266D">
            <w:pPr>
              <w:pStyle w:val="NoSpacing"/>
              <w:jc w:val="right"/>
              <w:rPr>
                <w:rFonts w:cstheme="minorHAnsi"/>
              </w:rPr>
            </w:pPr>
            <w:r w:rsidRPr="002F23A1">
              <w:rPr>
                <w:rFonts w:cstheme="minorHAnsi"/>
                <w:color w:val="000000" w:themeColor="text1"/>
              </w:rPr>
              <w:t>$</w:t>
            </w:r>
            <w:r w:rsidR="00F0742E">
              <w:rPr>
                <w:rFonts w:cstheme="minorHAnsi"/>
                <w:color w:val="000000" w:themeColor="text1"/>
              </w:rPr>
              <w:t>49.8</w:t>
            </w:r>
            <w:r w:rsidRPr="002F23A1">
              <w:rPr>
                <w:rFonts w:cstheme="minorHAnsi"/>
                <w:color w:val="000000" w:themeColor="text1"/>
              </w:rPr>
              <w:t>M</w:t>
            </w:r>
          </w:p>
        </w:tc>
        <w:tc>
          <w:tcPr>
            <w:tcW w:w="882" w:type="dxa"/>
          </w:tcPr>
          <w:p w14:paraId="5E770B3E" w14:textId="54154280" w:rsidR="0004266D" w:rsidRPr="00D96AEE" w:rsidRDefault="00D96AEE" w:rsidP="0004266D">
            <w:pPr>
              <w:pStyle w:val="NoSpacing"/>
              <w:jc w:val="right"/>
              <w:rPr>
                <w:rFonts w:cstheme="minorHAnsi"/>
              </w:rPr>
            </w:pPr>
            <w:r w:rsidRPr="00D96AEE">
              <w:rPr>
                <w:rFonts w:cstheme="minorHAnsi"/>
              </w:rPr>
              <w:t>50.5</w:t>
            </w:r>
            <w:r w:rsidR="0004266D" w:rsidRPr="00D96AEE">
              <w:rPr>
                <w:rFonts w:cstheme="minorHAnsi"/>
              </w:rPr>
              <w:t>%</w:t>
            </w:r>
          </w:p>
        </w:tc>
        <w:tc>
          <w:tcPr>
            <w:tcW w:w="1011" w:type="dxa"/>
            <w:hideMark/>
          </w:tcPr>
          <w:p w14:paraId="4CEB702D" w14:textId="4FCB9022" w:rsidR="0004266D" w:rsidRPr="00D96AEE" w:rsidRDefault="0004266D" w:rsidP="0004266D">
            <w:pPr>
              <w:pStyle w:val="NoSpacing"/>
              <w:jc w:val="right"/>
              <w:rPr>
                <w:rFonts w:cstheme="minorHAnsi"/>
              </w:rPr>
            </w:pPr>
            <w:r w:rsidRPr="00D96AEE">
              <w:rPr>
                <w:rFonts w:cstheme="minorHAnsi"/>
                <w:color w:val="000000" w:themeColor="text1"/>
              </w:rPr>
              <w:t>-</w:t>
            </w:r>
            <w:r w:rsidR="00F0742E" w:rsidRPr="00D96AEE">
              <w:rPr>
                <w:rFonts w:cstheme="minorHAnsi"/>
                <w:color w:val="000000" w:themeColor="text1"/>
              </w:rPr>
              <w:t>10.7</w:t>
            </w:r>
            <w:r w:rsidRPr="00D96AEE">
              <w:rPr>
                <w:rFonts w:cstheme="minorHAnsi"/>
                <w:color w:val="000000" w:themeColor="text1"/>
              </w:rPr>
              <w:t>%</w:t>
            </w:r>
          </w:p>
        </w:tc>
        <w:tc>
          <w:tcPr>
            <w:tcW w:w="989" w:type="dxa"/>
            <w:tcBorders>
              <w:right w:val="single" w:sz="4" w:space="0" w:color="ED7D31"/>
            </w:tcBorders>
            <w:hideMark/>
          </w:tcPr>
          <w:p w14:paraId="7F3B4AE1" w14:textId="27914744" w:rsidR="0004266D" w:rsidRPr="0004266D" w:rsidRDefault="0004266D" w:rsidP="0004266D">
            <w:pPr>
              <w:pStyle w:val="NoSpacing"/>
              <w:jc w:val="right"/>
              <w:rPr>
                <w:rFonts w:cstheme="minorHAnsi"/>
              </w:rPr>
            </w:pPr>
            <w:r w:rsidRPr="0004266D">
              <w:rPr>
                <w:rFonts w:cstheme="minorHAnsi"/>
                <w:color w:val="000000" w:themeColor="text1"/>
              </w:rPr>
              <w:t>-</w:t>
            </w:r>
            <w:r w:rsidR="00F0742E">
              <w:rPr>
                <w:rFonts w:cstheme="minorHAnsi"/>
                <w:color w:val="000000" w:themeColor="text1"/>
              </w:rPr>
              <w:t>7.0</w:t>
            </w:r>
            <w:r w:rsidRPr="0004266D">
              <w:rPr>
                <w:rFonts w:cstheme="minorHAnsi"/>
                <w:color w:val="000000" w:themeColor="text1"/>
              </w:rPr>
              <w:t>%</w:t>
            </w:r>
          </w:p>
        </w:tc>
        <w:tc>
          <w:tcPr>
            <w:tcW w:w="927" w:type="dxa"/>
            <w:tcBorders>
              <w:left w:val="single" w:sz="4" w:space="0" w:color="ED7D31"/>
            </w:tcBorders>
          </w:tcPr>
          <w:p w14:paraId="3E87B660" w14:textId="7C428197" w:rsidR="0004266D" w:rsidRPr="0004266D" w:rsidRDefault="00D96AEE" w:rsidP="0004266D">
            <w:pPr>
              <w:pStyle w:val="NoSpacing"/>
              <w:jc w:val="right"/>
              <w:rPr>
                <w:rFonts w:cstheme="minorHAnsi"/>
              </w:rPr>
            </w:pPr>
            <w:r>
              <w:rPr>
                <w:rFonts w:cstheme="minorHAnsi"/>
                <w:color w:val="000000" w:themeColor="text1"/>
              </w:rPr>
              <w:t>12.0</w:t>
            </w:r>
            <w:r w:rsidR="0004266D" w:rsidRPr="0004266D">
              <w:rPr>
                <w:rFonts w:cstheme="minorHAnsi"/>
                <w:color w:val="000000" w:themeColor="text1"/>
              </w:rPr>
              <w:t>M</w:t>
            </w:r>
          </w:p>
        </w:tc>
        <w:tc>
          <w:tcPr>
            <w:tcW w:w="890" w:type="dxa"/>
          </w:tcPr>
          <w:p w14:paraId="4385ED4A" w14:textId="22D2DA89" w:rsidR="0004266D" w:rsidRPr="00337F18" w:rsidRDefault="00D96AEE" w:rsidP="0004266D">
            <w:pPr>
              <w:pStyle w:val="NoSpacing"/>
              <w:jc w:val="right"/>
              <w:rPr>
                <w:rFonts w:cstheme="minorHAnsi"/>
              </w:rPr>
            </w:pPr>
            <w:r w:rsidRPr="00D96AEE">
              <w:rPr>
                <w:rFonts w:cstheme="minorHAnsi"/>
              </w:rPr>
              <w:t>58.0</w:t>
            </w:r>
            <w:r w:rsidR="0004266D" w:rsidRPr="00D96AEE">
              <w:rPr>
                <w:rFonts w:cstheme="minorHAnsi"/>
              </w:rPr>
              <w:t>%</w:t>
            </w:r>
          </w:p>
        </w:tc>
        <w:tc>
          <w:tcPr>
            <w:tcW w:w="1080" w:type="dxa"/>
          </w:tcPr>
          <w:p w14:paraId="776C4AD3" w14:textId="26BE601C" w:rsidR="0004266D" w:rsidRPr="0004266D" w:rsidRDefault="0004266D" w:rsidP="0004266D">
            <w:pPr>
              <w:pStyle w:val="NoSpacing"/>
              <w:jc w:val="right"/>
              <w:rPr>
                <w:rFonts w:cstheme="minorHAnsi"/>
              </w:rPr>
            </w:pPr>
            <w:r w:rsidRPr="0004266D">
              <w:rPr>
                <w:rFonts w:cstheme="minorHAnsi"/>
                <w:color w:val="000000" w:themeColor="text1"/>
              </w:rPr>
              <w:t>-</w:t>
            </w:r>
            <w:r w:rsidR="00D96AEE">
              <w:rPr>
                <w:rFonts w:cstheme="minorHAnsi"/>
                <w:color w:val="000000" w:themeColor="text1"/>
              </w:rPr>
              <w:t>16.5</w:t>
            </w:r>
            <w:r w:rsidRPr="0004266D">
              <w:rPr>
                <w:rFonts w:cstheme="minorHAnsi"/>
                <w:color w:val="000000" w:themeColor="text1"/>
              </w:rPr>
              <w:t>%</w:t>
            </w:r>
          </w:p>
        </w:tc>
        <w:tc>
          <w:tcPr>
            <w:tcW w:w="990" w:type="dxa"/>
          </w:tcPr>
          <w:p w14:paraId="107F8B93" w14:textId="23C4E77E" w:rsidR="0004266D" w:rsidRPr="00D96AEE" w:rsidRDefault="0004266D" w:rsidP="0004266D">
            <w:pPr>
              <w:pStyle w:val="NoSpacing"/>
              <w:jc w:val="right"/>
              <w:rPr>
                <w:rFonts w:cstheme="minorHAnsi"/>
              </w:rPr>
            </w:pPr>
            <w:r w:rsidRPr="00D96AEE">
              <w:rPr>
                <w:rFonts w:cstheme="minorHAnsi"/>
                <w:color w:val="000000" w:themeColor="text1"/>
              </w:rPr>
              <w:t>-</w:t>
            </w:r>
            <w:r w:rsidR="00D96AEE" w:rsidRPr="00D96AEE">
              <w:rPr>
                <w:rFonts w:cstheme="minorHAnsi"/>
                <w:color w:val="000000" w:themeColor="text1"/>
              </w:rPr>
              <w:t>17.1</w:t>
            </w:r>
            <w:r w:rsidRPr="00D96AEE">
              <w:rPr>
                <w:rFonts w:cstheme="minorHAnsi"/>
                <w:color w:val="000000" w:themeColor="text1"/>
              </w:rPr>
              <w:t>%</w:t>
            </w:r>
          </w:p>
        </w:tc>
      </w:tr>
      <w:tr w:rsidR="0004266D" w:rsidRPr="00B25DFD" w14:paraId="6060C93B" w14:textId="081A30E4" w:rsidTr="00D97BC7">
        <w:trPr>
          <w:trHeight w:val="20"/>
        </w:trPr>
        <w:tc>
          <w:tcPr>
            <w:tcW w:w="2821" w:type="dxa"/>
            <w:vAlign w:val="center"/>
            <w:hideMark/>
          </w:tcPr>
          <w:p w14:paraId="4D628EC6" w14:textId="7F1F9492" w:rsidR="0004266D" w:rsidRPr="006A7A6E" w:rsidRDefault="0004266D" w:rsidP="0004266D">
            <w:pPr>
              <w:rPr>
                <w:rFonts w:cstheme="minorHAnsi"/>
              </w:rPr>
            </w:pPr>
            <w:r w:rsidRPr="006A7A6E">
              <w:rPr>
                <w:rFonts w:cstheme="minorHAnsi"/>
              </w:rPr>
              <w:t>Brown mushrooms</w:t>
            </w:r>
          </w:p>
        </w:tc>
        <w:tc>
          <w:tcPr>
            <w:tcW w:w="1025" w:type="dxa"/>
            <w:hideMark/>
          </w:tcPr>
          <w:p w14:paraId="590C2B94" w14:textId="0522C84A" w:rsidR="0004266D" w:rsidRPr="002F23A1" w:rsidRDefault="0004266D" w:rsidP="0004266D">
            <w:pPr>
              <w:pStyle w:val="NoSpacing"/>
              <w:jc w:val="right"/>
              <w:rPr>
                <w:rFonts w:cstheme="minorHAnsi"/>
              </w:rPr>
            </w:pPr>
            <w:r w:rsidRPr="002F23A1">
              <w:rPr>
                <w:rFonts w:cstheme="minorHAnsi"/>
                <w:color w:val="000000" w:themeColor="text1"/>
              </w:rPr>
              <w:t>$</w:t>
            </w:r>
            <w:r w:rsidR="00F0742E">
              <w:rPr>
                <w:rFonts w:cstheme="minorHAnsi"/>
                <w:color w:val="000000" w:themeColor="text1"/>
              </w:rPr>
              <w:t>42.7</w:t>
            </w:r>
            <w:r w:rsidRPr="002F23A1">
              <w:rPr>
                <w:rFonts w:cstheme="minorHAnsi"/>
                <w:color w:val="000000" w:themeColor="text1"/>
              </w:rPr>
              <w:t>M</w:t>
            </w:r>
          </w:p>
        </w:tc>
        <w:tc>
          <w:tcPr>
            <w:tcW w:w="882" w:type="dxa"/>
          </w:tcPr>
          <w:p w14:paraId="02395440" w14:textId="4D0F95CC" w:rsidR="0004266D" w:rsidRPr="00337F18" w:rsidRDefault="00D96AEE" w:rsidP="0004266D">
            <w:pPr>
              <w:pStyle w:val="NoSpacing"/>
              <w:jc w:val="right"/>
              <w:rPr>
                <w:rFonts w:cstheme="minorHAnsi"/>
              </w:rPr>
            </w:pPr>
            <w:r>
              <w:rPr>
                <w:rFonts w:cstheme="minorHAnsi"/>
              </w:rPr>
              <w:t>43.3</w:t>
            </w:r>
            <w:r w:rsidR="0004266D" w:rsidRPr="00337F18">
              <w:rPr>
                <w:rFonts w:cstheme="minorHAnsi"/>
              </w:rPr>
              <w:t>%</w:t>
            </w:r>
          </w:p>
        </w:tc>
        <w:tc>
          <w:tcPr>
            <w:tcW w:w="1011" w:type="dxa"/>
            <w:hideMark/>
          </w:tcPr>
          <w:p w14:paraId="42F0AAF3" w14:textId="66D28612" w:rsidR="0004266D" w:rsidRPr="0004266D" w:rsidRDefault="00910CD7" w:rsidP="0004266D">
            <w:pPr>
              <w:pStyle w:val="NoSpacing"/>
              <w:jc w:val="right"/>
              <w:rPr>
                <w:rFonts w:cstheme="minorHAnsi"/>
              </w:rPr>
            </w:pPr>
            <w:r>
              <w:rPr>
                <w:rFonts w:cstheme="minorHAnsi"/>
                <w:color w:val="000000" w:themeColor="text1"/>
              </w:rPr>
              <w:t>+</w:t>
            </w:r>
            <w:r w:rsidR="00F0742E">
              <w:rPr>
                <w:rFonts w:cstheme="minorHAnsi"/>
                <w:color w:val="000000" w:themeColor="text1"/>
              </w:rPr>
              <w:t>4.7</w:t>
            </w:r>
            <w:r w:rsidR="0004266D" w:rsidRPr="0004266D">
              <w:rPr>
                <w:rFonts w:cstheme="minorHAnsi"/>
                <w:color w:val="000000" w:themeColor="text1"/>
              </w:rPr>
              <w:t>%</w:t>
            </w:r>
          </w:p>
        </w:tc>
        <w:tc>
          <w:tcPr>
            <w:tcW w:w="989" w:type="dxa"/>
            <w:tcBorders>
              <w:right w:val="single" w:sz="4" w:space="0" w:color="ED7D31"/>
            </w:tcBorders>
            <w:hideMark/>
          </w:tcPr>
          <w:p w14:paraId="25DB127B" w14:textId="50D26F3D" w:rsidR="0004266D" w:rsidRPr="0004266D" w:rsidRDefault="009D5574" w:rsidP="0004266D">
            <w:pPr>
              <w:pStyle w:val="NoSpacing"/>
              <w:jc w:val="right"/>
              <w:rPr>
                <w:rFonts w:cstheme="minorHAnsi"/>
              </w:rPr>
            </w:pPr>
            <w:r>
              <w:rPr>
                <w:rFonts w:cstheme="minorHAnsi"/>
                <w:color w:val="000000" w:themeColor="text1"/>
              </w:rPr>
              <w:t>+</w:t>
            </w:r>
            <w:r w:rsidR="00F0742E">
              <w:rPr>
                <w:rFonts w:cstheme="minorHAnsi"/>
                <w:color w:val="000000" w:themeColor="text1"/>
              </w:rPr>
              <w:t>21.9</w:t>
            </w:r>
            <w:r w:rsidR="0004266D" w:rsidRPr="0004266D">
              <w:rPr>
                <w:rFonts w:cstheme="minorHAnsi"/>
                <w:color w:val="000000" w:themeColor="text1"/>
              </w:rPr>
              <w:t>%</w:t>
            </w:r>
          </w:p>
        </w:tc>
        <w:tc>
          <w:tcPr>
            <w:tcW w:w="927" w:type="dxa"/>
            <w:tcBorders>
              <w:left w:val="single" w:sz="4" w:space="0" w:color="ED7D31"/>
            </w:tcBorders>
          </w:tcPr>
          <w:p w14:paraId="6FD24DED" w14:textId="4E7C90D4" w:rsidR="0004266D" w:rsidRPr="0004266D" w:rsidRDefault="00D96AEE" w:rsidP="0004266D">
            <w:pPr>
              <w:pStyle w:val="NoSpacing"/>
              <w:jc w:val="right"/>
              <w:rPr>
                <w:rFonts w:cstheme="minorHAnsi"/>
              </w:rPr>
            </w:pPr>
            <w:r>
              <w:rPr>
                <w:rFonts w:cstheme="minorHAnsi"/>
                <w:color w:val="000000" w:themeColor="text1"/>
              </w:rPr>
              <w:t>8.3</w:t>
            </w:r>
            <w:r w:rsidR="0004266D" w:rsidRPr="0004266D">
              <w:rPr>
                <w:rFonts w:cstheme="minorHAnsi"/>
                <w:color w:val="000000" w:themeColor="text1"/>
              </w:rPr>
              <w:t>M</w:t>
            </w:r>
          </w:p>
        </w:tc>
        <w:tc>
          <w:tcPr>
            <w:tcW w:w="890" w:type="dxa"/>
          </w:tcPr>
          <w:p w14:paraId="39529C18" w14:textId="79249ABB" w:rsidR="0004266D" w:rsidRPr="00337F18" w:rsidRDefault="00D96AEE" w:rsidP="0004266D">
            <w:pPr>
              <w:pStyle w:val="NoSpacing"/>
              <w:jc w:val="right"/>
              <w:rPr>
                <w:rFonts w:cstheme="minorHAnsi"/>
              </w:rPr>
            </w:pPr>
            <w:r>
              <w:rPr>
                <w:rFonts w:cstheme="minorHAnsi"/>
              </w:rPr>
              <w:t>39.9</w:t>
            </w:r>
            <w:r w:rsidR="0004266D" w:rsidRPr="00337F18">
              <w:rPr>
                <w:rFonts w:cstheme="minorHAnsi"/>
              </w:rPr>
              <w:t>%</w:t>
            </w:r>
          </w:p>
        </w:tc>
        <w:tc>
          <w:tcPr>
            <w:tcW w:w="1080" w:type="dxa"/>
          </w:tcPr>
          <w:p w14:paraId="720478A7" w14:textId="0FB8330E" w:rsidR="0004266D" w:rsidRPr="0004266D" w:rsidRDefault="0004266D" w:rsidP="0004266D">
            <w:pPr>
              <w:pStyle w:val="NoSpacing"/>
              <w:jc w:val="right"/>
              <w:rPr>
                <w:rFonts w:cstheme="minorHAnsi"/>
              </w:rPr>
            </w:pPr>
            <w:r w:rsidRPr="0004266D">
              <w:rPr>
                <w:rFonts w:cstheme="minorHAnsi"/>
                <w:color w:val="000000" w:themeColor="text1"/>
              </w:rPr>
              <w:t>-</w:t>
            </w:r>
            <w:r w:rsidR="00D96AEE">
              <w:rPr>
                <w:rFonts w:cstheme="minorHAnsi"/>
                <w:color w:val="000000" w:themeColor="text1"/>
              </w:rPr>
              <w:t>2.8</w:t>
            </w:r>
            <w:r w:rsidRPr="0004266D">
              <w:rPr>
                <w:rFonts w:cstheme="minorHAnsi"/>
                <w:color w:val="000000" w:themeColor="text1"/>
              </w:rPr>
              <w:t>%</w:t>
            </w:r>
          </w:p>
        </w:tc>
        <w:tc>
          <w:tcPr>
            <w:tcW w:w="990" w:type="dxa"/>
          </w:tcPr>
          <w:p w14:paraId="30958CBD" w14:textId="3078B117" w:rsidR="0004266D" w:rsidRPr="00D96AEE" w:rsidRDefault="009D5574" w:rsidP="0004266D">
            <w:pPr>
              <w:pStyle w:val="NoSpacing"/>
              <w:jc w:val="right"/>
              <w:rPr>
                <w:rFonts w:cstheme="minorHAnsi"/>
              </w:rPr>
            </w:pPr>
            <w:r w:rsidRPr="00D96AEE">
              <w:rPr>
                <w:rFonts w:cstheme="minorHAnsi"/>
                <w:color w:val="000000" w:themeColor="text1"/>
              </w:rPr>
              <w:t>+</w:t>
            </w:r>
            <w:r w:rsidR="00D96AEE" w:rsidRPr="00D96AEE">
              <w:rPr>
                <w:rFonts w:cstheme="minorHAnsi"/>
                <w:color w:val="000000" w:themeColor="text1"/>
              </w:rPr>
              <w:t>8.6</w:t>
            </w:r>
            <w:r w:rsidR="0004266D" w:rsidRPr="00D96AEE">
              <w:rPr>
                <w:rFonts w:cstheme="minorHAnsi"/>
                <w:color w:val="000000" w:themeColor="text1"/>
              </w:rPr>
              <w:t>%</w:t>
            </w:r>
          </w:p>
        </w:tc>
      </w:tr>
      <w:tr w:rsidR="0004266D" w:rsidRPr="00B25DFD" w14:paraId="2B6B448E" w14:textId="7445020D" w:rsidTr="00D97BC7">
        <w:trPr>
          <w:cnfStyle w:val="000000100000" w:firstRow="0" w:lastRow="0" w:firstColumn="0" w:lastColumn="0" w:oddVBand="0" w:evenVBand="0" w:oddHBand="1" w:evenHBand="0" w:firstRowFirstColumn="0" w:firstRowLastColumn="0" w:lastRowFirstColumn="0" w:lastRowLastColumn="0"/>
          <w:trHeight w:val="20"/>
        </w:trPr>
        <w:tc>
          <w:tcPr>
            <w:tcW w:w="2821" w:type="dxa"/>
            <w:vAlign w:val="center"/>
            <w:hideMark/>
          </w:tcPr>
          <w:p w14:paraId="7C14C062" w14:textId="0BCE1D26" w:rsidR="0004266D" w:rsidRPr="006A7A6E" w:rsidRDefault="0004266D" w:rsidP="0004266D">
            <w:pPr>
              <w:rPr>
                <w:rFonts w:cstheme="minorHAnsi"/>
              </w:rPr>
            </w:pPr>
            <w:r>
              <w:rPr>
                <w:rFonts w:cstheme="minorHAnsi"/>
              </w:rPr>
              <w:t xml:space="preserve">Specialty </w:t>
            </w:r>
            <w:r w:rsidRPr="006A7A6E">
              <w:rPr>
                <w:rFonts w:cstheme="minorHAnsi"/>
              </w:rPr>
              <w:t>mushrooms</w:t>
            </w:r>
          </w:p>
        </w:tc>
        <w:tc>
          <w:tcPr>
            <w:tcW w:w="1025" w:type="dxa"/>
            <w:hideMark/>
          </w:tcPr>
          <w:p w14:paraId="43257BA5" w14:textId="40DB38E5" w:rsidR="0004266D" w:rsidRPr="002F23A1" w:rsidRDefault="0004266D" w:rsidP="0004266D">
            <w:pPr>
              <w:pStyle w:val="NoSpacing"/>
              <w:jc w:val="right"/>
              <w:rPr>
                <w:rFonts w:cstheme="minorHAnsi"/>
              </w:rPr>
            </w:pPr>
            <w:r w:rsidRPr="002F23A1">
              <w:rPr>
                <w:rFonts w:cstheme="minorHAnsi"/>
                <w:color w:val="000000" w:themeColor="text1"/>
              </w:rPr>
              <w:t>$</w:t>
            </w:r>
            <w:r w:rsidR="00F0742E">
              <w:rPr>
                <w:rFonts w:cstheme="minorHAnsi"/>
                <w:color w:val="000000" w:themeColor="text1"/>
              </w:rPr>
              <w:t>6.1</w:t>
            </w:r>
            <w:r w:rsidRPr="002F23A1">
              <w:rPr>
                <w:rFonts w:cstheme="minorHAnsi"/>
                <w:color w:val="000000" w:themeColor="text1"/>
              </w:rPr>
              <w:t>M</w:t>
            </w:r>
          </w:p>
        </w:tc>
        <w:tc>
          <w:tcPr>
            <w:tcW w:w="882" w:type="dxa"/>
          </w:tcPr>
          <w:p w14:paraId="7EC04D31" w14:textId="1C67CB1A" w:rsidR="0004266D" w:rsidRPr="00337F18" w:rsidRDefault="002225C6" w:rsidP="00337F18">
            <w:pPr>
              <w:pStyle w:val="NoSpacing"/>
              <w:jc w:val="right"/>
              <w:rPr>
                <w:rFonts w:cstheme="minorHAnsi"/>
              </w:rPr>
            </w:pPr>
            <w:r>
              <w:rPr>
                <w:rFonts w:cstheme="minorHAnsi"/>
              </w:rPr>
              <w:t>6.2</w:t>
            </w:r>
            <w:r w:rsidR="0004266D" w:rsidRPr="00337F18">
              <w:rPr>
                <w:rFonts w:cstheme="minorHAnsi"/>
              </w:rPr>
              <w:t>%</w:t>
            </w:r>
          </w:p>
        </w:tc>
        <w:tc>
          <w:tcPr>
            <w:tcW w:w="1011" w:type="dxa"/>
            <w:hideMark/>
          </w:tcPr>
          <w:p w14:paraId="10052F27" w14:textId="5FF8A77D" w:rsidR="0004266D" w:rsidRPr="0004266D" w:rsidRDefault="00910CD7" w:rsidP="0004266D">
            <w:pPr>
              <w:pStyle w:val="NoSpacing"/>
              <w:jc w:val="right"/>
              <w:rPr>
                <w:rFonts w:cstheme="minorHAnsi"/>
              </w:rPr>
            </w:pPr>
            <w:r>
              <w:rPr>
                <w:rFonts w:cstheme="minorHAnsi"/>
                <w:color w:val="000000" w:themeColor="text1"/>
              </w:rPr>
              <w:t>+</w:t>
            </w:r>
            <w:r w:rsidR="00F0742E">
              <w:rPr>
                <w:rFonts w:cstheme="minorHAnsi"/>
                <w:color w:val="000000" w:themeColor="text1"/>
              </w:rPr>
              <w:t>3.5</w:t>
            </w:r>
            <w:r w:rsidR="0004266D" w:rsidRPr="0004266D">
              <w:rPr>
                <w:rFonts w:cstheme="minorHAnsi"/>
                <w:color w:val="000000" w:themeColor="text1"/>
              </w:rPr>
              <w:t>%</w:t>
            </w:r>
          </w:p>
        </w:tc>
        <w:tc>
          <w:tcPr>
            <w:tcW w:w="989" w:type="dxa"/>
            <w:tcBorders>
              <w:right w:val="single" w:sz="4" w:space="0" w:color="ED7D31"/>
            </w:tcBorders>
            <w:hideMark/>
          </w:tcPr>
          <w:p w14:paraId="31EEA636" w14:textId="60BB3844" w:rsidR="0004266D" w:rsidRPr="0004266D" w:rsidRDefault="009D5574" w:rsidP="0004266D">
            <w:pPr>
              <w:pStyle w:val="NoSpacing"/>
              <w:jc w:val="right"/>
              <w:rPr>
                <w:rFonts w:cstheme="minorHAnsi"/>
              </w:rPr>
            </w:pPr>
            <w:r>
              <w:rPr>
                <w:rFonts w:cstheme="minorHAnsi"/>
                <w:color w:val="000000" w:themeColor="text1"/>
              </w:rPr>
              <w:t>+</w:t>
            </w:r>
            <w:r w:rsidR="00F0742E">
              <w:rPr>
                <w:rFonts w:cstheme="minorHAnsi"/>
                <w:color w:val="000000" w:themeColor="text1"/>
              </w:rPr>
              <w:t>11.5</w:t>
            </w:r>
            <w:r w:rsidR="0004266D" w:rsidRPr="0004266D">
              <w:rPr>
                <w:rFonts w:cstheme="minorHAnsi"/>
                <w:color w:val="000000" w:themeColor="text1"/>
              </w:rPr>
              <w:t>%</w:t>
            </w:r>
          </w:p>
        </w:tc>
        <w:tc>
          <w:tcPr>
            <w:tcW w:w="927" w:type="dxa"/>
            <w:tcBorders>
              <w:left w:val="single" w:sz="4" w:space="0" w:color="ED7D31"/>
            </w:tcBorders>
          </w:tcPr>
          <w:p w14:paraId="166CB34C" w14:textId="0B3D548F" w:rsidR="0004266D" w:rsidRPr="0004266D" w:rsidRDefault="00D96AEE" w:rsidP="0004266D">
            <w:pPr>
              <w:pStyle w:val="NoSpacing"/>
              <w:jc w:val="right"/>
              <w:rPr>
                <w:rFonts w:cstheme="minorHAnsi"/>
              </w:rPr>
            </w:pPr>
            <w:r>
              <w:rPr>
                <w:rFonts w:cstheme="minorHAnsi"/>
                <w:color w:val="000000" w:themeColor="text1"/>
              </w:rPr>
              <w:t>0.4</w:t>
            </w:r>
            <w:r w:rsidR="0004266D" w:rsidRPr="0004266D">
              <w:rPr>
                <w:rFonts w:cstheme="minorHAnsi"/>
                <w:color w:val="000000" w:themeColor="text1"/>
              </w:rPr>
              <w:t>M</w:t>
            </w:r>
          </w:p>
        </w:tc>
        <w:tc>
          <w:tcPr>
            <w:tcW w:w="890" w:type="dxa"/>
          </w:tcPr>
          <w:p w14:paraId="417DE33D" w14:textId="4CF05B9B" w:rsidR="0004266D" w:rsidRPr="00337F18" w:rsidRDefault="00D96AEE" w:rsidP="00337F18">
            <w:pPr>
              <w:pStyle w:val="NoSpacing"/>
              <w:jc w:val="right"/>
              <w:rPr>
                <w:rFonts w:cstheme="minorHAnsi"/>
              </w:rPr>
            </w:pPr>
            <w:r>
              <w:rPr>
                <w:rFonts w:cstheme="minorHAnsi"/>
              </w:rPr>
              <w:t>2.2</w:t>
            </w:r>
            <w:r w:rsidR="00337F18" w:rsidRPr="00337F18">
              <w:rPr>
                <w:rFonts w:cstheme="minorHAnsi"/>
              </w:rPr>
              <w:t>%</w:t>
            </w:r>
          </w:p>
        </w:tc>
        <w:tc>
          <w:tcPr>
            <w:tcW w:w="1080" w:type="dxa"/>
          </w:tcPr>
          <w:p w14:paraId="632726C6" w14:textId="49E952E0" w:rsidR="0004266D" w:rsidRPr="0004266D" w:rsidRDefault="00910CD7" w:rsidP="0004266D">
            <w:pPr>
              <w:pStyle w:val="NoSpacing"/>
              <w:jc w:val="right"/>
              <w:rPr>
                <w:rFonts w:cstheme="minorHAnsi"/>
              </w:rPr>
            </w:pPr>
            <w:r>
              <w:rPr>
                <w:rFonts w:cstheme="minorHAnsi"/>
                <w:color w:val="000000" w:themeColor="text1"/>
              </w:rPr>
              <w:t>+</w:t>
            </w:r>
            <w:r w:rsidR="00D96AEE">
              <w:rPr>
                <w:rFonts w:cstheme="minorHAnsi"/>
                <w:color w:val="000000" w:themeColor="text1"/>
              </w:rPr>
              <w:t>5.0</w:t>
            </w:r>
            <w:r w:rsidR="0004266D" w:rsidRPr="0004266D">
              <w:rPr>
                <w:rFonts w:cstheme="minorHAnsi"/>
                <w:color w:val="000000" w:themeColor="text1"/>
              </w:rPr>
              <w:t>%</w:t>
            </w:r>
          </w:p>
        </w:tc>
        <w:tc>
          <w:tcPr>
            <w:tcW w:w="990" w:type="dxa"/>
          </w:tcPr>
          <w:p w14:paraId="700774A9" w14:textId="445862F1" w:rsidR="0004266D" w:rsidRPr="0004266D" w:rsidRDefault="00D96AEE" w:rsidP="0004266D">
            <w:pPr>
              <w:pStyle w:val="NoSpacing"/>
              <w:jc w:val="right"/>
              <w:rPr>
                <w:rFonts w:cstheme="minorHAnsi"/>
              </w:rPr>
            </w:pPr>
            <w:r>
              <w:rPr>
                <w:rFonts w:cstheme="minorHAnsi"/>
                <w:color w:val="000000" w:themeColor="text1"/>
              </w:rPr>
              <w:t>-2.4</w:t>
            </w:r>
            <w:r w:rsidR="0004266D" w:rsidRPr="0004266D">
              <w:rPr>
                <w:rFonts w:cstheme="minorHAnsi"/>
                <w:color w:val="000000" w:themeColor="text1"/>
              </w:rPr>
              <w:t>%</w:t>
            </w:r>
          </w:p>
        </w:tc>
      </w:tr>
    </w:tbl>
    <w:bookmarkEnd w:id="0"/>
    <w:p w14:paraId="45617577" w14:textId="7CBA67FA" w:rsidR="00555250" w:rsidRPr="00555250" w:rsidRDefault="00555250" w:rsidP="00782D09">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910CD7">
        <w:rPr>
          <w:color w:val="7F7F7F" w:themeColor="text1" w:themeTint="80"/>
          <w:sz w:val="16"/>
          <w:szCs w:val="16"/>
        </w:rPr>
        <w:t>12/4/2022</w:t>
      </w:r>
    </w:p>
    <w:p w14:paraId="0804BC52" w14:textId="568E8254" w:rsidR="0092088E" w:rsidRDefault="0092088E" w:rsidP="00472B02">
      <w:pPr>
        <w:pStyle w:val="NoSpacing"/>
      </w:pPr>
    </w:p>
    <w:p w14:paraId="59E70896" w14:textId="52CB107E" w:rsidR="004C2808" w:rsidRPr="004462C1" w:rsidRDefault="004C2808" w:rsidP="004462C1">
      <w:pPr>
        <w:pStyle w:val="Heading2"/>
        <w:rPr>
          <w:b/>
          <w:bCs/>
          <w:color w:val="ED7D31" w:themeColor="accent2"/>
        </w:rPr>
      </w:pPr>
      <w:r w:rsidRPr="004462C1">
        <w:rPr>
          <w:b/>
          <w:bCs/>
          <w:color w:val="ED7D31" w:themeColor="accent2"/>
        </w:rPr>
        <w:t>Additional observations:</w:t>
      </w:r>
    </w:p>
    <w:p w14:paraId="22421914" w14:textId="79EEAA2E" w:rsidR="00C9550B" w:rsidRDefault="00C9550B" w:rsidP="00174F0E">
      <w:pPr>
        <w:pStyle w:val="NoSpacing"/>
        <w:numPr>
          <w:ilvl w:val="0"/>
          <w:numId w:val="2"/>
        </w:numPr>
      </w:pPr>
      <w:r w:rsidRPr="00C9550B">
        <w:rPr>
          <w:u w:val="single"/>
        </w:rPr>
        <w:t>Package size</w:t>
      </w:r>
      <w:r w:rsidRPr="003045B7">
        <w:t>:</w:t>
      </w:r>
      <w:r>
        <w:t xml:space="preserve"> Eight-ounce packages are, by far, the biggest seller and </w:t>
      </w:r>
      <w:r w:rsidR="00030ABF">
        <w:t>is outperforming 16 ounces in growth</w:t>
      </w:r>
      <w:r>
        <w:t>.</w:t>
      </w:r>
    </w:p>
    <w:p w14:paraId="0C66834A" w14:textId="096BB6CC" w:rsidR="00EB30C7" w:rsidRDefault="004462C1" w:rsidP="00174F0E">
      <w:pPr>
        <w:pStyle w:val="NoSpacing"/>
        <w:numPr>
          <w:ilvl w:val="0"/>
          <w:numId w:val="2"/>
        </w:numPr>
      </w:pPr>
      <w:r w:rsidRPr="00C9550B">
        <w:rPr>
          <w:u w:val="single"/>
        </w:rPr>
        <w:t>Organic vs</w:t>
      </w:r>
      <w:r w:rsidR="005B6968" w:rsidRPr="00C9550B">
        <w:rPr>
          <w:u w:val="single"/>
        </w:rPr>
        <w:t>.</w:t>
      </w:r>
      <w:r w:rsidRPr="00C9550B">
        <w:rPr>
          <w:u w:val="single"/>
        </w:rPr>
        <w:t xml:space="preserve"> conventional</w:t>
      </w:r>
      <w:r w:rsidRPr="004462C1">
        <w:t>:</w:t>
      </w:r>
      <w:r>
        <w:t xml:space="preserve"> Organic </w:t>
      </w:r>
      <w:r w:rsidR="005B6968">
        <w:t xml:space="preserve">mushrooms </w:t>
      </w:r>
      <w:r>
        <w:t xml:space="preserve">made up </w:t>
      </w:r>
      <w:r w:rsidR="00D96AEE">
        <w:t>11.6</w:t>
      </w:r>
      <w:r>
        <w:t xml:space="preserve">% of </w:t>
      </w:r>
      <w:r w:rsidR="00BE7EF2">
        <w:t xml:space="preserve">pounds </w:t>
      </w:r>
      <w:r w:rsidR="00C9550B">
        <w:t>but far outperformed conventional mushrooms in performance</w:t>
      </w:r>
      <w:r w:rsidR="005B6968">
        <w:t xml:space="preserve"> in dollars, units and volume. </w:t>
      </w:r>
    </w:p>
    <w:p w14:paraId="3D702F4A" w14:textId="73DD2F5A" w:rsidR="003045B7" w:rsidRDefault="004462C1" w:rsidP="00C81CBF">
      <w:pPr>
        <w:pStyle w:val="NoSpacing"/>
        <w:numPr>
          <w:ilvl w:val="0"/>
          <w:numId w:val="2"/>
        </w:numPr>
      </w:pPr>
      <w:r w:rsidRPr="00EB30C7">
        <w:rPr>
          <w:u w:val="single"/>
        </w:rPr>
        <w:t>Cut/prepared versus whole mushrooms</w:t>
      </w:r>
      <w:r>
        <w:t xml:space="preserve">: </w:t>
      </w:r>
      <w:r w:rsidR="0090410F">
        <w:t>Cut</w:t>
      </w:r>
      <w:r w:rsidR="00BE7EF2">
        <w:t xml:space="preserve"> or prepared mushrooms made up </w:t>
      </w:r>
      <w:r w:rsidR="00D96AEE">
        <w:t>46.2</w:t>
      </w:r>
      <w:r w:rsidR="0090410F">
        <w:t xml:space="preserve">% of </w:t>
      </w:r>
      <w:r w:rsidR="00C9550B">
        <w:t xml:space="preserve">pound </w:t>
      </w:r>
      <w:r w:rsidR="0090410F">
        <w:t xml:space="preserve">sales in </w:t>
      </w:r>
      <w:r w:rsidR="00BF5D9C">
        <w:t>the four</w:t>
      </w:r>
      <w:r w:rsidR="00461D8C">
        <w:t>-week period</w:t>
      </w:r>
      <w:r w:rsidR="00A51F5B">
        <w:t>. Mushrooms without preparation had the better performance</w:t>
      </w:r>
      <w:r w:rsidR="00347E3A">
        <w:t>.</w:t>
      </w:r>
    </w:p>
    <w:p w14:paraId="5DBFDF80" w14:textId="5D33EBCA" w:rsidR="00B34EF7" w:rsidRPr="00B34EF7" w:rsidRDefault="00782D09" w:rsidP="00C9550B">
      <w:pPr>
        <w:pStyle w:val="NoSpacing"/>
      </w:pPr>
      <w:r w:rsidRPr="00EB30C7">
        <w:rPr>
          <w:color w:val="7F7F7F" w:themeColor="text1" w:themeTint="80"/>
          <w:sz w:val="16"/>
          <w:szCs w:val="16"/>
        </w:rPr>
        <w:t xml:space="preserve">Source: IRI, Integrated Fresh, MULO, </w:t>
      </w:r>
      <w:r w:rsidR="004B7951" w:rsidRPr="00EB30C7">
        <w:rPr>
          <w:color w:val="7F7F7F" w:themeColor="text1" w:themeTint="80"/>
          <w:sz w:val="16"/>
          <w:szCs w:val="16"/>
        </w:rPr>
        <w:t>4</w:t>
      </w:r>
      <w:r w:rsidRPr="00EB30C7">
        <w:rPr>
          <w:color w:val="7F7F7F" w:themeColor="text1" w:themeTint="80"/>
          <w:sz w:val="16"/>
          <w:szCs w:val="16"/>
        </w:rPr>
        <w:t xml:space="preserve"> weeks ending </w:t>
      </w:r>
      <w:r w:rsidR="00910CD7">
        <w:rPr>
          <w:color w:val="7F7F7F" w:themeColor="text1" w:themeTint="80"/>
          <w:sz w:val="16"/>
          <w:szCs w:val="16"/>
        </w:rPr>
        <w:t>12/4/2022</w:t>
      </w:r>
      <w:r w:rsidR="00B34EF7">
        <w:t xml:space="preserve"> </w:t>
      </w:r>
    </w:p>
    <w:sectPr w:rsidR="00B34EF7" w:rsidRPr="00B34EF7" w:rsidSect="005049A9">
      <w:pgSz w:w="12240" w:h="15840"/>
      <w:pgMar w:top="720" w:right="108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97271D"/>
    <w:multiLevelType w:val="hybridMultilevel"/>
    <w:tmpl w:val="681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309E8"/>
    <w:multiLevelType w:val="hybridMultilevel"/>
    <w:tmpl w:val="0F663C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39032F"/>
    <w:multiLevelType w:val="hybridMultilevel"/>
    <w:tmpl w:val="2C6C9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BC79E5"/>
    <w:multiLevelType w:val="hybridMultilevel"/>
    <w:tmpl w:val="36A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8804876">
    <w:abstractNumId w:val="2"/>
  </w:num>
  <w:num w:numId="2" w16cid:durableId="185796915">
    <w:abstractNumId w:val="3"/>
  </w:num>
  <w:num w:numId="3" w16cid:durableId="272397250">
    <w:abstractNumId w:val="5"/>
  </w:num>
  <w:num w:numId="4" w16cid:durableId="1392541544">
    <w:abstractNumId w:val="0"/>
  </w:num>
  <w:num w:numId="5" w16cid:durableId="421612097">
    <w:abstractNumId w:val="6"/>
  </w:num>
  <w:num w:numId="6" w16cid:durableId="1646397682">
    <w:abstractNumId w:val="4"/>
  </w:num>
  <w:num w:numId="7" w16cid:durableId="203267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F7"/>
    <w:rsid w:val="00030ABF"/>
    <w:rsid w:val="0004266D"/>
    <w:rsid w:val="0005390A"/>
    <w:rsid w:val="0007328F"/>
    <w:rsid w:val="000809C3"/>
    <w:rsid w:val="00085508"/>
    <w:rsid w:val="00085F10"/>
    <w:rsid w:val="000A4146"/>
    <w:rsid w:val="000C1DF9"/>
    <w:rsid w:val="000C29FA"/>
    <w:rsid w:val="000C3CC4"/>
    <w:rsid w:val="000D7A79"/>
    <w:rsid w:val="000E2A1D"/>
    <w:rsid w:val="000E61FF"/>
    <w:rsid w:val="001119BD"/>
    <w:rsid w:val="00113A33"/>
    <w:rsid w:val="00124C8B"/>
    <w:rsid w:val="00124CB7"/>
    <w:rsid w:val="00133971"/>
    <w:rsid w:val="00145E27"/>
    <w:rsid w:val="00164656"/>
    <w:rsid w:val="00170260"/>
    <w:rsid w:val="001A4D44"/>
    <w:rsid w:val="001A601E"/>
    <w:rsid w:val="001B762B"/>
    <w:rsid w:val="001D2675"/>
    <w:rsid w:val="002225C6"/>
    <w:rsid w:val="00224A21"/>
    <w:rsid w:val="00240137"/>
    <w:rsid w:val="002437CE"/>
    <w:rsid w:val="00276C09"/>
    <w:rsid w:val="00281498"/>
    <w:rsid w:val="00283DB2"/>
    <w:rsid w:val="00291F75"/>
    <w:rsid w:val="002B7E48"/>
    <w:rsid w:val="002F23A1"/>
    <w:rsid w:val="003045B7"/>
    <w:rsid w:val="00312734"/>
    <w:rsid w:val="00322039"/>
    <w:rsid w:val="00337F18"/>
    <w:rsid w:val="00347E3A"/>
    <w:rsid w:val="00362BB1"/>
    <w:rsid w:val="00396448"/>
    <w:rsid w:val="003C1DD2"/>
    <w:rsid w:val="003C72DD"/>
    <w:rsid w:val="003D3BDA"/>
    <w:rsid w:val="003D6A0F"/>
    <w:rsid w:val="003E61D0"/>
    <w:rsid w:val="003F77CF"/>
    <w:rsid w:val="00403666"/>
    <w:rsid w:val="00417945"/>
    <w:rsid w:val="004462C1"/>
    <w:rsid w:val="00451263"/>
    <w:rsid w:val="00455F77"/>
    <w:rsid w:val="0045625B"/>
    <w:rsid w:val="00461D8C"/>
    <w:rsid w:val="00467FB5"/>
    <w:rsid w:val="00472B02"/>
    <w:rsid w:val="0047570E"/>
    <w:rsid w:val="00476C12"/>
    <w:rsid w:val="00483711"/>
    <w:rsid w:val="00485429"/>
    <w:rsid w:val="004A3A95"/>
    <w:rsid w:val="004A50D2"/>
    <w:rsid w:val="004B6371"/>
    <w:rsid w:val="004B7951"/>
    <w:rsid w:val="004C2808"/>
    <w:rsid w:val="004E6889"/>
    <w:rsid w:val="00504377"/>
    <w:rsid w:val="005049A9"/>
    <w:rsid w:val="00525F06"/>
    <w:rsid w:val="00527BE9"/>
    <w:rsid w:val="0054182D"/>
    <w:rsid w:val="00541AFF"/>
    <w:rsid w:val="00552C5D"/>
    <w:rsid w:val="005547EE"/>
    <w:rsid w:val="00555250"/>
    <w:rsid w:val="005571F3"/>
    <w:rsid w:val="005A3316"/>
    <w:rsid w:val="005A54F2"/>
    <w:rsid w:val="005B6968"/>
    <w:rsid w:val="005C6AEE"/>
    <w:rsid w:val="005E1A66"/>
    <w:rsid w:val="005E5127"/>
    <w:rsid w:val="005F1173"/>
    <w:rsid w:val="006035CB"/>
    <w:rsid w:val="00615709"/>
    <w:rsid w:val="00621E2A"/>
    <w:rsid w:val="00632993"/>
    <w:rsid w:val="00645A58"/>
    <w:rsid w:val="006617FB"/>
    <w:rsid w:val="00666D40"/>
    <w:rsid w:val="00677889"/>
    <w:rsid w:val="006A7A6E"/>
    <w:rsid w:val="006F1F55"/>
    <w:rsid w:val="00706FA9"/>
    <w:rsid w:val="0071051A"/>
    <w:rsid w:val="00730897"/>
    <w:rsid w:val="00731BCD"/>
    <w:rsid w:val="00734289"/>
    <w:rsid w:val="00782D09"/>
    <w:rsid w:val="007A0B40"/>
    <w:rsid w:val="007D30DA"/>
    <w:rsid w:val="007D33D8"/>
    <w:rsid w:val="007D3D1C"/>
    <w:rsid w:val="007F098A"/>
    <w:rsid w:val="007F1F55"/>
    <w:rsid w:val="00826014"/>
    <w:rsid w:val="00832F0A"/>
    <w:rsid w:val="00837283"/>
    <w:rsid w:val="00851AC9"/>
    <w:rsid w:val="0086198D"/>
    <w:rsid w:val="0086536E"/>
    <w:rsid w:val="00873884"/>
    <w:rsid w:val="008A084A"/>
    <w:rsid w:val="008A1DBB"/>
    <w:rsid w:val="008A56E2"/>
    <w:rsid w:val="008B128D"/>
    <w:rsid w:val="008B633D"/>
    <w:rsid w:val="008B7FFD"/>
    <w:rsid w:val="009040DB"/>
    <w:rsid w:val="0090410F"/>
    <w:rsid w:val="00910CD7"/>
    <w:rsid w:val="0092088E"/>
    <w:rsid w:val="00927EAC"/>
    <w:rsid w:val="0094219B"/>
    <w:rsid w:val="00957F25"/>
    <w:rsid w:val="00972570"/>
    <w:rsid w:val="00977F7F"/>
    <w:rsid w:val="009B0330"/>
    <w:rsid w:val="009B7AC3"/>
    <w:rsid w:val="009D5574"/>
    <w:rsid w:val="00A00697"/>
    <w:rsid w:val="00A13601"/>
    <w:rsid w:val="00A14586"/>
    <w:rsid w:val="00A5084B"/>
    <w:rsid w:val="00A51F5B"/>
    <w:rsid w:val="00A52EB4"/>
    <w:rsid w:val="00A53BAA"/>
    <w:rsid w:val="00A657C4"/>
    <w:rsid w:val="00A668C3"/>
    <w:rsid w:val="00A72B72"/>
    <w:rsid w:val="00A94A88"/>
    <w:rsid w:val="00A96E20"/>
    <w:rsid w:val="00AA721E"/>
    <w:rsid w:val="00AC2C09"/>
    <w:rsid w:val="00AD30B8"/>
    <w:rsid w:val="00AD7044"/>
    <w:rsid w:val="00AE0F54"/>
    <w:rsid w:val="00AF14BD"/>
    <w:rsid w:val="00AF55E3"/>
    <w:rsid w:val="00B03343"/>
    <w:rsid w:val="00B13706"/>
    <w:rsid w:val="00B25DFD"/>
    <w:rsid w:val="00B34EF7"/>
    <w:rsid w:val="00B40C43"/>
    <w:rsid w:val="00B562D5"/>
    <w:rsid w:val="00B979CF"/>
    <w:rsid w:val="00BB197D"/>
    <w:rsid w:val="00BC34B2"/>
    <w:rsid w:val="00BE7EF2"/>
    <w:rsid w:val="00BF5D9C"/>
    <w:rsid w:val="00BF713B"/>
    <w:rsid w:val="00C329D7"/>
    <w:rsid w:val="00C71FDD"/>
    <w:rsid w:val="00C81CBF"/>
    <w:rsid w:val="00C8545B"/>
    <w:rsid w:val="00C9550B"/>
    <w:rsid w:val="00CB0BBD"/>
    <w:rsid w:val="00CB4067"/>
    <w:rsid w:val="00CB6109"/>
    <w:rsid w:val="00CE27CF"/>
    <w:rsid w:val="00D03B05"/>
    <w:rsid w:val="00D1241B"/>
    <w:rsid w:val="00D22E21"/>
    <w:rsid w:val="00D26DE8"/>
    <w:rsid w:val="00D4752E"/>
    <w:rsid w:val="00D55AB1"/>
    <w:rsid w:val="00D66EF8"/>
    <w:rsid w:val="00D81FBA"/>
    <w:rsid w:val="00D8225F"/>
    <w:rsid w:val="00D9097A"/>
    <w:rsid w:val="00D96AEE"/>
    <w:rsid w:val="00D97BC7"/>
    <w:rsid w:val="00DB764D"/>
    <w:rsid w:val="00DD58ED"/>
    <w:rsid w:val="00E20285"/>
    <w:rsid w:val="00E20E22"/>
    <w:rsid w:val="00E34CF4"/>
    <w:rsid w:val="00E4438B"/>
    <w:rsid w:val="00E508BB"/>
    <w:rsid w:val="00E57C49"/>
    <w:rsid w:val="00E629E0"/>
    <w:rsid w:val="00E65269"/>
    <w:rsid w:val="00E65A4C"/>
    <w:rsid w:val="00E758A0"/>
    <w:rsid w:val="00EB30C7"/>
    <w:rsid w:val="00EF1E09"/>
    <w:rsid w:val="00EF25E4"/>
    <w:rsid w:val="00F02776"/>
    <w:rsid w:val="00F0742E"/>
    <w:rsid w:val="00F26DD2"/>
    <w:rsid w:val="00F4460A"/>
    <w:rsid w:val="00F47EA1"/>
    <w:rsid w:val="00F57DFC"/>
    <w:rsid w:val="00F86B08"/>
    <w:rsid w:val="00F96C98"/>
    <w:rsid w:val="00FA1CDF"/>
    <w:rsid w:val="00FB15C0"/>
    <w:rsid w:val="00FC53C7"/>
    <w:rsid w:val="00FF2D4A"/>
    <w:rsid w:val="00FF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6CF"/>
  <w15:chartTrackingRefBased/>
  <w15:docId w15:val="{88E0E6D9-E49F-4D55-878F-F966AA6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7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EF7"/>
    <w:pPr>
      <w:spacing w:after="0" w:line="240" w:lineRule="auto"/>
    </w:pPr>
  </w:style>
  <w:style w:type="paragraph" w:styleId="Title">
    <w:name w:val="Title"/>
    <w:basedOn w:val="Normal"/>
    <w:next w:val="Normal"/>
    <w:link w:val="TitleChar"/>
    <w:uiPriority w:val="10"/>
    <w:qFormat/>
    <w:rsid w:val="00B34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E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124CB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124CB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2Char">
    <w:name w:val="Heading 2 Char"/>
    <w:basedOn w:val="DefaultParagraphFont"/>
    <w:link w:val="Heading2"/>
    <w:uiPriority w:val="9"/>
    <w:rsid w:val="00927EAC"/>
    <w:rPr>
      <w:rFonts w:asciiTheme="majorHAnsi" w:eastAsiaTheme="majorEastAsia" w:hAnsiTheme="majorHAnsi" w:cstheme="majorBidi"/>
      <w:color w:val="2F5496" w:themeColor="accent1" w:themeShade="BF"/>
      <w:sz w:val="26"/>
      <w:szCs w:val="26"/>
    </w:rPr>
  </w:style>
  <w:style w:type="table" w:styleId="LightShading-Accent5">
    <w:name w:val="Light Shading Accent 5"/>
    <w:basedOn w:val="TableNormal"/>
    <w:uiPriority w:val="60"/>
    <w:rsid w:val="00D9097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NoSpacingChar">
    <w:name w:val="No Spacing Char"/>
    <w:basedOn w:val="DefaultParagraphFont"/>
    <w:link w:val="NoSpacing"/>
    <w:uiPriority w:val="1"/>
    <w:rsid w:val="00D9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C6D87633A914982032CB9EEE36AB5" ma:contentTypeVersion="7" ma:contentTypeDescription="Create a new document." ma:contentTypeScope="" ma:versionID="95650b1e668ecf14a7b37f6fab8a6ef2">
  <xsd:schema xmlns:xsd="http://www.w3.org/2001/XMLSchema" xmlns:xs="http://www.w3.org/2001/XMLSchema" xmlns:p="http://schemas.microsoft.com/office/2006/metadata/properties" xmlns:ns3="8dc0963e-725f-4df9-9ee5-3409d10e749b" xmlns:ns4="06c98763-7e7f-47de-a217-4e462391dcfe" targetNamespace="http://schemas.microsoft.com/office/2006/metadata/properties" ma:root="true" ma:fieldsID="fa4d687149612bc3b1b818fcaf75cf7f" ns3:_="" ns4:_="">
    <xsd:import namespace="8dc0963e-725f-4df9-9ee5-3409d10e749b"/>
    <xsd:import namespace="06c98763-7e7f-47de-a217-4e462391dc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0963e-725f-4df9-9ee5-3409d10e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8763-7e7f-47de-a217-4e462391d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4B90F-70E5-47E2-B86D-1B566B26406D}">
  <ds:schemaRefs>
    <ds:schemaRef ds:uri="http://schemas.microsoft.com/sharepoint/v3/contenttype/forms"/>
  </ds:schemaRefs>
</ds:datastoreItem>
</file>

<file path=customXml/itemProps2.xml><?xml version="1.0" encoding="utf-8"?>
<ds:datastoreItem xmlns:ds="http://schemas.openxmlformats.org/officeDocument/2006/customXml" ds:itemID="{B5CFD535-1FFA-40C2-AD3A-BB227B2D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0963e-725f-4df9-9ee5-3409d10e749b"/>
    <ds:schemaRef ds:uri="06c98763-7e7f-47de-a217-4e462391d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464D6-CB41-44CB-870E-B5306D665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944</Words>
  <Characters>5385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Roerink</dc:creator>
  <cp:keywords/>
  <dc:description/>
  <cp:lastModifiedBy>Anne-Marie Roerink</cp:lastModifiedBy>
  <cp:revision>8</cp:revision>
  <dcterms:created xsi:type="dcterms:W3CDTF">2022-12-14T10:17:00Z</dcterms:created>
  <dcterms:modified xsi:type="dcterms:W3CDTF">2022-12-20T19:13:00Z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0x01010047CC6D87633A914982032CB9EEE36AB5</vt:lpwstr>
  </property>
</Properties>
</file>