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3E5FC2F" wp14:editId="1E292A7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34B014B8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 xml:space="preserve">; </w:t>
      </w:r>
      <w:r w:rsidR="00D22E21">
        <w:rPr>
          <w:sz w:val="44"/>
          <w:szCs w:val="44"/>
        </w:rPr>
        <w:t xml:space="preserve">YTD and </w:t>
      </w:r>
      <w:r w:rsidR="000C3CC4" w:rsidRPr="000C3CC4">
        <w:rPr>
          <w:sz w:val="44"/>
          <w:szCs w:val="44"/>
        </w:rPr>
        <w:t>4 w</w:t>
      </w:r>
      <w:r w:rsidR="00D22E21">
        <w:rPr>
          <w:sz w:val="44"/>
          <w:szCs w:val="44"/>
        </w:rPr>
        <w:t>.e.</w:t>
      </w:r>
      <w:r w:rsidR="000C3CC4" w:rsidRPr="000C3CC4">
        <w:rPr>
          <w:sz w:val="44"/>
          <w:szCs w:val="44"/>
        </w:rPr>
        <w:t xml:space="preserve"> </w:t>
      </w:r>
      <w:r w:rsidR="00D1241B">
        <w:rPr>
          <w:sz w:val="44"/>
          <w:szCs w:val="44"/>
        </w:rPr>
        <w:t>11.06</w:t>
      </w:r>
      <w:r w:rsidR="000C3CC4" w:rsidRPr="000C3CC4">
        <w:rPr>
          <w:sz w:val="44"/>
          <w:szCs w:val="44"/>
        </w:rPr>
        <w:t>.2022</w:t>
      </w:r>
    </w:p>
    <w:p w14:paraId="022A5B42" w14:textId="605814EC" w:rsidR="00B34EF7" w:rsidRDefault="00B34EF7" w:rsidP="00B34EF7">
      <w:pPr>
        <w:pStyle w:val="NoSpacing"/>
      </w:pPr>
    </w:p>
    <w:p w14:paraId="5B083E85" w14:textId="64A361CA" w:rsidR="00F86B08" w:rsidRDefault="00F86B08" w:rsidP="00927EAC">
      <w:pPr>
        <w:pStyle w:val="Heading2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The Marketplace</w:t>
      </w:r>
    </w:p>
    <w:p w14:paraId="6DD208AF" w14:textId="28DFD1CC" w:rsidR="007F098A" w:rsidRDefault="00957F25" w:rsidP="0005390A">
      <w:pPr>
        <w:pStyle w:val="NoSpacing"/>
      </w:pPr>
      <w:r>
        <w:t xml:space="preserve">Consumers estimate that they prepare more than 78% of meals at home, with elevated shares for lunch when compared to pre-pandemic. </w:t>
      </w:r>
    </w:p>
    <w:p w14:paraId="5868C3C0" w14:textId="26CD1943" w:rsidR="00957F25" w:rsidRDefault="00AD7044" w:rsidP="00204BCD">
      <w:pPr>
        <w:pStyle w:val="NoSpacing"/>
        <w:numPr>
          <w:ilvl w:val="0"/>
          <w:numId w:val="5"/>
        </w:numPr>
      </w:pPr>
      <w:r>
        <w:t xml:space="preserve">Leftovers, sandwiches and quick snacks rule the working-from-home lunch occasion, whereas restaurants rarely make it in the lineup. </w:t>
      </w:r>
    </w:p>
    <w:p w14:paraId="36BC935A" w14:textId="2DDB0B89" w:rsidR="00113A33" w:rsidRDefault="00AD7044" w:rsidP="00204BCD">
      <w:pPr>
        <w:pStyle w:val="NoSpacing"/>
        <w:numPr>
          <w:ilvl w:val="0"/>
          <w:numId w:val="5"/>
        </w:numPr>
      </w:pPr>
      <w:r>
        <w:t xml:space="preserve">Concern about inflation remains high and 80% </w:t>
      </w:r>
      <w:r w:rsidR="00164656">
        <w:t xml:space="preserve">of Americans are </w:t>
      </w:r>
      <w:r>
        <w:t>shopping for groceries differently, including where and what they purchase. Sales specials and private brands are especially popular.</w:t>
      </w:r>
    </w:p>
    <w:p w14:paraId="60D04225" w14:textId="77777777" w:rsidR="00AD7044" w:rsidRDefault="00D4752E" w:rsidP="00D4752E">
      <w:pPr>
        <w:pStyle w:val="NoSpacing"/>
        <w:numPr>
          <w:ilvl w:val="0"/>
          <w:numId w:val="5"/>
        </w:numPr>
        <w:rPr>
          <w:rFonts w:cstheme="minorHAnsi"/>
        </w:rPr>
      </w:pPr>
      <w:r w:rsidRPr="00EF25E4">
        <w:rPr>
          <w:rFonts w:cstheme="minorHAnsi"/>
        </w:rPr>
        <w:t xml:space="preserve">Despite the high gas prices, </w:t>
      </w:r>
      <w:r w:rsidR="00AD7044">
        <w:rPr>
          <w:rFonts w:cstheme="minorHAnsi"/>
        </w:rPr>
        <w:t>18</w:t>
      </w:r>
      <w:r w:rsidRPr="00EF25E4">
        <w:rPr>
          <w:rFonts w:cstheme="minorHAnsi"/>
        </w:rPr>
        <w:t xml:space="preserve">% </w:t>
      </w:r>
      <w:r w:rsidR="00AD7044">
        <w:rPr>
          <w:rFonts w:cstheme="minorHAnsi"/>
        </w:rPr>
        <w:t xml:space="preserve">cherry </w:t>
      </w:r>
      <w:r w:rsidRPr="00EF25E4">
        <w:rPr>
          <w:rFonts w:cstheme="minorHAnsi"/>
        </w:rPr>
        <w:t>pick specials across retailers</w:t>
      </w:r>
      <w:r w:rsidR="00AD7044">
        <w:rPr>
          <w:rFonts w:cstheme="minorHAnsi"/>
        </w:rPr>
        <w:t xml:space="preserve">, prompting a 2% increase in trips and a shift in channel shares. </w:t>
      </w:r>
    </w:p>
    <w:p w14:paraId="22249F24" w14:textId="68C7C88F" w:rsidR="00D4752E" w:rsidRDefault="00AD7044" w:rsidP="00D4752E">
      <w:pPr>
        <w:pStyle w:val="NoSpacing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In total fresh, traditional grocery continues to have the largest share, at 33.2% of dollars in October 2022. However, this represents a 2.7 percentage points loss since 2019. </w:t>
      </w:r>
      <w:r w:rsidR="00030ABF">
        <w:rPr>
          <w:rFonts w:cstheme="minorHAnsi"/>
        </w:rPr>
        <w:t>Specialty/organic stores also lost share.</w:t>
      </w:r>
      <w:r>
        <w:rPr>
          <w:rFonts w:cstheme="minorHAnsi"/>
        </w:rPr>
        <w:t xml:space="preserve"> The main beneficiaries of channel switching are mass/supercenter, club and online. </w:t>
      </w:r>
    </w:p>
    <w:p w14:paraId="3B05191C" w14:textId="23E60187" w:rsidR="00113A33" w:rsidRDefault="00EF1E09" w:rsidP="00067A98">
      <w:pPr>
        <w:pStyle w:val="NoSpacing"/>
        <w:numPr>
          <w:ilvl w:val="0"/>
          <w:numId w:val="5"/>
        </w:numPr>
      </w:pPr>
      <w:r>
        <w:t xml:space="preserve">Other top measures focus on cutting back on non-essentials and sticking to the budget — pressuring units and volume. </w:t>
      </w:r>
      <w:r w:rsidR="005A3316">
        <w:t xml:space="preserve">Total food and beverage unit sales trailed </w:t>
      </w:r>
      <w:r w:rsidR="00AD7044">
        <w:t xml:space="preserve">last year by 3.8% </w:t>
      </w:r>
      <w:r w:rsidR="00164656">
        <w:t>in</w:t>
      </w:r>
      <w:r w:rsidR="00AD7044">
        <w:t xml:space="preserve"> October 2022</w:t>
      </w:r>
      <w:r w:rsidR="005A3316">
        <w:t xml:space="preserve">. </w:t>
      </w:r>
    </w:p>
    <w:p w14:paraId="31F4ABB6" w14:textId="14D7722E" w:rsidR="00F86B08" w:rsidRPr="00615709" w:rsidRDefault="00615709" w:rsidP="00261BD4">
      <w:pPr>
        <w:pStyle w:val="NoSpacing"/>
        <w:numPr>
          <w:ilvl w:val="0"/>
          <w:numId w:val="3"/>
        </w:numPr>
        <w:rPr>
          <w:rFonts w:cstheme="minorHAnsi"/>
        </w:rPr>
      </w:pPr>
      <w:r w:rsidRPr="00615709">
        <w:rPr>
          <w:rFonts w:cstheme="minorHAnsi"/>
        </w:rPr>
        <w:t xml:space="preserve">In-person trips remain prevalent, at 85%, with the remainder equally divided between click-and-collect and delivery. </w:t>
      </w:r>
    </w:p>
    <w:p w14:paraId="6AEB6A9B" w14:textId="06D1E045" w:rsidR="00F86B08" w:rsidRDefault="00F86B08" w:rsidP="00F86B08">
      <w:pPr>
        <w:pStyle w:val="NoSpacing"/>
      </w:pPr>
    </w:p>
    <w:p w14:paraId="737234D5" w14:textId="7E09DA4A" w:rsidR="00927EAC" w:rsidRPr="00927EAC" w:rsidRDefault="00927EAC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Dollars, Units and Volume Performance</w:t>
      </w:r>
    </w:p>
    <w:p w14:paraId="39C5E7B3" w14:textId="0995CA96" w:rsidR="00826014" w:rsidRDefault="005A3316" w:rsidP="00472B02">
      <w:pPr>
        <w:pStyle w:val="NoSpacing"/>
      </w:pPr>
      <w:r>
        <w:t xml:space="preserve">The </w:t>
      </w:r>
      <w:r w:rsidR="00826014">
        <w:t xml:space="preserve">persistent </w:t>
      </w:r>
      <w:r>
        <w:t>high</w:t>
      </w:r>
      <w:r w:rsidR="00826014">
        <w:t xml:space="preserve"> level of</w:t>
      </w:r>
      <w:r>
        <w:t xml:space="preserve"> inflation is </w:t>
      </w:r>
      <w:r w:rsidR="00826014">
        <w:t>continuing the now familiar sales patterns for most departments around the store, including fresh produce:</w:t>
      </w:r>
      <w:r w:rsidR="00826014">
        <w:t xml:space="preserve"> dollars up</w:t>
      </w:r>
      <w:r w:rsidR="00826014">
        <w:t xml:space="preserve"> year-on-year</w:t>
      </w:r>
      <w:r w:rsidR="00826014">
        <w:t xml:space="preserve">, </w:t>
      </w:r>
      <w:r w:rsidR="00826014">
        <w:t xml:space="preserve">but </w:t>
      </w:r>
      <w:r w:rsidR="00826014">
        <w:t xml:space="preserve">units and volume down. However, </w:t>
      </w:r>
      <w:r w:rsidR="00826014">
        <w:t xml:space="preserve">the </w:t>
      </w:r>
      <w:r w:rsidR="00826014">
        <w:t xml:space="preserve">dollar gains </w:t>
      </w:r>
      <w:r w:rsidR="00826014">
        <w:t xml:space="preserve">for fresh produce </w:t>
      </w:r>
      <w:r w:rsidR="00826014">
        <w:t>were below that of total food and beverages as inflation is slowing down rapidly</w:t>
      </w:r>
      <w:r w:rsidR="00030ABF">
        <w:t xml:space="preserve"> on the fruit side</w:t>
      </w:r>
      <w:r w:rsidR="00826014">
        <w:t>. Additionally, fresh fruit and vegetables lost share to frozen and canned as consumers emphasized price and shelf-life</w:t>
      </w:r>
      <w:r w:rsidR="00030ABF">
        <w:t xml:space="preserve">. Additionally, shoppers </w:t>
      </w:r>
      <w:r w:rsidR="00826014">
        <w:t>continued to shift to smaller pack sizes as evidenced by the difference in volume versus unit declines</w:t>
      </w:r>
      <w:r w:rsidR="00826014">
        <w:t xml:space="preserve">. </w:t>
      </w:r>
    </w:p>
    <w:p w14:paraId="38CFFFCE" w14:textId="77777777" w:rsidR="00826014" w:rsidRDefault="00826014" w:rsidP="00472B02">
      <w:pPr>
        <w:pStyle w:val="NoSpacing"/>
      </w:pPr>
    </w:p>
    <w:p w14:paraId="47797D03" w14:textId="09D7F690" w:rsidR="00472B02" w:rsidRDefault="007D30DA" w:rsidP="00472B02">
      <w:pPr>
        <w:pStyle w:val="NoSpacing"/>
      </w:pPr>
      <w:r>
        <w:t>For the four weeks</w:t>
      </w:r>
      <w:r w:rsidR="00F4460A">
        <w:t xml:space="preserve"> ending </w:t>
      </w:r>
      <w:r w:rsidR="00D1241B">
        <w:t>November 6</w:t>
      </w:r>
      <w:r w:rsidR="00D1241B" w:rsidRPr="00D1241B">
        <w:rPr>
          <w:vertAlign w:val="superscript"/>
        </w:rPr>
        <w:t>th</w:t>
      </w:r>
      <w:r w:rsidR="00F4460A">
        <w:t>, 2022</w:t>
      </w:r>
      <w:r>
        <w:t xml:space="preserve">, </w:t>
      </w:r>
      <w:r w:rsidR="00124C8B">
        <w:t xml:space="preserve">fresh mushroom </w:t>
      </w:r>
      <w:r>
        <w:t>d</w:t>
      </w:r>
      <w:r w:rsidR="0092088E">
        <w:t xml:space="preserve">ollars </w:t>
      </w:r>
      <w:r>
        <w:t xml:space="preserve">decreased </w:t>
      </w:r>
      <w:r w:rsidR="00451263">
        <w:t>2.8</w:t>
      </w:r>
      <w:r w:rsidR="0092088E">
        <w:t>% year-over</w:t>
      </w:r>
      <w:r w:rsidR="00826014">
        <w:t>-</w:t>
      </w:r>
      <w:r w:rsidR="0092088E">
        <w:t>year</w:t>
      </w:r>
      <w:r w:rsidR="00D26DE8">
        <w:t xml:space="preserve"> </w:t>
      </w:r>
      <w:r w:rsidR="0092088E">
        <w:t xml:space="preserve">and volume declined </w:t>
      </w:r>
      <w:r>
        <w:t xml:space="preserve">by </w:t>
      </w:r>
      <w:r w:rsidR="00451263">
        <w:t>10.2</w:t>
      </w:r>
      <w:r w:rsidR="0092088E">
        <w:t xml:space="preserve">%. </w:t>
      </w:r>
      <w:r w:rsidR="00EF1E09">
        <w:t>Yea</w:t>
      </w:r>
      <w:r w:rsidR="00451263">
        <w:t>r-to-date, dollars were down 4.0</w:t>
      </w:r>
      <w:r w:rsidR="00EF1E09">
        <w:t>% versus year ago and pounds 10.</w:t>
      </w:r>
      <w:r w:rsidR="00451263">
        <w:t>4</w:t>
      </w:r>
      <w:r w:rsidR="00EF1E09">
        <w:t xml:space="preserve">%. </w:t>
      </w:r>
      <w:r w:rsidR="00826014">
        <w:t>Dollars remained ahead of 2019 in both the shorter- and longer-term views, but pounds are now 1.8% behind those of 2019 in the year-to-date views</w:t>
      </w:r>
      <w:r w:rsidR="00030ABF">
        <w:t xml:space="preserve"> and nearly 6% in the quad-week view versus pre-pandemic</w:t>
      </w:r>
      <w:r w:rsidR="00826014">
        <w:t xml:space="preserve">. </w:t>
      </w:r>
    </w:p>
    <w:p w14:paraId="40FAA348" w14:textId="6A56CCC2" w:rsidR="00AD7044" w:rsidRDefault="00AD7044" w:rsidP="00472B02">
      <w:pPr>
        <w:pStyle w:val="NoSpacing"/>
      </w:pPr>
    </w:p>
    <w:tbl>
      <w:tblPr>
        <w:tblStyle w:val="ListTable3-Accent2"/>
        <w:tblW w:w="10054" w:type="dxa"/>
        <w:tblLook w:val="04A0" w:firstRow="1" w:lastRow="0" w:firstColumn="1" w:lastColumn="0" w:noHBand="0" w:noVBand="1"/>
      </w:tblPr>
      <w:tblGrid>
        <w:gridCol w:w="1795"/>
        <w:gridCol w:w="1710"/>
        <w:gridCol w:w="1200"/>
        <w:gridCol w:w="1102"/>
        <w:gridCol w:w="1817"/>
        <w:gridCol w:w="135"/>
        <w:gridCol w:w="1098"/>
        <w:gridCol w:w="27"/>
        <w:gridCol w:w="1143"/>
        <w:gridCol w:w="27"/>
      </w:tblGrid>
      <w:tr w:rsidR="00AD7044" w:rsidRPr="00124CB7" w14:paraId="5D073D77" w14:textId="77777777" w:rsidTr="00AD704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7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5" w:type="dxa"/>
          </w:tcPr>
          <w:p w14:paraId="0624EE87" w14:textId="77777777" w:rsidR="00AD7044" w:rsidRPr="00124CB7" w:rsidRDefault="00AD7044" w:rsidP="00AD7044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10" w:type="dxa"/>
          </w:tcPr>
          <w:p w14:paraId="51DF6E55" w14:textId="77777777" w:rsidR="00AD7044" w:rsidRPr="00124CB7" w:rsidRDefault="00AD7044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 weeks ending 11/06/2022</w:t>
            </w:r>
          </w:p>
        </w:tc>
        <w:tc>
          <w:tcPr>
            <w:tcW w:w="1200" w:type="dxa"/>
          </w:tcPr>
          <w:p w14:paraId="0398A30D" w14:textId="77777777" w:rsidR="00AD7044" w:rsidRPr="00124CB7" w:rsidRDefault="00AD7044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11B3D9FB" w14:textId="77777777" w:rsidR="00AD7044" w:rsidRPr="00124CB7" w:rsidRDefault="00AD7044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>
              <w:t>19</w:t>
            </w:r>
          </w:p>
        </w:tc>
        <w:tc>
          <w:tcPr>
            <w:tcW w:w="1952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</w:tcPr>
          <w:p w14:paraId="3BBE24C3" w14:textId="77777777" w:rsidR="00AD7044" w:rsidRPr="00124CB7" w:rsidRDefault="00AD7044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Building CY thru 11/06/2022</w:t>
            </w:r>
          </w:p>
        </w:tc>
        <w:tc>
          <w:tcPr>
            <w:tcW w:w="1098" w:type="dxa"/>
          </w:tcPr>
          <w:p w14:paraId="0895179F" w14:textId="77777777" w:rsidR="00AD7044" w:rsidRPr="00124CB7" w:rsidRDefault="00AD7044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2021</w:t>
            </w:r>
          </w:p>
        </w:tc>
        <w:tc>
          <w:tcPr>
            <w:tcW w:w="1170" w:type="dxa"/>
            <w:gridSpan w:val="2"/>
          </w:tcPr>
          <w:p w14:paraId="5AB7ECE0" w14:textId="77777777" w:rsidR="00AD7044" w:rsidRPr="00124CB7" w:rsidRDefault="00AD7044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2019</w:t>
            </w:r>
          </w:p>
        </w:tc>
      </w:tr>
      <w:tr w:rsidR="00AD7044" w14:paraId="22401D5B" w14:textId="77777777" w:rsidTr="00AD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9CDF43D" w14:textId="77777777" w:rsidR="00AD7044" w:rsidRPr="00124CB7" w:rsidRDefault="00AD7044" w:rsidP="00AD7044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Dollars</w:t>
            </w:r>
          </w:p>
        </w:tc>
        <w:tc>
          <w:tcPr>
            <w:tcW w:w="1710" w:type="dxa"/>
          </w:tcPr>
          <w:p w14:paraId="6D1FCB95" w14:textId="77777777" w:rsidR="00AD7044" w:rsidRDefault="00AD7044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$93 million</w:t>
            </w:r>
          </w:p>
        </w:tc>
        <w:tc>
          <w:tcPr>
            <w:tcW w:w="1200" w:type="dxa"/>
          </w:tcPr>
          <w:p w14:paraId="77D2040B" w14:textId="77777777" w:rsidR="00AD7044" w:rsidRDefault="00AD7044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-2.8%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4EF21002" w14:textId="77777777" w:rsidR="00AD7044" w:rsidRDefault="00AD7044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+7.5%</w:t>
            </w:r>
          </w:p>
        </w:tc>
        <w:tc>
          <w:tcPr>
            <w:tcW w:w="1817" w:type="dxa"/>
            <w:tcBorders>
              <w:left w:val="single" w:sz="4" w:space="0" w:color="ED7D31" w:themeColor="accent2"/>
            </w:tcBorders>
          </w:tcPr>
          <w:p w14:paraId="375CF9DD" w14:textId="77777777" w:rsidR="00AD7044" w:rsidRDefault="00AD7044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$1.1 billion</w:t>
            </w:r>
          </w:p>
        </w:tc>
        <w:tc>
          <w:tcPr>
            <w:tcW w:w="1260" w:type="dxa"/>
            <w:gridSpan w:val="3"/>
          </w:tcPr>
          <w:p w14:paraId="04EA64A9" w14:textId="77777777" w:rsidR="00AD7044" w:rsidRDefault="00AD7044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-4.0%</w:t>
            </w:r>
          </w:p>
        </w:tc>
        <w:tc>
          <w:tcPr>
            <w:tcW w:w="1170" w:type="dxa"/>
            <w:gridSpan w:val="2"/>
          </w:tcPr>
          <w:p w14:paraId="2F2464E9" w14:textId="77777777" w:rsidR="00AD7044" w:rsidRDefault="00AD7044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+9.7%</w:t>
            </w:r>
          </w:p>
        </w:tc>
      </w:tr>
      <w:tr w:rsidR="00AD7044" w14:paraId="31FB8D29" w14:textId="77777777" w:rsidTr="00AD7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0B2F651" w14:textId="77777777" w:rsidR="00AD7044" w:rsidRPr="00124CB7" w:rsidRDefault="00AD7044" w:rsidP="00AD7044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Units</w:t>
            </w:r>
          </w:p>
        </w:tc>
        <w:tc>
          <w:tcPr>
            <w:tcW w:w="1710" w:type="dxa"/>
          </w:tcPr>
          <w:p w14:paraId="3CA03520" w14:textId="77777777" w:rsidR="00AD7044" w:rsidRDefault="00AD7044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 million</w:t>
            </w:r>
          </w:p>
        </w:tc>
        <w:tc>
          <w:tcPr>
            <w:tcW w:w="1200" w:type="dxa"/>
          </w:tcPr>
          <w:p w14:paraId="6922F333" w14:textId="77777777" w:rsidR="00AD7044" w:rsidRDefault="00AD7044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-11.5%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7CD8DEEA" w14:textId="77777777" w:rsidR="00AD7044" w:rsidRDefault="00AD7044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-9.5%</w:t>
            </w:r>
          </w:p>
        </w:tc>
        <w:tc>
          <w:tcPr>
            <w:tcW w:w="181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</w:tcPr>
          <w:p w14:paraId="26ECACB9" w14:textId="77777777" w:rsidR="00AD7044" w:rsidRDefault="00AD7044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367 million</w:t>
            </w:r>
          </w:p>
        </w:tc>
        <w:tc>
          <w:tcPr>
            <w:tcW w:w="1260" w:type="dxa"/>
            <w:gridSpan w:val="3"/>
          </w:tcPr>
          <w:p w14:paraId="60AAF678" w14:textId="77777777" w:rsidR="00AD7044" w:rsidRDefault="00AD7044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-10.1%</w:t>
            </w:r>
          </w:p>
        </w:tc>
        <w:tc>
          <w:tcPr>
            <w:tcW w:w="1170" w:type="dxa"/>
            <w:gridSpan w:val="2"/>
          </w:tcPr>
          <w:p w14:paraId="19BE3B74" w14:textId="77777777" w:rsidR="00AD7044" w:rsidRDefault="00AD7044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-4.1%</w:t>
            </w:r>
          </w:p>
        </w:tc>
      </w:tr>
      <w:tr w:rsidR="00AD7044" w14:paraId="2EB720F3" w14:textId="77777777" w:rsidTr="00AD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A632454" w14:textId="77777777" w:rsidR="00AD7044" w:rsidRPr="00124CB7" w:rsidRDefault="00AD7044" w:rsidP="00AD7044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Volume</w:t>
            </w:r>
            <w:r>
              <w:rPr>
                <w:b w:val="0"/>
                <w:bCs w:val="0"/>
              </w:rPr>
              <w:t xml:space="preserve"> (pounds)</w:t>
            </w:r>
          </w:p>
        </w:tc>
        <w:tc>
          <w:tcPr>
            <w:tcW w:w="1710" w:type="dxa"/>
          </w:tcPr>
          <w:p w14:paraId="68757A76" w14:textId="77777777" w:rsidR="00AD7044" w:rsidRDefault="00AD7044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 million</w:t>
            </w:r>
          </w:p>
        </w:tc>
        <w:tc>
          <w:tcPr>
            <w:tcW w:w="1200" w:type="dxa"/>
          </w:tcPr>
          <w:p w14:paraId="7DE7F9CC" w14:textId="77777777" w:rsidR="00AD7044" w:rsidRDefault="00AD7044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-10.2%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47670DC1" w14:textId="77777777" w:rsidR="00AD7044" w:rsidRDefault="00AD7044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-5.8%</w:t>
            </w:r>
          </w:p>
        </w:tc>
        <w:tc>
          <w:tcPr>
            <w:tcW w:w="1817" w:type="dxa"/>
            <w:tcBorders>
              <w:left w:val="single" w:sz="4" w:space="0" w:color="ED7D31" w:themeColor="accent2"/>
            </w:tcBorders>
          </w:tcPr>
          <w:p w14:paraId="57878EB0" w14:textId="77777777" w:rsidR="00AD7044" w:rsidRDefault="00AD7044" w:rsidP="00AD7044">
            <w:pPr>
              <w:pStyle w:val="NoSpacing"/>
              <w:tabs>
                <w:tab w:val="center" w:pos="743"/>
                <w:tab w:val="right" w:pos="14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</w:t>
            </w:r>
            <w:r>
              <w:tab/>
              <w:t>230 million</w:t>
            </w:r>
          </w:p>
        </w:tc>
        <w:tc>
          <w:tcPr>
            <w:tcW w:w="1260" w:type="dxa"/>
            <w:gridSpan w:val="3"/>
          </w:tcPr>
          <w:p w14:paraId="0679CD28" w14:textId="77777777" w:rsidR="00AD7044" w:rsidRDefault="00AD7044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-10.4%</w:t>
            </w:r>
          </w:p>
        </w:tc>
        <w:tc>
          <w:tcPr>
            <w:tcW w:w="1170" w:type="dxa"/>
            <w:gridSpan w:val="2"/>
          </w:tcPr>
          <w:p w14:paraId="09C03B7F" w14:textId="77777777" w:rsidR="00AD7044" w:rsidRDefault="00AD7044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-1.8%</w:t>
            </w:r>
          </w:p>
        </w:tc>
      </w:tr>
    </w:tbl>
    <w:p w14:paraId="5B1F1AF6" w14:textId="5EBB944A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977F7F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D1241B">
        <w:rPr>
          <w:color w:val="7F7F7F" w:themeColor="text1" w:themeTint="80"/>
          <w:sz w:val="16"/>
          <w:szCs w:val="16"/>
        </w:rPr>
        <w:t>11/06</w:t>
      </w:r>
      <w:r w:rsidR="00F96C98">
        <w:rPr>
          <w:color w:val="7F7F7F" w:themeColor="text1" w:themeTint="80"/>
          <w:sz w:val="16"/>
          <w:szCs w:val="16"/>
        </w:rPr>
        <w:t>/2022</w:t>
      </w:r>
    </w:p>
    <w:p w14:paraId="693975F5" w14:textId="5C6F2673" w:rsidR="000809C3" w:rsidRDefault="000809C3" w:rsidP="00472B02">
      <w:pPr>
        <w:pStyle w:val="NoSpacing"/>
      </w:pPr>
    </w:p>
    <w:p w14:paraId="6A743FB2" w14:textId="004B0C9F" w:rsidR="000809C3" w:rsidRDefault="00730897" w:rsidP="00FF42F9">
      <w:pPr>
        <w:pStyle w:val="NoSpacing"/>
      </w:pPr>
      <w:r>
        <w:t>W</w:t>
      </w:r>
      <w:r w:rsidR="005547EE">
        <w:t xml:space="preserve">eekly sales </w:t>
      </w:r>
      <w:r>
        <w:t xml:space="preserve">for mushrooms </w:t>
      </w:r>
      <w:r w:rsidR="00BE7EF2">
        <w:t>averaged between $</w:t>
      </w:r>
      <w:r w:rsidR="008A1DBB">
        <w:t>22.8</w:t>
      </w:r>
      <w:r w:rsidR="00BE7EF2">
        <w:t xml:space="preserve"> and $</w:t>
      </w:r>
      <w:r w:rsidR="008A1DBB">
        <w:t>23.6</w:t>
      </w:r>
      <w:r w:rsidR="005547EE">
        <w:t xml:space="preserve"> million</w:t>
      </w:r>
      <w:r w:rsidR="00731BCD">
        <w:t xml:space="preserve">, </w:t>
      </w:r>
      <w:r w:rsidR="00F47EA1">
        <w:t xml:space="preserve">which was an improvement for each when compared to the prior quad week period. Total pounds increased slightly compared to the prior quad-week as well — following prior-year patterns that show an increase in mushroom sales from August through the end of the year </w:t>
      </w:r>
      <w:r w:rsidR="00347E3A">
        <w:t>(see forecast tab)</w:t>
      </w:r>
      <w:r w:rsidR="00677889">
        <w:t xml:space="preserve">. </w:t>
      </w:r>
      <w:r w:rsidR="00EF1E09">
        <w:t xml:space="preserve">However, they do remain behind year-ago levels. </w:t>
      </w:r>
    </w:p>
    <w:p w14:paraId="121F64A3" w14:textId="77777777" w:rsidR="00D55AB1" w:rsidRDefault="00D55AB1" w:rsidP="00FF42F9">
      <w:pPr>
        <w:pStyle w:val="NoSpacing"/>
      </w:pPr>
    </w:p>
    <w:p w14:paraId="71B34E16" w14:textId="77777777" w:rsidR="00FF42F9" w:rsidRDefault="00FF42F9" w:rsidP="00FF42F9">
      <w:pPr>
        <w:pStyle w:val="NoSpacing"/>
      </w:pPr>
    </w:p>
    <w:tbl>
      <w:tblPr>
        <w:tblStyle w:val="ListTable3-Accent2"/>
        <w:tblW w:w="9985" w:type="dxa"/>
        <w:tblLook w:val="04A0" w:firstRow="1" w:lastRow="0" w:firstColumn="1" w:lastColumn="0" w:noHBand="0" w:noVBand="1"/>
      </w:tblPr>
      <w:tblGrid>
        <w:gridCol w:w="2122"/>
        <w:gridCol w:w="997"/>
        <w:gridCol w:w="1291"/>
        <w:gridCol w:w="1291"/>
        <w:gridCol w:w="1134"/>
        <w:gridCol w:w="1530"/>
        <w:gridCol w:w="1620"/>
      </w:tblGrid>
      <w:tr w:rsidR="000809C3" w:rsidRPr="00DE633B" w14:paraId="5AF9AC2D" w14:textId="77777777" w:rsidTr="008B6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</w:tcPr>
          <w:p w14:paraId="3CBC11F7" w14:textId="77777777" w:rsidR="000809C3" w:rsidRPr="006A7A6E" w:rsidRDefault="000809C3" w:rsidP="000809C3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lastRenderedPageBreak/>
              <w:t>Fresh mushrooms</w:t>
            </w:r>
          </w:p>
        </w:tc>
        <w:tc>
          <w:tcPr>
            <w:tcW w:w="997" w:type="dxa"/>
          </w:tcPr>
          <w:p w14:paraId="160A0879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291" w:type="dxa"/>
          </w:tcPr>
          <w:p w14:paraId="19F3D856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Dollar gains vs. 2021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3ABF0E92" w14:textId="6E27270E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Dollar gains vs. 20</w:t>
            </w:r>
            <w:r w:rsidR="00FF42F9">
              <w:rPr>
                <w:rFonts w:cstheme="minorHAnsi"/>
              </w:rPr>
              <w:t>19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4E9EBAC6" w14:textId="64CD0FF1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530" w:type="dxa"/>
          </w:tcPr>
          <w:p w14:paraId="3A701F90" w14:textId="754623E0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Volume gains vs. 2021</w:t>
            </w:r>
          </w:p>
        </w:tc>
        <w:tc>
          <w:tcPr>
            <w:tcW w:w="1620" w:type="dxa"/>
          </w:tcPr>
          <w:p w14:paraId="7A77A4C9" w14:textId="76254015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Volume gains vs. 20</w:t>
            </w:r>
            <w:r w:rsidR="00FF42F9">
              <w:rPr>
                <w:rFonts w:cstheme="minorHAnsi"/>
              </w:rPr>
              <w:t>19</w:t>
            </w:r>
          </w:p>
        </w:tc>
      </w:tr>
      <w:tr w:rsidR="000809C3" w14:paraId="69B1B691" w14:textId="77777777" w:rsidTr="008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74F2F9C" w14:textId="4A6D6A39" w:rsidR="000809C3" w:rsidRPr="006A7A6E" w:rsidRDefault="000C3CC4" w:rsidP="000809C3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4 w.e. </w:t>
            </w:r>
            <w:r w:rsidR="00D1241B">
              <w:rPr>
                <w:rFonts w:cstheme="minorHAnsi"/>
                <w:color w:val="000000" w:themeColor="text1"/>
              </w:rPr>
              <w:t>11/06</w:t>
            </w:r>
            <w:r w:rsidR="00F96C98">
              <w:rPr>
                <w:rFonts w:cstheme="minorHAnsi"/>
                <w:color w:val="000000" w:themeColor="text1"/>
              </w:rPr>
              <w:t>/2022</w:t>
            </w:r>
          </w:p>
        </w:tc>
        <w:tc>
          <w:tcPr>
            <w:tcW w:w="997" w:type="dxa"/>
          </w:tcPr>
          <w:p w14:paraId="73E257C6" w14:textId="5EF386EB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0C29FA">
              <w:rPr>
                <w:rFonts w:cstheme="minorHAnsi"/>
                <w:b/>
                <w:bCs/>
                <w:color w:val="000000" w:themeColor="text1"/>
              </w:rPr>
              <w:t>92.9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4D4E3A8B" w14:textId="55BC2B14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0C29FA">
              <w:rPr>
                <w:rFonts w:cstheme="minorHAnsi"/>
                <w:b/>
                <w:bCs/>
                <w:color w:val="000000" w:themeColor="text1"/>
              </w:rPr>
              <w:t>2.8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D28CAD3" w14:textId="7229B4FD" w:rsidR="000809C3" w:rsidRPr="006A7A6E" w:rsidRDefault="00145E27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+</w:t>
            </w:r>
            <w:r w:rsidR="000C29FA">
              <w:rPr>
                <w:rFonts w:cstheme="minorHAnsi"/>
                <w:b/>
                <w:bCs/>
                <w:color w:val="000000" w:themeColor="text1"/>
              </w:rPr>
              <w:t>7.5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30F9E2CF" w14:textId="70AB84FB" w:rsidR="000809C3" w:rsidRPr="006A7A6E" w:rsidRDefault="000C29FA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19.5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7D7EF716" w14:textId="22FA4687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E57C49">
              <w:rPr>
                <w:rFonts w:cstheme="minorHAnsi"/>
                <w:b/>
                <w:bCs/>
                <w:color w:val="000000" w:themeColor="text1"/>
              </w:rPr>
              <w:t>10.2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0ADA09AC" w14:textId="5D33F9FF" w:rsidR="000809C3" w:rsidRPr="006A7A6E" w:rsidRDefault="0086198D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E57C49">
              <w:rPr>
                <w:rFonts w:cstheme="minorHAnsi"/>
                <w:b/>
                <w:bCs/>
                <w:color w:val="000000" w:themeColor="text1"/>
              </w:rPr>
              <w:t>5.8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04266D" w14:paraId="4161B78F" w14:textId="77777777" w:rsidTr="008B633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1B5C386" w14:textId="4E2BF26D" w:rsidR="0004266D" w:rsidRPr="006A7A6E" w:rsidRDefault="0004266D" w:rsidP="0004266D">
            <w:pPr>
              <w:pStyle w:val="NoSpacing"/>
              <w:rPr>
                <w:rFonts w:cstheme="minorHAnsi"/>
                <w:b w:val="0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F96C98">
              <w:rPr>
                <w:rFonts w:cstheme="minorHAnsi"/>
                <w:b w:val="0"/>
                <w:color w:val="000000" w:themeColor="text1"/>
              </w:rPr>
              <w:t>10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476C12">
              <w:rPr>
                <w:rFonts w:cstheme="minorHAnsi"/>
                <w:b w:val="0"/>
                <w:color w:val="000000" w:themeColor="text1"/>
              </w:rPr>
              <w:t>16</w:t>
            </w:r>
            <w:r w:rsidRPr="006A7A6E">
              <w:rPr>
                <w:rFonts w:cstheme="minorHAnsi"/>
                <w:b w:val="0"/>
                <w:color w:val="000000" w:themeColor="text1"/>
              </w:rPr>
              <w:t>/2022</w:t>
            </w:r>
          </w:p>
        </w:tc>
        <w:tc>
          <w:tcPr>
            <w:tcW w:w="997" w:type="dxa"/>
          </w:tcPr>
          <w:p w14:paraId="151AC645" w14:textId="4E0B9D34" w:rsidR="0004266D" w:rsidRPr="0004266D" w:rsidRDefault="0004266D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0C29FA">
              <w:rPr>
                <w:rFonts w:cstheme="minorHAnsi"/>
                <w:color w:val="000000" w:themeColor="text1"/>
              </w:rPr>
              <w:t>23.2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F350FB2" w14:textId="208FFB0A" w:rsidR="0004266D" w:rsidRPr="0004266D" w:rsidRDefault="0004266D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0C29FA">
              <w:rPr>
                <w:rFonts w:cstheme="minorHAnsi"/>
                <w:color w:val="000000" w:themeColor="text1"/>
              </w:rPr>
              <w:t>2.6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71A7F634" w14:textId="6B5B278B" w:rsidR="0004266D" w:rsidRPr="0004266D" w:rsidRDefault="00FF42F9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0C29FA">
              <w:rPr>
                <w:rFonts w:cstheme="minorHAnsi"/>
                <w:color w:val="000000" w:themeColor="text1"/>
              </w:rPr>
              <w:t>9.0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539D2139" w14:textId="1F937894" w:rsidR="0004266D" w:rsidRPr="0004266D" w:rsidRDefault="00E57C49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4.8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4E107D1E" w14:textId="4707D6BC" w:rsidR="0004266D" w:rsidRPr="0004266D" w:rsidRDefault="0004266D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57C49">
              <w:rPr>
                <w:rFonts w:cstheme="minorHAnsi"/>
                <w:color w:val="000000" w:themeColor="text1"/>
              </w:rPr>
              <w:t>10.4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699CD9F0" w14:textId="79004C28" w:rsidR="0004266D" w:rsidRPr="0004266D" w:rsidRDefault="00145E27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E57C49">
              <w:rPr>
                <w:rFonts w:cstheme="minorHAnsi"/>
                <w:color w:val="000000" w:themeColor="text1"/>
              </w:rPr>
              <w:t>4.6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46E32385" w14:textId="77777777" w:rsidTr="008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CCBCDF3" w14:textId="2B1BD62C" w:rsidR="005547EE" w:rsidRPr="006A7A6E" w:rsidRDefault="005547EE" w:rsidP="005547EE">
            <w:pPr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F96C98">
              <w:rPr>
                <w:rFonts w:cstheme="minorHAnsi"/>
                <w:b w:val="0"/>
                <w:color w:val="000000" w:themeColor="text1"/>
              </w:rPr>
              <w:t>10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476C12">
              <w:rPr>
                <w:rFonts w:cstheme="minorHAnsi"/>
                <w:b w:val="0"/>
                <w:color w:val="000000" w:themeColor="text1"/>
              </w:rPr>
              <w:t>23</w:t>
            </w:r>
            <w:r w:rsidRPr="006A7A6E">
              <w:rPr>
                <w:rFonts w:cstheme="minorHAnsi"/>
                <w:b w:val="0"/>
                <w:color w:val="000000" w:themeColor="text1"/>
              </w:rPr>
              <w:t>/2022</w:t>
            </w:r>
          </w:p>
        </w:tc>
        <w:tc>
          <w:tcPr>
            <w:tcW w:w="997" w:type="dxa"/>
          </w:tcPr>
          <w:p w14:paraId="11A8DDCA" w14:textId="03693777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0C29FA">
              <w:rPr>
                <w:rFonts w:cstheme="minorHAnsi"/>
                <w:color w:val="000000" w:themeColor="text1"/>
              </w:rPr>
              <w:t>23.3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16514130" w14:textId="702C8D96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0C29FA">
              <w:rPr>
                <w:rFonts w:cstheme="minorHAnsi"/>
                <w:color w:val="000000" w:themeColor="text1"/>
              </w:rPr>
              <w:t>2.5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63E87C2" w14:textId="6BE0A41F" w:rsidR="005547EE" w:rsidRPr="0004266D" w:rsidRDefault="00145E27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0C29FA">
              <w:rPr>
                <w:rFonts w:cstheme="minorHAnsi"/>
                <w:color w:val="000000" w:themeColor="text1"/>
              </w:rPr>
              <w:t>9.4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67EAF597" w14:textId="53357B56" w:rsidR="005547EE" w:rsidRPr="0004266D" w:rsidRDefault="00E57C49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5.0</w:t>
            </w:r>
            <w:r w:rsidR="005547EE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3BDC9313" w14:textId="182EA1A8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57C49">
              <w:rPr>
                <w:rFonts w:cstheme="minorHAnsi"/>
                <w:color w:val="000000" w:themeColor="text1"/>
              </w:rPr>
              <w:t>9.4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180304FD" w14:textId="6B11A3BA" w:rsidR="005547EE" w:rsidRPr="0004266D" w:rsidRDefault="00145E27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E57C49">
              <w:rPr>
                <w:rFonts w:cstheme="minorHAnsi"/>
                <w:color w:val="000000" w:themeColor="text1"/>
              </w:rPr>
              <w:t>3.3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29C076C3" w14:textId="77777777" w:rsidTr="008B633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D67558" w14:textId="04739BB9" w:rsidR="005547EE" w:rsidRPr="006A7A6E" w:rsidRDefault="005547EE" w:rsidP="005547EE">
            <w:pPr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F96C98">
              <w:rPr>
                <w:rFonts w:cstheme="minorHAnsi"/>
                <w:b w:val="0"/>
                <w:color w:val="000000" w:themeColor="text1"/>
              </w:rPr>
              <w:t>10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476C12">
              <w:rPr>
                <w:rFonts w:cstheme="minorHAnsi"/>
                <w:b w:val="0"/>
                <w:color w:val="000000" w:themeColor="text1"/>
              </w:rPr>
              <w:t>30</w:t>
            </w:r>
            <w:r w:rsidRPr="006A7A6E">
              <w:rPr>
                <w:rFonts w:cstheme="minorHAnsi"/>
                <w:b w:val="0"/>
                <w:color w:val="000000" w:themeColor="text1"/>
              </w:rPr>
              <w:t>/2022</w:t>
            </w:r>
          </w:p>
        </w:tc>
        <w:tc>
          <w:tcPr>
            <w:tcW w:w="997" w:type="dxa"/>
          </w:tcPr>
          <w:p w14:paraId="48606425" w14:textId="3657ABDA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0C29FA">
              <w:rPr>
                <w:rFonts w:cstheme="minorHAnsi"/>
                <w:color w:val="000000" w:themeColor="text1"/>
              </w:rPr>
              <w:t>22.8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4EEBB9B" w14:textId="07971803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0C29FA">
              <w:rPr>
                <w:rFonts w:cstheme="minorHAnsi"/>
                <w:color w:val="000000" w:themeColor="text1"/>
              </w:rPr>
              <w:t>3.7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59FECD2" w14:textId="2041995F" w:rsidR="005547EE" w:rsidRPr="0004266D" w:rsidRDefault="00145E27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0C29FA">
              <w:rPr>
                <w:rFonts w:cstheme="minorHAnsi"/>
                <w:color w:val="000000" w:themeColor="text1"/>
              </w:rPr>
              <w:t>6.9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234D0105" w14:textId="525FFE1A" w:rsidR="005547EE" w:rsidRPr="0004266D" w:rsidRDefault="00E57C49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4.8</w:t>
            </w:r>
            <w:r w:rsidR="005547EE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5C2CD04A" w14:textId="216CFD27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57C49">
              <w:rPr>
                <w:rFonts w:cstheme="minorHAnsi"/>
                <w:color w:val="000000" w:themeColor="text1"/>
              </w:rPr>
              <w:t>11.7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3E3F9EEB" w14:textId="1BCD420C" w:rsidR="005547EE" w:rsidRPr="0004266D" w:rsidRDefault="00145E27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E57C49">
              <w:rPr>
                <w:rFonts w:cstheme="minorHAnsi"/>
                <w:color w:val="000000" w:themeColor="text1"/>
              </w:rPr>
              <w:t>6.5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7E43EA98" w14:textId="77777777" w:rsidTr="008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798E510" w14:textId="6C9B9283" w:rsidR="005547EE" w:rsidRPr="006A7A6E" w:rsidRDefault="005547EE" w:rsidP="005547EE">
            <w:pPr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D1241B">
              <w:rPr>
                <w:rFonts w:cstheme="minorHAnsi"/>
                <w:b w:val="0"/>
                <w:color w:val="000000" w:themeColor="text1"/>
              </w:rPr>
              <w:t>11/06</w:t>
            </w:r>
            <w:r w:rsidR="00F96C98">
              <w:rPr>
                <w:rFonts w:cstheme="minorHAnsi"/>
                <w:b w:val="0"/>
                <w:color w:val="000000" w:themeColor="text1"/>
              </w:rPr>
              <w:t>/2022</w:t>
            </w:r>
          </w:p>
        </w:tc>
        <w:tc>
          <w:tcPr>
            <w:tcW w:w="997" w:type="dxa"/>
          </w:tcPr>
          <w:p w14:paraId="1F9888EE" w14:textId="5734F614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0C29FA">
              <w:rPr>
                <w:rFonts w:cstheme="minorHAnsi"/>
                <w:color w:val="000000" w:themeColor="text1"/>
              </w:rPr>
              <w:t>23.6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9C9DE70" w14:textId="41474F4B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0C29FA">
              <w:rPr>
                <w:rFonts w:cstheme="minorHAnsi"/>
                <w:color w:val="000000" w:themeColor="text1"/>
              </w:rPr>
              <w:t>2.4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10674F93" w14:textId="24A1C4AE" w:rsidR="005547EE" w:rsidRPr="0004266D" w:rsidRDefault="00145E27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0C29FA">
              <w:rPr>
                <w:rFonts w:cstheme="minorHAnsi"/>
                <w:color w:val="000000" w:themeColor="text1"/>
              </w:rPr>
              <w:t>4.9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6664688E" w14:textId="6A3015D2" w:rsidR="005547EE" w:rsidRPr="0004266D" w:rsidRDefault="00E57C49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4.9</w:t>
            </w:r>
            <w:r w:rsidR="005547EE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350C0B98" w14:textId="5F6D592C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57C49">
              <w:rPr>
                <w:rFonts w:cstheme="minorHAnsi"/>
                <w:color w:val="000000" w:themeColor="text1"/>
              </w:rPr>
              <w:t>9.4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2A25914C" w14:textId="6FF2C419" w:rsidR="005547EE" w:rsidRPr="0004266D" w:rsidRDefault="00145E27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E57C49">
              <w:rPr>
                <w:rFonts w:cstheme="minorHAnsi"/>
                <w:color w:val="000000" w:themeColor="text1"/>
              </w:rPr>
              <w:t>8.5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p w14:paraId="712DC4DB" w14:textId="58FE88FB" w:rsidR="00541AFF" w:rsidRDefault="00541AFF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D1241B">
        <w:rPr>
          <w:color w:val="7F7F7F" w:themeColor="text1" w:themeTint="80"/>
          <w:sz w:val="16"/>
          <w:szCs w:val="16"/>
        </w:rPr>
        <w:t>11/06</w:t>
      </w:r>
      <w:r w:rsidR="00F96C98">
        <w:rPr>
          <w:color w:val="7F7F7F" w:themeColor="text1" w:themeTint="80"/>
          <w:sz w:val="16"/>
          <w:szCs w:val="16"/>
        </w:rPr>
        <w:t>/2022</w:t>
      </w:r>
    </w:p>
    <w:p w14:paraId="0C708971" w14:textId="77777777" w:rsidR="003D3BDA" w:rsidRPr="00555250" w:rsidRDefault="003D3BDA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</w:p>
    <w:p w14:paraId="2A45DBD8" w14:textId="04A1650F" w:rsidR="00666D40" w:rsidRPr="00927EAC" w:rsidRDefault="00666D40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Inflation</w:t>
      </w:r>
    </w:p>
    <w:p w14:paraId="4A3C02BB" w14:textId="4F00B2E8" w:rsidR="00666D40" w:rsidRDefault="00030ABF" w:rsidP="00472B02">
      <w:pPr>
        <w:pStyle w:val="NoSpacing"/>
      </w:pPr>
      <w:r>
        <w:t>M</w:t>
      </w:r>
      <w:r w:rsidR="000E2A1D">
        <w:t xml:space="preserve">ushroom prices </w:t>
      </w:r>
      <w:r w:rsidR="00C9550B">
        <w:t xml:space="preserve">per unit </w:t>
      </w:r>
      <w:r w:rsidR="000E2A1D">
        <w:t>increase</w:t>
      </w:r>
      <w:r w:rsidR="00322039">
        <w:t>d</w:t>
      </w:r>
      <w:r w:rsidR="000E2A1D">
        <w:t xml:space="preserve"> </w:t>
      </w:r>
      <w:r w:rsidR="00A14586">
        <w:t xml:space="preserve">by </w:t>
      </w:r>
      <w:r w:rsidR="00C71FDD">
        <w:t>9.8</w:t>
      </w:r>
      <w:r w:rsidR="00322039">
        <w:t xml:space="preserve">% versus year ago </w:t>
      </w:r>
      <w:r w:rsidR="000E2A1D">
        <w:t>in the latest quad-week period</w:t>
      </w:r>
      <w:r>
        <w:t xml:space="preserve">. This means the rate of inflation jumped ahead of that </w:t>
      </w:r>
      <w:r w:rsidR="000E2A1D">
        <w:t xml:space="preserve">for total </w:t>
      </w:r>
      <w:r>
        <w:t xml:space="preserve">fresh </w:t>
      </w:r>
      <w:r w:rsidR="000E2A1D">
        <w:t>vegetables</w:t>
      </w:r>
      <w:r w:rsidR="00A14586">
        <w:t xml:space="preserve"> (+</w:t>
      </w:r>
      <w:r>
        <w:t>8.4</w:t>
      </w:r>
      <w:r w:rsidR="00322039">
        <w:t>%)</w:t>
      </w:r>
      <w:r w:rsidR="00C9550B">
        <w:t xml:space="preserve"> and</w:t>
      </w:r>
      <w:r w:rsidR="000E2A1D">
        <w:t xml:space="preserve"> </w:t>
      </w:r>
      <w:r>
        <w:t xml:space="preserve">total fresh </w:t>
      </w:r>
      <w:r w:rsidR="000E2A1D">
        <w:t xml:space="preserve">produce </w:t>
      </w:r>
      <w:r w:rsidR="00A14586">
        <w:t>(+</w:t>
      </w:r>
      <w:r>
        <w:t>5.4</w:t>
      </w:r>
      <w:r w:rsidR="00322039">
        <w:t>%)</w:t>
      </w:r>
      <w:r w:rsidR="000E2A1D">
        <w:t xml:space="preserve">. </w:t>
      </w:r>
    </w:p>
    <w:p w14:paraId="484C35C9" w14:textId="2EB83AFC" w:rsidR="0094219B" w:rsidRDefault="0094219B" w:rsidP="00472B02">
      <w:pPr>
        <w:pStyle w:val="NoSpacing"/>
      </w:pPr>
    </w:p>
    <w:tbl>
      <w:tblPr>
        <w:tblStyle w:val="ListTable3-Accent2"/>
        <w:tblW w:w="10075" w:type="dxa"/>
        <w:tblLook w:val="04A0" w:firstRow="1" w:lastRow="0" w:firstColumn="1" w:lastColumn="0" w:noHBand="0" w:noVBand="1"/>
      </w:tblPr>
      <w:tblGrid>
        <w:gridCol w:w="3256"/>
        <w:gridCol w:w="299"/>
        <w:gridCol w:w="1146"/>
        <w:gridCol w:w="973"/>
        <w:gridCol w:w="909"/>
        <w:gridCol w:w="1776"/>
        <w:gridCol w:w="817"/>
        <w:gridCol w:w="899"/>
      </w:tblGrid>
      <w:tr w:rsidR="000C3CC4" w:rsidRPr="00124CB7" w14:paraId="6E9D1AEF" w14:textId="162D7E86" w:rsidTr="00677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</w:tcPr>
          <w:p w14:paraId="74759AF7" w14:textId="77777777" w:rsidR="000C3CC4" w:rsidRPr="00124CB7" w:rsidRDefault="000C3CC4" w:rsidP="000C3CC4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45" w:type="dxa"/>
            <w:gridSpan w:val="2"/>
          </w:tcPr>
          <w:p w14:paraId="5EC6EFF0" w14:textId="3D02D2B4" w:rsidR="000C3CC4" w:rsidRPr="00124CB7" w:rsidRDefault="000C3CC4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D1241B">
              <w:t>11/06</w:t>
            </w:r>
            <w:r w:rsidR="00F96C98">
              <w:t>/2022</w:t>
            </w:r>
          </w:p>
        </w:tc>
        <w:tc>
          <w:tcPr>
            <w:tcW w:w="973" w:type="dxa"/>
          </w:tcPr>
          <w:p w14:paraId="10EFADEC" w14:textId="7CE9F61A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55EFE125" w14:textId="7950772A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 w:rsidR="00E629E0">
              <w:t>19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6A5B944C" w14:textId="0D65037F" w:rsidR="000C3CC4" w:rsidRPr="00124CB7" w:rsidRDefault="000C3CC4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Building CY thru </w:t>
            </w:r>
            <w:r w:rsidR="00D1241B">
              <w:t>11/06</w:t>
            </w:r>
            <w:r w:rsidR="00F96C98">
              <w:t>/2022</w:t>
            </w:r>
          </w:p>
        </w:tc>
        <w:tc>
          <w:tcPr>
            <w:tcW w:w="817" w:type="dxa"/>
          </w:tcPr>
          <w:p w14:paraId="56551B99" w14:textId="3BE2DA79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899" w:type="dxa"/>
          </w:tcPr>
          <w:p w14:paraId="1A109D51" w14:textId="56ADA7D4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 w:rsidR="00483711">
              <w:t>19</w:t>
            </w:r>
          </w:p>
        </w:tc>
      </w:tr>
      <w:tr w:rsidR="000C3CC4" w14:paraId="2B35BE12" w14:textId="0A6FF303" w:rsidTr="00677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gridSpan w:val="2"/>
          </w:tcPr>
          <w:p w14:paraId="5B4CB702" w14:textId="77777777" w:rsidR="000C3CC4" w:rsidRPr="00124CB7" w:rsidRDefault="000C3CC4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146" w:type="dxa"/>
          </w:tcPr>
          <w:p w14:paraId="2915A28B" w14:textId="234B788C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27BE9">
              <w:t>3.02</w:t>
            </w:r>
          </w:p>
        </w:tc>
        <w:tc>
          <w:tcPr>
            <w:tcW w:w="973" w:type="dxa"/>
          </w:tcPr>
          <w:p w14:paraId="3E0967AB" w14:textId="36CB351C" w:rsidR="000C3CC4" w:rsidRDefault="00145E27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527BE9">
              <w:t>9.8</w:t>
            </w:r>
            <w:r w:rsidR="000C3CC4"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09DAD54E" w14:textId="0D5D74B0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527BE9">
              <w:t>18.8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03CA719E" w14:textId="126D79B8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27BE9">
              <w:t>2.89</w:t>
            </w:r>
          </w:p>
        </w:tc>
        <w:tc>
          <w:tcPr>
            <w:tcW w:w="817" w:type="dxa"/>
          </w:tcPr>
          <w:p w14:paraId="08755E5E" w14:textId="10F36EE0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527BE9">
              <w:t>6.8</w:t>
            </w:r>
            <w:r>
              <w:t>%</w:t>
            </w:r>
          </w:p>
        </w:tc>
        <w:tc>
          <w:tcPr>
            <w:tcW w:w="899" w:type="dxa"/>
          </w:tcPr>
          <w:p w14:paraId="19B1F6D2" w14:textId="29B3CBE3" w:rsidR="000C3CC4" w:rsidRDefault="000C3CC4" w:rsidP="0067788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527BE9">
              <w:t>14.4</w:t>
            </w:r>
            <w:r>
              <w:t>%</w:t>
            </w:r>
          </w:p>
        </w:tc>
      </w:tr>
      <w:tr w:rsidR="0004266D" w14:paraId="7C18640F" w14:textId="5B569261" w:rsidTr="00677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gridSpan w:val="2"/>
          </w:tcPr>
          <w:p w14:paraId="47C97CE0" w14:textId="77777777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146" w:type="dxa"/>
          </w:tcPr>
          <w:p w14:paraId="17C86A08" w14:textId="395F1C6C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133971">
              <w:t>4.76</w:t>
            </w:r>
          </w:p>
        </w:tc>
        <w:tc>
          <w:tcPr>
            <w:tcW w:w="973" w:type="dxa"/>
          </w:tcPr>
          <w:p w14:paraId="7E986169" w14:textId="468BAAA9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133971">
              <w:t>8.3</w:t>
            </w:r>
            <w:r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36DDF54D" w14:textId="0D45BB6D" w:rsidR="0004266D" w:rsidRDefault="0004266D" w:rsidP="0048371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133971">
              <w:t>14.1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233A8701" w14:textId="5685DC36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133971">
              <w:t>4.61</w:t>
            </w:r>
          </w:p>
        </w:tc>
        <w:tc>
          <w:tcPr>
            <w:tcW w:w="817" w:type="dxa"/>
          </w:tcPr>
          <w:p w14:paraId="1759FD32" w14:textId="42161AC7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133971">
              <w:t>7.2</w:t>
            </w:r>
            <w:r>
              <w:t>%</w:t>
            </w:r>
          </w:p>
        </w:tc>
        <w:tc>
          <w:tcPr>
            <w:tcW w:w="899" w:type="dxa"/>
          </w:tcPr>
          <w:p w14:paraId="725313BE" w14:textId="50C9FAAC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133971">
              <w:t>11.7</w:t>
            </w:r>
            <w:r w:rsidR="00483711">
              <w:t>%</w:t>
            </w:r>
          </w:p>
        </w:tc>
      </w:tr>
    </w:tbl>
    <w:p w14:paraId="5CF68DB9" w14:textId="77777777" w:rsidR="00170260" w:rsidRDefault="00170260" w:rsidP="00170260">
      <w:pPr>
        <w:pStyle w:val="NoSpacing"/>
      </w:pPr>
    </w:p>
    <w:p w14:paraId="611C2D9A" w14:textId="460A14AC" w:rsidR="00170260" w:rsidRDefault="00E508BB" w:rsidP="00170260">
      <w:pPr>
        <w:pStyle w:val="NoSpacing"/>
      </w:pPr>
      <w:r>
        <w:t xml:space="preserve">Despite inflation, promotional </w:t>
      </w:r>
      <w:r w:rsidR="001D2675">
        <w:t>activity</w:t>
      </w:r>
      <w:r w:rsidR="00FF2D4A">
        <w:t xml:space="preserve"> remained low</w:t>
      </w:r>
      <w:r w:rsidR="00C9550B">
        <w:t xml:space="preserve"> for fresh mushrooms</w:t>
      </w:r>
      <w:r w:rsidR="00FF2D4A">
        <w:t xml:space="preserve">, at </w:t>
      </w:r>
      <w:r w:rsidR="00C71FDD">
        <w:t>15.6</w:t>
      </w:r>
      <w:r w:rsidR="00FF2D4A">
        <w:t xml:space="preserve">% of total dollars and </w:t>
      </w:r>
      <w:r w:rsidR="00C71FDD">
        <w:t>19.0</w:t>
      </w:r>
      <w:r w:rsidR="00FF2D4A">
        <w:t>%</w:t>
      </w:r>
      <w:r>
        <w:t xml:space="preserve"> of total pounds sold. Promotional levels </w:t>
      </w:r>
      <w:r w:rsidR="00C9550B">
        <w:t>for total fresh produce as well as total food and beverages are also up a bit year-on-year, but still below the 2019 pre-pandemic levels</w:t>
      </w:r>
      <w:r>
        <w:t xml:space="preserve">. </w:t>
      </w:r>
    </w:p>
    <w:p w14:paraId="363D2F2B" w14:textId="77777777" w:rsidR="00170260" w:rsidRDefault="00170260" w:rsidP="00170260">
      <w:pPr>
        <w:pStyle w:val="NoSpacing"/>
      </w:pPr>
    </w:p>
    <w:tbl>
      <w:tblPr>
        <w:tblStyle w:val="ListTable3-Accent2"/>
        <w:tblW w:w="9265" w:type="dxa"/>
        <w:tblLook w:val="04A0" w:firstRow="1" w:lastRow="0" w:firstColumn="1" w:lastColumn="0" w:noHBand="0" w:noVBand="1"/>
      </w:tblPr>
      <w:tblGrid>
        <w:gridCol w:w="3441"/>
        <w:gridCol w:w="179"/>
        <w:gridCol w:w="1235"/>
        <w:gridCol w:w="1260"/>
        <w:gridCol w:w="1890"/>
        <w:gridCol w:w="1260"/>
      </w:tblGrid>
      <w:tr w:rsidR="00972570" w:rsidRPr="00124CB7" w14:paraId="5DFB9CAB" w14:textId="77777777" w:rsidTr="00D97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41" w:type="dxa"/>
          </w:tcPr>
          <w:p w14:paraId="4168BC1A" w14:textId="77777777" w:rsidR="00972570" w:rsidRPr="00124CB7" w:rsidRDefault="00972570" w:rsidP="00FF6A85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14" w:type="dxa"/>
            <w:gridSpan w:val="2"/>
          </w:tcPr>
          <w:p w14:paraId="6A0500B8" w14:textId="7F164CA9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D1241B">
              <w:t>11/06</w:t>
            </w:r>
            <w:r w:rsidR="00F96C98">
              <w:t>/2022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CF9736D" w14:textId="77777777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413A4F70" w14:textId="1C80C100" w:rsidR="00972570" w:rsidRPr="00124CB7" w:rsidRDefault="0097257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Building CY thru </w:t>
            </w:r>
            <w:r w:rsidR="00D1241B">
              <w:t>11/06</w:t>
            </w:r>
            <w:r w:rsidR="00F96C98">
              <w:t>/2022</w:t>
            </w:r>
          </w:p>
        </w:tc>
        <w:tc>
          <w:tcPr>
            <w:tcW w:w="1260" w:type="dxa"/>
          </w:tcPr>
          <w:p w14:paraId="75064544" w14:textId="77777777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</w:tr>
      <w:tr w:rsidR="004A50D2" w14:paraId="3B76FFA3" w14:textId="78296325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2B5B6C81" w14:textId="6313A9FC" w:rsidR="004A50D2" w:rsidRDefault="004A50D2" w:rsidP="004A50D2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235" w:type="dxa"/>
          </w:tcPr>
          <w:p w14:paraId="6D5E5F03" w14:textId="2FCC4522" w:rsidR="004A50D2" w:rsidRPr="009B0330" w:rsidRDefault="00A53BAA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15.6</w:t>
            </w:r>
            <w:r w:rsidR="004A50D2" w:rsidRPr="009B0330">
              <w:t>%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86FECBD" w14:textId="6277F042" w:rsidR="004A50D2" w:rsidRPr="009B0330" w:rsidRDefault="004E6889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-0.0</w:t>
            </w:r>
            <w:r w:rsidR="004A50D2" w:rsidRPr="009B0330">
              <w:t>%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66CD7DD9" w14:textId="5CC28255" w:rsidR="004A50D2" w:rsidRPr="009B0330" w:rsidRDefault="00A53BAA" w:rsidP="009B033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15.5</w:t>
            </w:r>
            <w:r w:rsidR="004A50D2" w:rsidRPr="009B0330">
              <w:t>%</w:t>
            </w:r>
          </w:p>
        </w:tc>
        <w:tc>
          <w:tcPr>
            <w:tcW w:w="1260" w:type="dxa"/>
          </w:tcPr>
          <w:p w14:paraId="7461CDF6" w14:textId="2A27E6D8" w:rsidR="004A50D2" w:rsidRPr="009B0330" w:rsidRDefault="00677889" w:rsidP="00145E27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4E6889">
              <w:t>0.2</w:t>
            </w:r>
            <w:r w:rsidR="004A50D2" w:rsidRPr="009B0330">
              <w:t>%</w:t>
            </w:r>
          </w:p>
        </w:tc>
      </w:tr>
      <w:tr w:rsidR="004A50D2" w14:paraId="6BDC46F0" w14:textId="6B730DE2" w:rsidTr="00D97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5F39E628" w14:textId="6809D4FA" w:rsidR="004A50D2" w:rsidRDefault="004A50D2" w:rsidP="004A50D2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pounds sold on promotion</w:t>
            </w:r>
          </w:p>
        </w:tc>
        <w:tc>
          <w:tcPr>
            <w:tcW w:w="1235" w:type="dxa"/>
          </w:tcPr>
          <w:p w14:paraId="4B3F737B" w14:textId="205B7209" w:rsidR="004A50D2" w:rsidRPr="009B0330" w:rsidRDefault="00A53BAA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19.0</w:t>
            </w:r>
            <w:r w:rsidR="004A50D2" w:rsidRPr="009B0330">
              <w:t>%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C3E258D" w14:textId="72D3FA85" w:rsidR="004A50D2" w:rsidRPr="009B0330" w:rsidRDefault="004E6889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+9.1</w:t>
            </w:r>
            <w:r w:rsidR="004A50D2" w:rsidRPr="009B0330">
              <w:t>%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37E892BC" w14:textId="03A4FBDC" w:rsidR="004A50D2" w:rsidRPr="009B0330" w:rsidRDefault="00A53BAA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18.5</w:t>
            </w:r>
            <w:r w:rsidR="004A50D2" w:rsidRPr="009B0330">
              <w:t>%</w:t>
            </w:r>
          </w:p>
        </w:tc>
        <w:tc>
          <w:tcPr>
            <w:tcW w:w="1260" w:type="dxa"/>
          </w:tcPr>
          <w:p w14:paraId="7052050B" w14:textId="36B5F29B" w:rsidR="004A50D2" w:rsidRPr="009B0330" w:rsidRDefault="00677889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4E6889">
              <w:t>3.2</w:t>
            </w:r>
            <w:r w:rsidR="004A50D2" w:rsidRPr="009B0330">
              <w:t>%</w:t>
            </w:r>
          </w:p>
        </w:tc>
      </w:tr>
    </w:tbl>
    <w:p w14:paraId="23606064" w14:textId="4457D6A6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A657C4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D1241B">
        <w:rPr>
          <w:color w:val="7F7F7F" w:themeColor="text1" w:themeTint="80"/>
          <w:sz w:val="16"/>
          <w:szCs w:val="16"/>
        </w:rPr>
        <w:t>11/06</w:t>
      </w:r>
      <w:r w:rsidR="00F96C98">
        <w:rPr>
          <w:color w:val="7F7F7F" w:themeColor="text1" w:themeTint="80"/>
          <w:sz w:val="16"/>
          <w:szCs w:val="16"/>
        </w:rPr>
        <w:t>/2022</w:t>
      </w:r>
    </w:p>
    <w:p w14:paraId="6CBB9CA7" w14:textId="00F915EB" w:rsidR="0094219B" w:rsidRDefault="0094219B" w:rsidP="00472B02">
      <w:pPr>
        <w:pStyle w:val="NoSpacing"/>
      </w:pPr>
    </w:p>
    <w:p w14:paraId="6ECA980F" w14:textId="1C95F143" w:rsidR="005C6AEE" w:rsidRPr="00927EAC" w:rsidRDefault="005C6AEE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Performance by segment</w:t>
      </w:r>
    </w:p>
    <w:p w14:paraId="3F555681" w14:textId="1343F52C" w:rsidR="00927EAC" w:rsidRDefault="004B7951" w:rsidP="00927EAC">
      <w:pPr>
        <w:pStyle w:val="NoSpacing"/>
      </w:pPr>
      <w:r>
        <w:t>W</w:t>
      </w:r>
      <w:r w:rsidR="00927EAC">
        <w:t>hite mushrooms represent</w:t>
      </w:r>
      <w:r w:rsidR="00461D8C">
        <w:t>ed</w:t>
      </w:r>
      <w:r w:rsidR="00927EAC">
        <w:t xml:space="preserve"> </w:t>
      </w:r>
      <w:r w:rsidR="00B562D5">
        <w:t>50.8</w:t>
      </w:r>
      <w:r w:rsidR="00927EAC">
        <w:t xml:space="preserve">% of total fresh mushroom sales and </w:t>
      </w:r>
      <w:r w:rsidR="00B562D5">
        <w:t>58.0</w:t>
      </w:r>
      <w:r w:rsidR="00927EAC">
        <w:t>% of pounds</w:t>
      </w:r>
      <w:r w:rsidR="00AC2C09">
        <w:t xml:space="preserve"> in</w:t>
      </w:r>
      <w:r>
        <w:t xml:space="preserve"> the four</w:t>
      </w:r>
      <w:r w:rsidR="00461D8C">
        <w:t>-week period</w:t>
      </w:r>
      <w:r w:rsidR="00927EAC">
        <w:t xml:space="preserve">. </w:t>
      </w:r>
      <w:r>
        <w:t xml:space="preserve">However, it was brown </w:t>
      </w:r>
      <w:r w:rsidR="00B25DFD">
        <w:t>mushrooms</w:t>
      </w:r>
      <w:r>
        <w:t>, the combination of cr</w:t>
      </w:r>
      <w:r w:rsidR="002437CE">
        <w:t>i</w:t>
      </w:r>
      <w:r>
        <w:t>minis and portabellas, that</w:t>
      </w:r>
      <w:r w:rsidR="00B25DFD">
        <w:t xml:space="preserve"> </w:t>
      </w:r>
      <w:r>
        <w:t>fared better</w:t>
      </w:r>
      <w:r w:rsidR="00CB4067">
        <w:t xml:space="preserve"> with </w:t>
      </w:r>
      <w:r w:rsidR="00632993">
        <w:t>9.5</w:t>
      </w:r>
      <w:r w:rsidR="00CB4067">
        <w:t>% pound growth over the 2019 levels</w:t>
      </w:r>
      <w:r w:rsidR="00EB30C7">
        <w:t xml:space="preserve">, whereas white mushrooms were down </w:t>
      </w:r>
      <w:r w:rsidR="00B562D5">
        <w:t>14.2</w:t>
      </w:r>
      <w:r w:rsidR="00EB30C7">
        <w:t>%</w:t>
      </w:r>
      <w:r w:rsidR="00CB4067">
        <w:t xml:space="preserve">. </w:t>
      </w:r>
    </w:p>
    <w:p w14:paraId="29B3DB23" w14:textId="73EA9AE3" w:rsidR="00B25DFD" w:rsidRDefault="00B25DFD" w:rsidP="00927EAC">
      <w:pPr>
        <w:pStyle w:val="NoSpacing"/>
      </w:pPr>
    </w:p>
    <w:tbl>
      <w:tblPr>
        <w:tblStyle w:val="ListTable3-Accent2"/>
        <w:tblW w:w="10615" w:type="dxa"/>
        <w:tblLook w:val="0400" w:firstRow="0" w:lastRow="0" w:firstColumn="0" w:lastColumn="0" w:noHBand="0" w:noVBand="1"/>
      </w:tblPr>
      <w:tblGrid>
        <w:gridCol w:w="2821"/>
        <w:gridCol w:w="1025"/>
        <w:gridCol w:w="882"/>
        <w:gridCol w:w="1011"/>
        <w:gridCol w:w="989"/>
        <w:gridCol w:w="927"/>
        <w:gridCol w:w="890"/>
        <w:gridCol w:w="1080"/>
        <w:gridCol w:w="990"/>
      </w:tblGrid>
      <w:tr w:rsidR="00D8225F" w:rsidRPr="00B25DFD" w14:paraId="66036A96" w14:textId="09558220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shd w:val="clear" w:color="auto" w:fill="ED7D31" w:themeFill="accent2"/>
            <w:vAlign w:val="center"/>
            <w:hideMark/>
          </w:tcPr>
          <w:p w14:paraId="4B138C18" w14:textId="3F4EFE7B" w:rsidR="00461D8C" w:rsidRPr="006A7A6E" w:rsidRDefault="00461D8C" w:rsidP="00CE27CF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97115006"/>
            <w:r w:rsidRPr="006A7A6E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D1241B">
              <w:rPr>
                <w:rFonts w:cstheme="minorHAnsi"/>
                <w:b/>
                <w:bCs/>
                <w:color w:val="FFFFFF" w:themeColor="background1"/>
              </w:rPr>
              <w:t>11/06</w:t>
            </w:r>
            <w:r w:rsidR="00F96C98">
              <w:rPr>
                <w:rFonts w:cstheme="minorHAnsi"/>
                <w:b/>
                <w:bCs/>
                <w:color w:val="FFFFFF" w:themeColor="background1"/>
              </w:rPr>
              <w:t>/2022</w:t>
            </w:r>
          </w:p>
        </w:tc>
        <w:tc>
          <w:tcPr>
            <w:tcW w:w="1025" w:type="dxa"/>
            <w:shd w:val="clear" w:color="auto" w:fill="ED7D31" w:themeFill="accent2"/>
            <w:hideMark/>
          </w:tcPr>
          <w:p w14:paraId="47F253CD" w14:textId="6F53405A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ED7D31" w:themeFill="accent2"/>
          </w:tcPr>
          <w:p w14:paraId="385A94D8" w14:textId="1A4D75AA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Dollar 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11" w:type="dxa"/>
            <w:shd w:val="clear" w:color="auto" w:fill="ED7D31" w:themeFill="accent2"/>
            <w:hideMark/>
          </w:tcPr>
          <w:p w14:paraId="3685CC92" w14:textId="483D67A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2021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shd w:val="clear" w:color="auto" w:fill="ED7D31" w:themeFill="accent2"/>
            <w:hideMark/>
          </w:tcPr>
          <w:p w14:paraId="4605C27F" w14:textId="65D7CC71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</w:t>
            </w:r>
            <w:r w:rsidR="00EF25E4">
              <w:rPr>
                <w:rFonts w:cstheme="minorHAnsi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shd w:val="clear" w:color="auto" w:fill="ED7D31" w:themeFill="accent2"/>
          </w:tcPr>
          <w:p w14:paraId="306DC338" w14:textId="78470F88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Volume</w:t>
            </w:r>
            <w:r w:rsidR="00D8225F">
              <w:rPr>
                <w:rFonts w:cstheme="minorHAnsi"/>
                <w:b/>
                <w:bCs/>
                <w:color w:val="FFFFFF" w:themeColor="background1"/>
              </w:rPr>
              <w:t xml:space="preserve"> (lbs)</w:t>
            </w:r>
          </w:p>
        </w:tc>
        <w:tc>
          <w:tcPr>
            <w:tcW w:w="890" w:type="dxa"/>
            <w:shd w:val="clear" w:color="auto" w:fill="ED7D31" w:themeFill="accent2"/>
          </w:tcPr>
          <w:p w14:paraId="782C6C5A" w14:textId="3EB1CA01" w:rsidR="00D8225F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</w:p>
          <w:p w14:paraId="60FA614A" w14:textId="53D1140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80" w:type="dxa"/>
            <w:shd w:val="clear" w:color="auto" w:fill="ED7D31" w:themeFill="accent2"/>
          </w:tcPr>
          <w:p w14:paraId="7DE6FAA8" w14:textId="682B1B76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Lbs </w:t>
            </w:r>
            <w:r>
              <w:rPr>
                <w:rFonts w:cstheme="minorHAnsi"/>
                <w:b/>
                <w:bCs/>
                <w:color w:val="FFFFFF" w:themeColor="background1"/>
              </w:rPr>
              <w:br/>
              <w:t>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2021</w:t>
            </w:r>
          </w:p>
        </w:tc>
        <w:tc>
          <w:tcPr>
            <w:tcW w:w="990" w:type="dxa"/>
            <w:shd w:val="clear" w:color="auto" w:fill="ED7D31" w:themeFill="accent2"/>
          </w:tcPr>
          <w:p w14:paraId="212AEB88" w14:textId="563D5342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</w:t>
            </w:r>
            <w:r w:rsidR="00EF25E4">
              <w:rPr>
                <w:rFonts w:cstheme="minorHAnsi"/>
                <w:b/>
                <w:bCs/>
                <w:color w:val="FFFFFF" w:themeColor="background1"/>
              </w:rPr>
              <w:t>19</w:t>
            </w:r>
          </w:p>
        </w:tc>
      </w:tr>
      <w:tr w:rsidR="00D8225F" w:rsidRPr="00B25DFD" w14:paraId="69D4AA5B" w14:textId="069A747C" w:rsidTr="00D97BC7">
        <w:trPr>
          <w:trHeight w:val="20"/>
        </w:trPr>
        <w:tc>
          <w:tcPr>
            <w:tcW w:w="2821" w:type="dxa"/>
            <w:vAlign w:val="center"/>
            <w:hideMark/>
          </w:tcPr>
          <w:p w14:paraId="2C1CDE46" w14:textId="178D4679" w:rsidR="00461D8C" w:rsidRPr="006A7A6E" w:rsidRDefault="00461D8C" w:rsidP="002F23A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f</w:t>
            </w:r>
            <w:r w:rsidRPr="006A7A6E">
              <w:rPr>
                <w:rFonts w:cstheme="minorHAnsi"/>
                <w:b/>
                <w:bCs/>
              </w:rPr>
              <w:t>resh mushrooms</w:t>
            </w:r>
          </w:p>
        </w:tc>
        <w:tc>
          <w:tcPr>
            <w:tcW w:w="1025" w:type="dxa"/>
            <w:hideMark/>
          </w:tcPr>
          <w:p w14:paraId="6A87FED7" w14:textId="742D2E0D" w:rsidR="00461D8C" w:rsidRPr="006A7A6E" w:rsidRDefault="00461D8C" w:rsidP="00677889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224A21">
              <w:rPr>
                <w:rFonts w:cstheme="minorHAnsi"/>
                <w:b/>
                <w:bCs/>
                <w:color w:val="000000" w:themeColor="text1"/>
              </w:rPr>
              <w:t>92.9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3A01C257" w14:textId="24B0AF48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100.0%</w:t>
            </w:r>
          </w:p>
        </w:tc>
        <w:tc>
          <w:tcPr>
            <w:tcW w:w="1011" w:type="dxa"/>
            <w:hideMark/>
          </w:tcPr>
          <w:p w14:paraId="7E486F05" w14:textId="6553A65E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224A21">
              <w:rPr>
                <w:rFonts w:cstheme="minorHAnsi"/>
                <w:b/>
                <w:bCs/>
                <w:color w:val="000000" w:themeColor="text1"/>
              </w:rPr>
              <w:t>2.8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3BD808C1" w14:textId="5B021385" w:rsidR="00461D8C" w:rsidRPr="006A7A6E" w:rsidRDefault="009D5574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+</w:t>
            </w:r>
            <w:r w:rsidR="00224A21">
              <w:rPr>
                <w:rFonts w:cstheme="minorHAnsi"/>
                <w:b/>
                <w:bCs/>
                <w:color w:val="000000" w:themeColor="text1"/>
              </w:rPr>
              <w:t>7.5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E7375BC" w14:textId="6687C58D" w:rsidR="00461D8C" w:rsidRPr="006A7A6E" w:rsidRDefault="00224A21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19.5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62317D86" w14:textId="460A43AB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100.0%</w:t>
            </w:r>
          </w:p>
        </w:tc>
        <w:tc>
          <w:tcPr>
            <w:tcW w:w="1080" w:type="dxa"/>
          </w:tcPr>
          <w:p w14:paraId="5E78B271" w14:textId="33C05AE1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224A21">
              <w:rPr>
                <w:rFonts w:cstheme="minorHAnsi"/>
                <w:b/>
                <w:bCs/>
                <w:color w:val="000000" w:themeColor="text1"/>
              </w:rPr>
              <w:t>10.2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576290B6" w14:textId="7FB4587D" w:rsidR="00461D8C" w:rsidRPr="006A7A6E" w:rsidRDefault="006F1F55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224A21">
              <w:rPr>
                <w:rFonts w:cstheme="minorHAnsi"/>
                <w:b/>
                <w:bCs/>
                <w:color w:val="000000" w:themeColor="text1"/>
              </w:rPr>
              <w:t>5.8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04266D" w:rsidRPr="00B25DFD" w14:paraId="20B4A675" w14:textId="7B567306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vAlign w:val="center"/>
            <w:hideMark/>
          </w:tcPr>
          <w:p w14:paraId="0674F69D" w14:textId="21733F06" w:rsidR="0004266D" w:rsidRPr="006A7A6E" w:rsidRDefault="0004266D" w:rsidP="0004266D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White mushrooms</w:t>
            </w:r>
          </w:p>
        </w:tc>
        <w:tc>
          <w:tcPr>
            <w:tcW w:w="1025" w:type="dxa"/>
            <w:hideMark/>
          </w:tcPr>
          <w:p w14:paraId="502595AA" w14:textId="363E3C26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224A21">
              <w:rPr>
                <w:rFonts w:cstheme="minorHAnsi"/>
                <w:color w:val="000000" w:themeColor="text1"/>
              </w:rPr>
              <w:t>47.2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5E770B3E" w14:textId="55490D1F" w:rsidR="0004266D" w:rsidRPr="00337F18" w:rsidRDefault="00AA721E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50.8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4CEB702D" w14:textId="3942EA28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224A21">
              <w:rPr>
                <w:rFonts w:cstheme="minorHAnsi"/>
                <w:color w:val="000000" w:themeColor="text1"/>
              </w:rPr>
              <w:t>8.4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7F3B4AE1" w14:textId="2A90C9FE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224A21">
              <w:rPr>
                <w:rFonts w:cstheme="minorHAnsi"/>
                <w:color w:val="000000" w:themeColor="text1"/>
              </w:rPr>
              <w:t>3.5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3E87B660" w14:textId="27CC2E33" w:rsidR="0004266D" w:rsidRPr="0004266D" w:rsidRDefault="00224A21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11.3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4385ED4A" w14:textId="75E5EA24" w:rsidR="0004266D" w:rsidRPr="00337F18" w:rsidRDefault="00224A21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58.0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80" w:type="dxa"/>
          </w:tcPr>
          <w:p w14:paraId="776C4AD3" w14:textId="239C5EA3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224A21">
              <w:rPr>
                <w:rFonts w:cstheme="minorHAnsi"/>
                <w:color w:val="000000" w:themeColor="text1"/>
              </w:rPr>
              <w:t>14.4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107F8B93" w14:textId="7D5101BB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224A21">
              <w:rPr>
                <w:rFonts w:cstheme="minorHAnsi"/>
                <w:color w:val="000000" w:themeColor="text1"/>
              </w:rPr>
              <w:t>14.2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04266D" w:rsidRPr="00B25DFD" w14:paraId="6060C93B" w14:textId="081A30E4" w:rsidTr="00D97BC7">
        <w:trPr>
          <w:trHeight w:val="20"/>
        </w:trPr>
        <w:tc>
          <w:tcPr>
            <w:tcW w:w="2821" w:type="dxa"/>
            <w:vAlign w:val="center"/>
            <w:hideMark/>
          </w:tcPr>
          <w:p w14:paraId="4D628EC6" w14:textId="7F1F9492" w:rsidR="0004266D" w:rsidRPr="006A7A6E" w:rsidRDefault="0004266D" w:rsidP="0004266D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Brown mushrooms</w:t>
            </w:r>
          </w:p>
        </w:tc>
        <w:tc>
          <w:tcPr>
            <w:tcW w:w="1025" w:type="dxa"/>
            <w:hideMark/>
          </w:tcPr>
          <w:p w14:paraId="590C2B94" w14:textId="318CAD3C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224A21">
              <w:rPr>
                <w:rFonts w:cstheme="minorHAnsi"/>
                <w:color w:val="000000" w:themeColor="text1"/>
              </w:rPr>
              <w:t>40.0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02395440" w14:textId="50CC5D6F" w:rsidR="0004266D" w:rsidRPr="00337F18" w:rsidRDefault="00AA721E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43.1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42F0AAF3" w14:textId="727611AE" w:rsidR="0004266D" w:rsidRPr="0004266D" w:rsidRDefault="00224A21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+3.6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25DB127B" w14:textId="242898D4" w:rsidR="0004266D" w:rsidRPr="0004266D" w:rsidRDefault="009D5574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224A21">
              <w:rPr>
                <w:rFonts w:cstheme="minorHAnsi"/>
                <w:color w:val="000000" w:themeColor="text1"/>
              </w:rPr>
              <w:t>22.2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FD24DED" w14:textId="512B83D8" w:rsidR="0004266D" w:rsidRPr="0004266D" w:rsidRDefault="00224A21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7.8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39529C18" w14:textId="0F516B73" w:rsidR="0004266D" w:rsidRPr="00337F18" w:rsidRDefault="00224A21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39.9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80" w:type="dxa"/>
          </w:tcPr>
          <w:p w14:paraId="720478A7" w14:textId="45848551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224A21">
              <w:rPr>
                <w:rFonts w:cstheme="minorHAnsi"/>
                <w:color w:val="000000" w:themeColor="text1"/>
              </w:rPr>
              <w:t>4.1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30958CBD" w14:textId="6FFA8251" w:rsidR="0004266D" w:rsidRPr="0004266D" w:rsidRDefault="009D5574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224A21">
              <w:rPr>
                <w:rFonts w:cstheme="minorHAnsi"/>
                <w:color w:val="000000" w:themeColor="text1"/>
              </w:rPr>
              <w:t>9.5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04266D" w:rsidRPr="00B25DFD" w14:paraId="2B6B448E" w14:textId="7445020D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vAlign w:val="center"/>
            <w:hideMark/>
          </w:tcPr>
          <w:p w14:paraId="7C14C062" w14:textId="0BCE1D26" w:rsidR="0004266D" w:rsidRPr="006A7A6E" w:rsidRDefault="0004266D" w:rsidP="000426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Specialty </w:t>
            </w:r>
            <w:r w:rsidRPr="006A7A6E">
              <w:rPr>
                <w:rFonts w:cstheme="minorHAnsi"/>
              </w:rPr>
              <w:t>mushrooms</w:t>
            </w:r>
          </w:p>
        </w:tc>
        <w:tc>
          <w:tcPr>
            <w:tcW w:w="1025" w:type="dxa"/>
            <w:hideMark/>
          </w:tcPr>
          <w:p w14:paraId="43257BA5" w14:textId="4802D1A8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224A21">
              <w:rPr>
                <w:rFonts w:cstheme="minorHAnsi"/>
                <w:color w:val="000000" w:themeColor="text1"/>
              </w:rPr>
              <w:t>5.7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7EC04D31" w14:textId="6A977D63" w:rsidR="0004266D" w:rsidRPr="00337F18" w:rsidRDefault="00AA721E" w:rsidP="00337F1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6.1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10052F27" w14:textId="5EF7D904" w:rsidR="0004266D" w:rsidRPr="0004266D" w:rsidRDefault="00224A21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+5.2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31EEA636" w14:textId="3A19B665" w:rsidR="0004266D" w:rsidRPr="0004266D" w:rsidRDefault="009D5574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224A21">
              <w:rPr>
                <w:rFonts w:cstheme="minorHAnsi"/>
                <w:color w:val="000000" w:themeColor="text1"/>
              </w:rPr>
              <w:t>19.0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166CB34C" w14:textId="1ECC1E3A" w:rsidR="0004266D" w:rsidRPr="0004266D" w:rsidRDefault="00224A21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0.4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417DE33D" w14:textId="13D2B19D" w:rsidR="0004266D" w:rsidRPr="00337F18" w:rsidRDefault="00224A21" w:rsidP="00337F1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2.1</w:t>
            </w:r>
            <w:r w:rsidR="00337F18" w:rsidRPr="00337F18">
              <w:rPr>
                <w:rFonts w:cstheme="minorHAnsi"/>
              </w:rPr>
              <w:t>%</w:t>
            </w:r>
          </w:p>
        </w:tc>
        <w:tc>
          <w:tcPr>
            <w:tcW w:w="1080" w:type="dxa"/>
          </w:tcPr>
          <w:p w14:paraId="632726C6" w14:textId="3AC12310" w:rsidR="0004266D" w:rsidRPr="0004266D" w:rsidRDefault="00224A21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+3.8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700774A9" w14:textId="29250528" w:rsidR="0004266D" w:rsidRPr="0004266D" w:rsidRDefault="009D5574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224A21">
              <w:rPr>
                <w:rFonts w:cstheme="minorHAnsi"/>
                <w:color w:val="000000" w:themeColor="text1"/>
              </w:rPr>
              <w:t>0.5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bookmarkEnd w:id="0"/>
    <w:p w14:paraId="45617577" w14:textId="23D32FAE" w:rsidR="00555250" w:rsidRPr="00555250" w:rsidRDefault="00555250" w:rsidP="00782D09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D1241B">
        <w:rPr>
          <w:color w:val="7F7F7F" w:themeColor="text1" w:themeTint="80"/>
          <w:sz w:val="16"/>
          <w:szCs w:val="16"/>
        </w:rPr>
        <w:t>11/06</w:t>
      </w:r>
      <w:r w:rsidR="00F96C98">
        <w:rPr>
          <w:color w:val="7F7F7F" w:themeColor="text1" w:themeTint="80"/>
          <w:sz w:val="16"/>
          <w:szCs w:val="16"/>
        </w:rPr>
        <w:t>/2022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4462C1" w:rsidRDefault="004C2808" w:rsidP="004462C1">
      <w:pPr>
        <w:pStyle w:val="Heading2"/>
        <w:rPr>
          <w:b/>
          <w:bCs/>
          <w:color w:val="ED7D31" w:themeColor="accent2"/>
        </w:rPr>
      </w:pPr>
      <w:r w:rsidRPr="004462C1">
        <w:rPr>
          <w:b/>
          <w:bCs/>
          <w:color w:val="ED7D31" w:themeColor="accent2"/>
        </w:rPr>
        <w:t>Additional observations:</w:t>
      </w:r>
    </w:p>
    <w:p w14:paraId="5AD5C74D" w14:textId="61CB84AF" w:rsidR="00D81FBA" w:rsidRDefault="005B6968" w:rsidP="00C81CBF">
      <w:pPr>
        <w:pStyle w:val="NoSpacing"/>
        <w:numPr>
          <w:ilvl w:val="0"/>
          <w:numId w:val="2"/>
        </w:numPr>
      </w:pPr>
      <w:r>
        <w:rPr>
          <w:u w:val="single"/>
        </w:rPr>
        <w:t>Packaged vs. bulk</w:t>
      </w:r>
      <w:r w:rsidR="00D81FBA" w:rsidRPr="00D81FBA">
        <w:t>:</w:t>
      </w:r>
      <w:r w:rsidR="00D81FBA">
        <w:t xml:space="preserve"> </w:t>
      </w:r>
      <w:r>
        <w:t>P</w:t>
      </w:r>
      <w:r w:rsidR="000A4146">
        <w:t xml:space="preserve">re-packaged </w:t>
      </w:r>
      <w:r w:rsidR="00677889">
        <w:t xml:space="preserve">represented </w:t>
      </w:r>
      <w:r w:rsidR="00030ABF">
        <w:t>95.5</w:t>
      </w:r>
      <w:r w:rsidRPr="00D66EF8">
        <w:t>%</w:t>
      </w:r>
      <w:r w:rsidRPr="00C71FDD">
        <w:rPr>
          <w:color w:val="FF0000"/>
        </w:rPr>
        <w:t xml:space="preserve"> </w:t>
      </w:r>
      <w:r>
        <w:t>of pounds and outperformed bulk in dollars/pounds.</w:t>
      </w:r>
    </w:p>
    <w:p w14:paraId="22421914" w14:textId="79EEAA2E" w:rsidR="00C9550B" w:rsidRDefault="00C9550B" w:rsidP="00174F0E">
      <w:pPr>
        <w:pStyle w:val="NoSpacing"/>
        <w:numPr>
          <w:ilvl w:val="0"/>
          <w:numId w:val="2"/>
        </w:numPr>
      </w:pPr>
      <w:r w:rsidRPr="00C9550B">
        <w:rPr>
          <w:u w:val="single"/>
        </w:rPr>
        <w:t>Package size</w:t>
      </w:r>
      <w:r w:rsidRPr="003045B7">
        <w:t>:</w:t>
      </w:r>
      <w:r>
        <w:t xml:space="preserve"> Eight-ounce packages are, by far, the biggest seller and </w:t>
      </w:r>
      <w:r w:rsidR="00030ABF">
        <w:t>is outperforming 16 ounces in growth</w:t>
      </w:r>
      <w:r>
        <w:t>.</w:t>
      </w:r>
    </w:p>
    <w:p w14:paraId="0C66834A" w14:textId="4557B7B4" w:rsidR="00EB30C7" w:rsidRDefault="004462C1" w:rsidP="00174F0E">
      <w:pPr>
        <w:pStyle w:val="NoSpacing"/>
        <w:numPr>
          <w:ilvl w:val="0"/>
          <w:numId w:val="2"/>
        </w:numPr>
      </w:pPr>
      <w:r w:rsidRPr="00C9550B">
        <w:rPr>
          <w:u w:val="single"/>
        </w:rPr>
        <w:t>Organic vs</w:t>
      </w:r>
      <w:r w:rsidR="005B6968" w:rsidRPr="00C9550B">
        <w:rPr>
          <w:u w:val="single"/>
        </w:rPr>
        <w:t>.</w:t>
      </w:r>
      <w:r w:rsidRPr="00C9550B">
        <w:rPr>
          <w:u w:val="single"/>
        </w:rPr>
        <w:t xml:space="preserve"> conventional</w:t>
      </w:r>
      <w:r w:rsidRPr="004462C1">
        <w:t>:</w:t>
      </w:r>
      <w:r>
        <w:t xml:space="preserve"> Organic </w:t>
      </w:r>
      <w:r w:rsidR="005B6968">
        <w:t xml:space="preserve">mushrooms </w:t>
      </w:r>
      <w:r>
        <w:t xml:space="preserve">made up </w:t>
      </w:r>
      <w:r w:rsidR="00621E2A">
        <w:t>11.3</w:t>
      </w:r>
      <w:r>
        <w:t xml:space="preserve">% of </w:t>
      </w:r>
      <w:r w:rsidR="00BE7EF2">
        <w:t xml:space="preserve">pounds </w:t>
      </w:r>
      <w:r w:rsidR="00C9550B">
        <w:t>but far outperformed conventional mushrooms in performance</w:t>
      </w:r>
      <w:r w:rsidR="005B6968">
        <w:t xml:space="preserve"> in dollars, units and volume. </w:t>
      </w:r>
    </w:p>
    <w:p w14:paraId="3D702F4A" w14:textId="23C227F3" w:rsidR="003045B7" w:rsidRDefault="004462C1" w:rsidP="00C81CBF">
      <w:pPr>
        <w:pStyle w:val="NoSpacing"/>
        <w:numPr>
          <w:ilvl w:val="0"/>
          <w:numId w:val="2"/>
        </w:numPr>
      </w:pPr>
      <w:r w:rsidRPr="00EB30C7">
        <w:rPr>
          <w:u w:val="single"/>
        </w:rPr>
        <w:t>Cut/prepared versus whole mushrooms</w:t>
      </w:r>
      <w:r>
        <w:t xml:space="preserve">: </w:t>
      </w:r>
      <w:r w:rsidR="0090410F">
        <w:t>Cut</w:t>
      </w:r>
      <w:r w:rsidR="00BE7EF2">
        <w:t xml:space="preserve"> or prepared mushrooms made up </w:t>
      </w:r>
      <w:r w:rsidR="00A96E20">
        <w:t>48.8</w:t>
      </w:r>
      <w:r w:rsidR="0090410F">
        <w:t xml:space="preserve">% of </w:t>
      </w:r>
      <w:r w:rsidR="00C9550B">
        <w:t xml:space="preserve">pound </w:t>
      </w:r>
      <w:r w:rsidR="0090410F">
        <w:t xml:space="preserve">sales in </w:t>
      </w:r>
      <w:r w:rsidR="00BF5D9C">
        <w:t>the four</w:t>
      </w:r>
      <w:r w:rsidR="00461D8C">
        <w:t>-week period</w:t>
      </w:r>
      <w:r w:rsidR="00A51F5B">
        <w:t>. Mushrooms without preparation had the better performance</w:t>
      </w:r>
      <w:r w:rsidR="00347E3A">
        <w:t>.</w:t>
      </w:r>
    </w:p>
    <w:p w14:paraId="5DBFDF80" w14:textId="57CA6816" w:rsidR="00B34EF7" w:rsidRPr="00B34EF7" w:rsidRDefault="00782D09" w:rsidP="00C9550B">
      <w:pPr>
        <w:pStyle w:val="NoSpacing"/>
      </w:pPr>
      <w:r w:rsidRPr="00EB30C7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4B7951" w:rsidRPr="00EB30C7">
        <w:rPr>
          <w:color w:val="7F7F7F" w:themeColor="text1" w:themeTint="80"/>
          <w:sz w:val="16"/>
          <w:szCs w:val="16"/>
        </w:rPr>
        <w:t>4</w:t>
      </w:r>
      <w:r w:rsidRPr="00EB30C7">
        <w:rPr>
          <w:color w:val="7F7F7F" w:themeColor="text1" w:themeTint="80"/>
          <w:sz w:val="16"/>
          <w:szCs w:val="16"/>
        </w:rPr>
        <w:t xml:space="preserve"> weeks ending </w:t>
      </w:r>
      <w:r w:rsidR="00D1241B">
        <w:rPr>
          <w:color w:val="7F7F7F" w:themeColor="text1" w:themeTint="80"/>
          <w:sz w:val="16"/>
          <w:szCs w:val="16"/>
        </w:rPr>
        <w:t>11/06</w:t>
      </w:r>
      <w:r w:rsidR="00F96C98">
        <w:rPr>
          <w:color w:val="7F7F7F" w:themeColor="text1" w:themeTint="80"/>
          <w:sz w:val="16"/>
          <w:szCs w:val="16"/>
        </w:rPr>
        <w:t>/2022</w:t>
      </w:r>
      <w:r w:rsidR="00B34EF7">
        <w:t xml:space="preserve"> </w:t>
      </w:r>
    </w:p>
    <w:sectPr w:rsidR="00B34EF7" w:rsidRPr="00B34EF7" w:rsidSect="005049A9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C3B04"/>
    <w:multiLevelType w:val="hybridMultilevel"/>
    <w:tmpl w:val="7F3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39032F"/>
    <w:multiLevelType w:val="hybridMultilevel"/>
    <w:tmpl w:val="2C6C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BC79E5"/>
    <w:multiLevelType w:val="hybridMultilevel"/>
    <w:tmpl w:val="36A2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950448">
    <w:abstractNumId w:val="1"/>
  </w:num>
  <w:num w:numId="2" w16cid:durableId="1109274676">
    <w:abstractNumId w:val="2"/>
  </w:num>
  <w:num w:numId="3" w16cid:durableId="290675608">
    <w:abstractNumId w:val="3"/>
  </w:num>
  <w:num w:numId="4" w16cid:durableId="323970563">
    <w:abstractNumId w:val="0"/>
  </w:num>
  <w:num w:numId="5" w16cid:durableId="1175150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F7"/>
    <w:rsid w:val="00030ABF"/>
    <w:rsid w:val="0004266D"/>
    <w:rsid w:val="0005390A"/>
    <w:rsid w:val="0007328F"/>
    <w:rsid w:val="000809C3"/>
    <w:rsid w:val="00085F10"/>
    <w:rsid w:val="000A4146"/>
    <w:rsid w:val="000C29FA"/>
    <w:rsid w:val="000C3CC4"/>
    <w:rsid w:val="000D7A79"/>
    <w:rsid w:val="000E2A1D"/>
    <w:rsid w:val="000E61FF"/>
    <w:rsid w:val="001119BD"/>
    <w:rsid w:val="00113A33"/>
    <w:rsid w:val="00124C8B"/>
    <w:rsid w:val="00124CB7"/>
    <w:rsid w:val="00133971"/>
    <w:rsid w:val="00145E27"/>
    <w:rsid w:val="00164656"/>
    <w:rsid w:val="00170260"/>
    <w:rsid w:val="001A4D44"/>
    <w:rsid w:val="001A601E"/>
    <w:rsid w:val="001B762B"/>
    <w:rsid w:val="001D2675"/>
    <w:rsid w:val="00224A21"/>
    <w:rsid w:val="00240137"/>
    <w:rsid w:val="002437CE"/>
    <w:rsid w:val="00276C09"/>
    <w:rsid w:val="00281498"/>
    <w:rsid w:val="00283DB2"/>
    <w:rsid w:val="00291F75"/>
    <w:rsid w:val="002B7E48"/>
    <w:rsid w:val="002F23A1"/>
    <w:rsid w:val="003045B7"/>
    <w:rsid w:val="00322039"/>
    <w:rsid w:val="00337F18"/>
    <w:rsid w:val="00347E3A"/>
    <w:rsid w:val="00362BB1"/>
    <w:rsid w:val="00396448"/>
    <w:rsid w:val="003C1DD2"/>
    <w:rsid w:val="003C72DD"/>
    <w:rsid w:val="003D3BDA"/>
    <w:rsid w:val="003D6A0F"/>
    <w:rsid w:val="003E61D0"/>
    <w:rsid w:val="00403666"/>
    <w:rsid w:val="00417945"/>
    <w:rsid w:val="004462C1"/>
    <w:rsid w:val="00451263"/>
    <w:rsid w:val="00455F77"/>
    <w:rsid w:val="0045625B"/>
    <w:rsid w:val="00461D8C"/>
    <w:rsid w:val="00467FB5"/>
    <w:rsid w:val="00472B02"/>
    <w:rsid w:val="0047570E"/>
    <w:rsid w:val="00476C12"/>
    <w:rsid w:val="00483711"/>
    <w:rsid w:val="004A3A95"/>
    <w:rsid w:val="004A50D2"/>
    <w:rsid w:val="004B6371"/>
    <w:rsid w:val="004B7951"/>
    <w:rsid w:val="004C2808"/>
    <w:rsid w:val="004E6889"/>
    <w:rsid w:val="00504377"/>
    <w:rsid w:val="005049A9"/>
    <w:rsid w:val="00525F06"/>
    <w:rsid w:val="00527BE9"/>
    <w:rsid w:val="0054182D"/>
    <w:rsid w:val="00541AFF"/>
    <w:rsid w:val="00552C5D"/>
    <w:rsid w:val="005547EE"/>
    <w:rsid w:val="00555250"/>
    <w:rsid w:val="005571F3"/>
    <w:rsid w:val="005A3316"/>
    <w:rsid w:val="005A54F2"/>
    <w:rsid w:val="005B6968"/>
    <w:rsid w:val="005C6AEE"/>
    <w:rsid w:val="005E1A66"/>
    <w:rsid w:val="005E5127"/>
    <w:rsid w:val="005F1173"/>
    <w:rsid w:val="006035CB"/>
    <w:rsid w:val="00615709"/>
    <w:rsid w:val="00621E2A"/>
    <w:rsid w:val="00632993"/>
    <w:rsid w:val="00666D40"/>
    <w:rsid w:val="00677889"/>
    <w:rsid w:val="006A7A6E"/>
    <w:rsid w:val="006F1F55"/>
    <w:rsid w:val="00706FA9"/>
    <w:rsid w:val="0071051A"/>
    <w:rsid w:val="00730897"/>
    <w:rsid w:val="00731BCD"/>
    <w:rsid w:val="00734289"/>
    <w:rsid w:val="00782D09"/>
    <w:rsid w:val="007A0B40"/>
    <w:rsid w:val="007D30DA"/>
    <w:rsid w:val="007D33D8"/>
    <w:rsid w:val="007D3D1C"/>
    <w:rsid w:val="007F098A"/>
    <w:rsid w:val="007F1F55"/>
    <w:rsid w:val="00826014"/>
    <w:rsid w:val="00832F0A"/>
    <w:rsid w:val="00837283"/>
    <w:rsid w:val="00851AC9"/>
    <w:rsid w:val="0086198D"/>
    <w:rsid w:val="0086536E"/>
    <w:rsid w:val="00873884"/>
    <w:rsid w:val="008A084A"/>
    <w:rsid w:val="008A1DBB"/>
    <w:rsid w:val="008A56E2"/>
    <w:rsid w:val="008B128D"/>
    <w:rsid w:val="008B633D"/>
    <w:rsid w:val="008B7FFD"/>
    <w:rsid w:val="009040DB"/>
    <w:rsid w:val="0090410F"/>
    <w:rsid w:val="0092088E"/>
    <w:rsid w:val="00927EAC"/>
    <w:rsid w:val="0094219B"/>
    <w:rsid w:val="00957F25"/>
    <w:rsid w:val="00972570"/>
    <w:rsid w:val="00977F7F"/>
    <w:rsid w:val="009B0330"/>
    <w:rsid w:val="009B7AC3"/>
    <w:rsid w:val="009D5574"/>
    <w:rsid w:val="00A00697"/>
    <w:rsid w:val="00A13601"/>
    <w:rsid w:val="00A14586"/>
    <w:rsid w:val="00A5084B"/>
    <w:rsid w:val="00A51F5B"/>
    <w:rsid w:val="00A52EB4"/>
    <w:rsid w:val="00A53BAA"/>
    <w:rsid w:val="00A657C4"/>
    <w:rsid w:val="00A668C3"/>
    <w:rsid w:val="00A72B72"/>
    <w:rsid w:val="00A94A88"/>
    <w:rsid w:val="00A96E20"/>
    <w:rsid w:val="00AA721E"/>
    <w:rsid w:val="00AC2C09"/>
    <w:rsid w:val="00AD30B8"/>
    <w:rsid w:val="00AD7044"/>
    <w:rsid w:val="00AE0F54"/>
    <w:rsid w:val="00AF14BD"/>
    <w:rsid w:val="00B03343"/>
    <w:rsid w:val="00B13706"/>
    <w:rsid w:val="00B25DFD"/>
    <w:rsid w:val="00B34EF7"/>
    <w:rsid w:val="00B40C43"/>
    <w:rsid w:val="00B562D5"/>
    <w:rsid w:val="00B979CF"/>
    <w:rsid w:val="00BB197D"/>
    <w:rsid w:val="00BC34B2"/>
    <w:rsid w:val="00BE7EF2"/>
    <w:rsid w:val="00BF5D9C"/>
    <w:rsid w:val="00BF713B"/>
    <w:rsid w:val="00C329D7"/>
    <w:rsid w:val="00C71FDD"/>
    <w:rsid w:val="00C81CBF"/>
    <w:rsid w:val="00C8545B"/>
    <w:rsid w:val="00C9550B"/>
    <w:rsid w:val="00CB4067"/>
    <w:rsid w:val="00CB6109"/>
    <w:rsid w:val="00CE27CF"/>
    <w:rsid w:val="00D03B05"/>
    <w:rsid w:val="00D1241B"/>
    <w:rsid w:val="00D22E21"/>
    <w:rsid w:val="00D26DE8"/>
    <w:rsid w:val="00D4752E"/>
    <w:rsid w:val="00D55AB1"/>
    <w:rsid w:val="00D66EF8"/>
    <w:rsid w:val="00D81FBA"/>
    <w:rsid w:val="00D8225F"/>
    <w:rsid w:val="00D9097A"/>
    <w:rsid w:val="00D97BC7"/>
    <w:rsid w:val="00DB764D"/>
    <w:rsid w:val="00DD58ED"/>
    <w:rsid w:val="00E20285"/>
    <w:rsid w:val="00E20E22"/>
    <w:rsid w:val="00E34CF4"/>
    <w:rsid w:val="00E4438B"/>
    <w:rsid w:val="00E508BB"/>
    <w:rsid w:val="00E57C49"/>
    <w:rsid w:val="00E629E0"/>
    <w:rsid w:val="00E65269"/>
    <w:rsid w:val="00E65A4C"/>
    <w:rsid w:val="00E758A0"/>
    <w:rsid w:val="00EB30C7"/>
    <w:rsid w:val="00EF1E09"/>
    <w:rsid w:val="00EF25E4"/>
    <w:rsid w:val="00F26DD2"/>
    <w:rsid w:val="00F4460A"/>
    <w:rsid w:val="00F47EA1"/>
    <w:rsid w:val="00F57DFC"/>
    <w:rsid w:val="00F86B08"/>
    <w:rsid w:val="00F96C98"/>
    <w:rsid w:val="00FB15C0"/>
    <w:rsid w:val="00FC53C7"/>
    <w:rsid w:val="00FF2D4A"/>
    <w:rsid w:val="00F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892</Words>
  <Characters>5087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23</cp:revision>
  <dcterms:created xsi:type="dcterms:W3CDTF">2022-10-25T13:05:00Z</dcterms:created>
  <dcterms:modified xsi:type="dcterms:W3CDTF">2022-11-22T02:05:00Z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