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152F873F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 xml:space="preserve">; </w:t>
      </w:r>
      <w:r w:rsidR="00D22E21">
        <w:rPr>
          <w:sz w:val="44"/>
          <w:szCs w:val="44"/>
        </w:rPr>
        <w:t xml:space="preserve">YTD and </w:t>
      </w:r>
      <w:r w:rsidR="000C3CC4" w:rsidRPr="000C3CC4">
        <w:rPr>
          <w:sz w:val="44"/>
          <w:szCs w:val="44"/>
        </w:rPr>
        <w:t>4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386950">
        <w:rPr>
          <w:sz w:val="44"/>
          <w:szCs w:val="44"/>
        </w:rPr>
        <w:t>6.12.2022</w:t>
      </w:r>
    </w:p>
    <w:p w14:paraId="022A5B42" w14:textId="605814EC" w:rsidR="00B34EF7" w:rsidRDefault="00B34EF7" w:rsidP="00B34EF7">
      <w:pPr>
        <w:pStyle w:val="NoSpacing"/>
      </w:pPr>
    </w:p>
    <w:p w14:paraId="737234D5" w14:textId="14E5F9D2" w:rsidR="00927EAC" w:rsidRPr="00927EAC" w:rsidRDefault="00927EAC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Dollars, Units and Volume Performance</w:t>
      </w:r>
    </w:p>
    <w:p w14:paraId="7E902D9C" w14:textId="3AD06487" w:rsidR="00712855" w:rsidRDefault="00113674" w:rsidP="00F51CD6">
      <w:pPr>
        <w:pStyle w:val="NoSpacing"/>
      </w:pPr>
      <w:r>
        <w:t>Inflation dominate</w:t>
      </w:r>
      <w:r w:rsidR="00CB23CA">
        <w:t>d</w:t>
      </w:r>
      <w:r>
        <w:t xml:space="preserve"> the media headlines </w:t>
      </w:r>
      <w:r w:rsidR="00CB23CA">
        <w:t xml:space="preserve">in the past four weeks with the price per unit across all food and beverages up 12.5% versus the same four weeks in 2021 </w:t>
      </w:r>
      <w:r>
        <w:t>and</w:t>
      </w:r>
      <w:r w:rsidR="00CB23CA">
        <w:t xml:space="preserve"> 23.6% versus 2019.</w:t>
      </w:r>
      <w:r>
        <w:t xml:space="preserve"> Shoppers are hyper aware of </w:t>
      </w:r>
      <w:r w:rsidR="00CB23CA">
        <w:t>the increases in cost</w:t>
      </w:r>
      <w:r>
        <w:t xml:space="preserve"> and 76% are making changes to their grocery shopping</w:t>
      </w:r>
      <w:r w:rsidR="00CB23CA">
        <w:t>.</w:t>
      </w:r>
      <w:r>
        <w:t xml:space="preserve"> </w:t>
      </w:r>
      <w:r w:rsidR="00CB23CA">
        <w:t>Dollar sales trended in the positive for most department</w:t>
      </w:r>
      <w:r w:rsidR="00951A81">
        <w:t>s</w:t>
      </w:r>
      <w:r w:rsidR="00CB23CA">
        <w:t>, boosted by high inflation. However, v</w:t>
      </w:r>
      <w:r w:rsidR="00AF21F6">
        <w:t xml:space="preserve">olume sales for departments around the store </w:t>
      </w:r>
      <w:r w:rsidR="00F51CD6">
        <w:t xml:space="preserve">took a significant dip from their already down levels in the prior quad weeks. Fresh produce was no exception. </w:t>
      </w:r>
    </w:p>
    <w:p w14:paraId="400EE3C3" w14:textId="77777777" w:rsidR="00712855" w:rsidRDefault="00712855" w:rsidP="00F51CD6">
      <w:pPr>
        <w:pStyle w:val="NoSpacing"/>
      </w:pPr>
    </w:p>
    <w:p w14:paraId="0E3EBB38" w14:textId="2412F29E" w:rsidR="007D30DA" w:rsidRDefault="00217E05" w:rsidP="00472B02">
      <w:pPr>
        <w:pStyle w:val="NoSpacing"/>
      </w:pPr>
      <w:r>
        <w:t xml:space="preserve">During </w:t>
      </w:r>
      <w:r w:rsidR="005571F3">
        <w:t>the four weeks ending</w:t>
      </w:r>
      <w:r w:rsidR="00D22E21">
        <w:t xml:space="preserve"> </w:t>
      </w:r>
      <w:r w:rsidR="00F51CD6">
        <w:t>June 12</w:t>
      </w:r>
      <w:r w:rsidR="005571F3">
        <w:t>, 2022 versus the same period in 2021</w:t>
      </w:r>
      <w:r w:rsidR="00F51CD6">
        <w:t>, the p</w:t>
      </w:r>
      <w:r w:rsidR="005571F3">
        <w:t xml:space="preserve">roduce department </w:t>
      </w:r>
      <w:r w:rsidR="003C72DD">
        <w:t xml:space="preserve">sales </w:t>
      </w:r>
      <w:r w:rsidR="005571F3">
        <w:t>reached $</w:t>
      </w:r>
      <w:r w:rsidR="00F51CD6">
        <w:t>6.2</w:t>
      </w:r>
      <w:r w:rsidR="005571F3">
        <w:t xml:space="preserve"> billion during the four-week period, which was up </w:t>
      </w:r>
      <w:r w:rsidR="001B40A8">
        <w:t>2.7</w:t>
      </w:r>
      <w:r w:rsidR="005571F3">
        <w:t xml:space="preserve">%. </w:t>
      </w:r>
      <w:r w:rsidR="001B40A8">
        <w:t xml:space="preserve">As such, fresh produce dollar gains are decelerating; </w:t>
      </w:r>
      <w:r w:rsidR="005571F3">
        <w:t xml:space="preserve">units </w:t>
      </w:r>
      <w:r w:rsidR="001B40A8">
        <w:t xml:space="preserve">were </w:t>
      </w:r>
      <w:r w:rsidR="005571F3">
        <w:t xml:space="preserve">down </w:t>
      </w:r>
      <w:r w:rsidR="001B40A8">
        <w:t>6.0%; and volume sales (pounds) were</w:t>
      </w:r>
      <w:r w:rsidR="005571F3">
        <w:t xml:space="preserve"> down 4.</w:t>
      </w:r>
      <w:r w:rsidR="001B40A8">
        <w:t>7</w:t>
      </w:r>
      <w:r w:rsidR="005571F3">
        <w:t>% year-</w:t>
      </w:r>
      <w:r w:rsidR="003C72DD">
        <w:t>on</w:t>
      </w:r>
      <w:r w:rsidR="005571F3">
        <w:t xml:space="preserve">-year. </w:t>
      </w:r>
      <w:r w:rsidR="001B40A8">
        <w:t>Additionally, pounds dropped below 2019 levels by 0.2%.</w:t>
      </w:r>
      <w:r w:rsidR="007D30DA">
        <w:t xml:space="preserve"> </w:t>
      </w:r>
    </w:p>
    <w:p w14:paraId="16AF420D" w14:textId="77777777" w:rsidR="007D30DA" w:rsidRDefault="007D30DA" w:rsidP="00472B02">
      <w:pPr>
        <w:pStyle w:val="NoSpacing"/>
      </w:pPr>
    </w:p>
    <w:p w14:paraId="47797D03" w14:textId="6809B3A6" w:rsidR="00472B02" w:rsidRDefault="007D30DA" w:rsidP="00472B02">
      <w:pPr>
        <w:pStyle w:val="NoSpacing"/>
      </w:pPr>
      <w:r>
        <w:t>For the four weeks</w:t>
      </w:r>
      <w:r w:rsidR="00F4460A">
        <w:t xml:space="preserve"> ending </w:t>
      </w:r>
      <w:r w:rsidR="00F23C90">
        <w:t>June 12</w:t>
      </w:r>
      <w:r w:rsidR="00F4460A">
        <w:t>, 2022</w:t>
      </w:r>
      <w:r>
        <w:t xml:space="preserve">, </w:t>
      </w:r>
      <w:r w:rsidR="00124C8B">
        <w:t xml:space="preserve">fresh mushroom </w:t>
      </w:r>
      <w:r>
        <w:t>d</w:t>
      </w:r>
      <w:r w:rsidR="0092088E">
        <w:t xml:space="preserve">ollars </w:t>
      </w:r>
      <w:r>
        <w:t xml:space="preserve">decreased </w:t>
      </w:r>
      <w:r w:rsidR="004C33AD">
        <w:t>4.1%</w:t>
      </w:r>
      <w:r w:rsidR="0092088E">
        <w:t xml:space="preserve"> year-over year</w:t>
      </w:r>
      <w:r w:rsidR="00D26DE8">
        <w:t xml:space="preserve"> </w:t>
      </w:r>
      <w:r w:rsidR="0092088E">
        <w:t xml:space="preserve">and volume declined </w:t>
      </w:r>
      <w:r>
        <w:t xml:space="preserve">by </w:t>
      </w:r>
      <w:r w:rsidR="004C33AD">
        <w:t>11.5</w:t>
      </w:r>
      <w:r w:rsidR="0092088E">
        <w:t xml:space="preserve">%. </w:t>
      </w:r>
      <w:r w:rsidR="004C33AD">
        <w:t>Much like total produce, fresh mushroom pound sales have been decelerating. Year-to-date, volume sales are even with 2019, but for the quad-week period ending June 12</w:t>
      </w:r>
      <w:r w:rsidR="004C33AD" w:rsidRPr="004C33AD">
        <w:rPr>
          <w:vertAlign w:val="superscript"/>
        </w:rPr>
        <w:t>th</w:t>
      </w:r>
      <w:r w:rsidR="004C33AD">
        <w:t xml:space="preserve">, pounds were down 3.3%. </w:t>
      </w:r>
      <w:r w:rsidR="00FB15C0">
        <w:t xml:space="preserve"> </w:t>
      </w:r>
    </w:p>
    <w:p w14:paraId="382DFC83" w14:textId="573D0614" w:rsidR="0092088E" w:rsidRDefault="0092088E" w:rsidP="00472B02">
      <w:pPr>
        <w:pStyle w:val="NoSpacing"/>
      </w:pPr>
    </w:p>
    <w:tbl>
      <w:tblPr>
        <w:tblStyle w:val="ListTable3-Accent2"/>
        <w:tblW w:w="9940" w:type="dxa"/>
        <w:tblLook w:val="04A0" w:firstRow="1" w:lastRow="0" w:firstColumn="1" w:lastColumn="0" w:noHBand="0" w:noVBand="1"/>
      </w:tblPr>
      <w:tblGrid>
        <w:gridCol w:w="1795"/>
        <w:gridCol w:w="1710"/>
        <w:gridCol w:w="1200"/>
        <w:gridCol w:w="1140"/>
        <w:gridCol w:w="1665"/>
        <w:gridCol w:w="1260"/>
        <w:gridCol w:w="1170"/>
      </w:tblGrid>
      <w:tr w:rsidR="000C3CC4" w:rsidRPr="00124CB7" w14:paraId="0E4645F8" w14:textId="51F82A8B" w:rsidTr="000C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6EAA0673" w14:textId="43A4E965" w:rsidR="000C3CC4" w:rsidRPr="00124CB7" w:rsidRDefault="000C3CC4" w:rsidP="00472B02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10" w:type="dxa"/>
          </w:tcPr>
          <w:p w14:paraId="0BC661E4" w14:textId="2D519645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386950">
              <w:t>6/12/2022</w:t>
            </w:r>
          </w:p>
        </w:tc>
        <w:tc>
          <w:tcPr>
            <w:tcW w:w="1200" w:type="dxa"/>
          </w:tcPr>
          <w:p w14:paraId="54A621E6" w14:textId="21E04E35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46F45A2" w14:textId="3E543087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>
              <w:t>20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3884FEDF" w14:textId="1B9D6D95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386950">
              <w:t>6/12/2022</w:t>
            </w:r>
          </w:p>
        </w:tc>
        <w:tc>
          <w:tcPr>
            <w:tcW w:w="1260" w:type="dxa"/>
          </w:tcPr>
          <w:p w14:paraId="61328BD3" w14:textId="5B2FC96F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2021</w:t>
            </w:r>
          </w:p>
        </w:tc>
        <w:tc>
          <w:tcPr>
            <w:tcW w:w="1170" w:type="dxa"/>
          </w:tcPr>
          <w:p w14:paraId="6B2AFD2F" w14:textId="23112A37" w:rsidR="000C3CC4" w:rsidRPr="00124CB7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</w:tr>
      <w:tr w:rsidR="0004266D" w14:paraId="6A1EAD7D" w14:textId="6B3FE49D" w:rsidTr="00F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8F703DA" w14:textId="6A977B2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Dollars</w:t>
            </w:r>
          </w:p>
        </w:tc>
        <w:tc>
          <w:tcPr>
            <w:tcW w:w="1710" w:type="dxa"/>
          </w:tcPr>
          <w:p w14:paraId="775B83FB" w14:textId="77095B4A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23C90">
              <w:t>93.6</w:t>
            </w:r>
            <w:r>
              <w:t xml:space="preserve"> million</w:t>
            </w:r>
          </w:p>
        </w:tc>
        <w:tc>
          <w:tcPr>
            <w:tcW w:w="1200" w:type="dxa"/>
          </w:tcPr>
          <w:p w14:paraId="0CE32075" w14:textId="2E351F5C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23C90">
              <w:t>4.1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060EE1E" w14:textId="07A7A981" w:rsidR="0004266D" w:rsidRDefault="00A051AF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23C90">
              <w:t>15.9</w:t>
            </w:r>
            <w:r w:rsidR="0004266D"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0D3254A6" w14:textId="6A335D02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23C90">
              <w:t>642.1</w:t>
            </w:r>
            <w:r>
              <w:t xml:space="preserve"> million</w:t>
            </w:r>
          </w:p>
        </w:tc>
        <w:tc>
          <w:tcPr>
            <w:tcW w:w="1260" w:type="dxa"/>
          </w:tcPr>
          <w:p w14:paraId="5EE61049" w14:textId="16DA670F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23C90">
              <w:t>5.2</w:t>
            </w:r>
            <w:r>
              <w:t>%</w:t>
            </w:r>
          </w:p>
        </w:tc>
        <w:tc>
          <w:tcPr>
            <w:tcW w:w="1170" w:type="dxa"/>
          </w:tcPr>
          <w:p w14:paraId="3B0BB243" w14:textId="5DEBE58C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23C90">
              <w:t>6.9</w:t>
            </w:r>
            <w:r>
              <w:t>%</w:t>
            </w:r>
          </w:p>
        </w:tc>
      </w:tr>
      <w:tr w:rsidR="0004266D" w14:paraId="18574E65" w14:textId="4AC283D7" w:rsidTr="000C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5F27EF6" w14:textId="23672771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Units</w:t>
            </w:r>
          </w:p>
        </w:tc>
        <w:tc>
          <w:tcPr>
            <w:tcW w:w="1710" w:type="dxa"/>
          </w:tcPr>
          <w:p w14:paraId="32FD6215" w14:textId="394E42F2" w:rsidR="0004266D" w:rsidRDefault="00F23C90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32.1</w:t>
            </w:r>
            <w:r w:rsidR="0004266D">
              <w:t xml:space="preserve"> million</w:t>
            </w:r>
          </w:p>
        </w:tc>
        <w:tc>
          <w:tcPr>
            <w:tcW w:w="1200" w:type="dxa"/>
          </w:tcPr>
          <w:p w14:paraId="3DA89ABE" w14:textId="494C1AB3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F23C90">
              <w:t>10.7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8454012" w14:textId="79539562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F23C90">
              <w:t>22.5</w:t>
            </w:r>
            <w:r>
              <w:t>%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23489E3B" w14:textId="5043E298" w:rsidR="0004266D" w:rsidRDefault="00F23C90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214.8</w:t>
            </w:r>
            <w:r w:rsidR="0004266D">
              <w:t xml:space="preserve"> million</w:t>
            </w:r>
          </w:p>
        </w:tc>
        <w:tc>
          <w:tcPr>
            <w:tcW w:w="1260" w:type="dxa"/>
          </w:tcPr>
          <w:p w14:paraId="33EB1015" w14:textId="35B39139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F23C90">
              <w:t>9.6</w:t>
            </w:r>
            <w:r>
              <w:t>%</w:t>
            </w:r>
          </w:p>
        </w:tc>
        <w:tc>
          <w:tcPr>
            <w:tcW w:w="1170" w:type="dxa"/>
          </w:tcPr>
          <w:p w14:paraId="5BD4B684" w14:textId="2A279AFC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F23C90">
              <w:t>13.9</w:t>
            </w:r>
            <w:r>
              <w:t>%</w:t>
            </w:r>
          </w:p>
        </w:tc>
      </w:tr>
      <w:tr w:rsidR="0004266D" w14:paraId="0C3E8C9A" w14:textId="0A6ACB56" w:rsidTr="000C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09064CC" w14:textId="6ED105E0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 w:rsidRPr="00124CB7">
              <w:rPr>
                <w:b w:val="0"/>
                <w:bCs w:val="0"/>
              </w:rPr>
              <w:t>Volume</w:t>
            </w:r>
            <w:r>
              <w:rPr>
                <w:b w:val="0"/>
                <w:bCs w:val="0"/>
              </w:rPr>
              <w:t xml:space="preserve"> (pounds)</w:t>
            </w:r>
          </w:p>
        </w:tc>
        <w:tc>
          <w:tcPr>
            <w:tcW w:w="1710" w:type="dxa"/>
          </w:tcPr>
          <w:p w14:paraId="7E77BD8C" w14:textId="198B2F30" w:rsidR="0004266D" w:rsidRDefault="00F23C90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20.1</w:t>
            </w:r>
            <w:r w:rsidR="0004266D">
              <w:t xml:space="preserve"> million</w:t>
            </w:r>
          </w:p>
        </w:tc>
        <w:tc>
          <w:tcPr>
            <w:tcW w:w="1200" w:type="dxa"/>
          </w:tcPr>
          <w:p w14:paraId="52AFA316" w14:textId="050E2E8C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23C90">
              <w:t>11.5</w:t>
            </w:r>
            <w: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37106D51" w14:textId="11AAEA39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23C90">
              <w:t>23.1</w:t>
            </w:r>
            <w:r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3E074C81" w14:textId="0116D7A6" w:rsidR="0004266D" w:rsidRDefault="00F23C90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134.6</w:t>
            </w:r>
            <w:r w:rsidR="0004266D">
              <w:t xml:space="preserve"> million</w:t>
            </w:r>
          </w:p>
        </w:tc>
        <w:tc>
          <w:tcPr>
            <w:tcW w:w="1260" w:type="dxa"/>
          </w:tcPr>
          <w:p w14:paraId="390EB56C" w14:textId="04D2ACD2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23C90">
              <w:t>10.5</w:t>
            </w:r>
            <w:r>
              <w:t>%</w:t>
            </w:r>
          </w:p>
        </w:tc>
        <w:tc>
          <w:tcPr>
            <w:tcW w:w="1170" w:type="dxa"/>
          </w:tcPr>
          <w:p w14:paraId="0452D1CC" w14:textId="345E487E" w:rsidR="0004266D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F23C90">
              <w:t>13.1</w:t>
            </w:r>
            <w:r>
              <w:t>%</w:t>
            </w:r>
          </w:p>
        </w:tc>
      </w:tr>
    </w:tbl>
    <w:p w14:paraId="5B1F1AF6" w14:textId="64827169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86950">
        <w:rPr>
          <w:color w:val="7F7F7F" w:themeColor="text1" w:themeTint="80"/>
          <w:sz w:val="16"/>
          <w:szCs w:val="16"/>
        </w:rPr>
        <w:t>6/12/2022</w:t>
      </w:r>
    </w:p>
    <w:p w14:paraId="1B163DE8" w14:textId="77777777" w:rsidR="00F23C90" w:rsidRDefault="00F23C90" w:rsidP="00472B02">
      <w:pPr>
        <w:pStyle w:val="NoSpacing"/>
      </w:pPr>
    </w:p>
    <w:p w14:paraId="6A743FB2" w14:textId="799C7F0E" w:rsidR="000809C3" w:rsidRDefault="00A051AF" w:rsidP="000809C3">
      <w:r>
        <w:t xml:space="preserve">Dollar sales during each of the individual weeks averaged $23M to $24 million. In comparison to last year, dollars moved a little closer to the 2021 levels each week. In </w:t>
      </w:r>
      <w:r w:rsidR="00C477EC">
        <w:t xml:space="preserve">pounds, the individual weeks hovered around 5 million pounds each week, though dipped slightly below </w:t>
      </w:r>
      <w:r w:rsidR="00951A81">
        <w:t xml:space="preserve">the 5 million pound mark </w:t>
      </w:r>
      <w:r w:rsidR="00C477EC">
        <w:t>in the week ending June 12</w:t>
      </w:r>
      <w:r w:rsidR="00C477EC" w:rsidRPr="00C477EC">
        <w:rPr>
          <w:vertAlign w:val="superscript"/>
        </w:rPr>
        <w:t>th</w:t>
      </w:r>
      <w:r w:rsidR="00C477EC">
        <w:t>. In comparison to 2019, two weeks trended ahead and two fell behind, for the average decline of 3.3% year-on-year for the quad-week period.</w:t>
      </w:r>
      <w:r w:rsidR="00DD58ED">
        <w:t xml:space="preserve"> </w:t>
      </w:r>
      <w:r w:rsidR="00972570">
        <w:t xml:space="preserve"> </w:t>
      </w: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1817"/>
        <w:gridCol w:w="1329"/>
        <w:gridCol w:w="1266"/>
        <w:gridCol w:w="1267"/>
        <w:gridCol w:w="1217"/>
        <w:gridCol w:w="1502"/>
        <w:gridCol w:w="1587"/>
      </w:tblGrid>
      <w:tr w:rsidR="000809C3" w:rsidRPr="00DE633B" w14:paraId="5AF9AC2D" w14:textId="77777777" w:rsidTr="00A05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7" w:type="dxa"/>
          </w:tcPr>
          <w:p w14:paraId="3CBC11F7" w14:textId="77777777" w:rsidR="000809C3" w:rsidRPr="006A7A6E" w:rsidRDefault="000809C3" w:rsidP="000809C3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Fresh mushrooms</w:t>
            </w:r>
          </w:p>
        </w:tc>
        <w:tc>
          <w:tcPr>
            <w:tcW w:w="1329" w:type="dxa"/>
          </w:tcPr>
          <w:p w14:paraId="160A0879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Dollar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266" w:type="dxa"/>
          </w:tcPr>
          <w:p w14:paraId="19F3D856" w14:textId="77777777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2021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</w:tcPr>
          <w:p w14:paraId="3ABF0E92" w14:textId="492E632D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Dollar gains vs. 2</w:t>
            </w:r>
            <w:r w:rsidR="00A051AF">
              <w:rPr>
                <w:rFonts w:cstheme="minorHAnsi"/>
              </w:rPr>
              <w:t>019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 xml:space="preserve">Volume </w:t>
            </w:r>
            <w:r w:rsidRPr="006A7A6E">
              <w:rPr>
                <w:rFonts w:cstheme="minorHAnsi"/>
              </w:rPr>
              <w:br/>
              <w:t>sales</w:t>
            </w:r>
          </w:p>
        </w:tc>
        <w:tc>
          <w:tcPr>
            <w:tcW w:w="1502" w:type="dxa"/>
          </w:tcPr>
          <w:p w14:paraId="3A701F90" w14:textId="754623E0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2021</w:t>
            </w:r>
          </w:p>
        </w:tc>
        <w:tc>
          <w:tcPr>
            <w:tcW w:w="1587" w:type="dxa"/>
          </w:tcPr>
          <w:p w14:paraId="7A77A4C9" w14:textId="34536A5D" w:rsidR="000809C3" w:rsidRPr="006A7A6E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A7A6E">
              <w:rPr>
                <w:rFonts w:cstheme="minorHAnsi"/>
              </w:rPr>
              <w:t>Volume gains vs. 20</w:t>
            </w:r>
            <w:r w:rsidR="00A051AF">
              <w:rPr>
                <w:rFonts w:cstheme="minorHAnsi"/>
              </w:rPr>
              <w:t>19</w:t>
            </w:r>
          </w:p>
        </w:tc>
      </w:tr>
      <w:tr w:rsidR="00F61EEB" w14:paraId="69B1B691" w14:textId="77777777" w:rsidTr="00157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Align w:val="bottom"/>
          </w:tcPr>
          <w:p w14:paraId="374F2F9C" w14:textId="4D103D14" w:rsidR="00F61EEB" w:rsidRPr="006A7A6E" w:rsidRDefault="00F61EEB" w:rsidP="00F61EEB">
            <w:pPr>
              <w:pStyle w:val="NoSpacing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4 W.E. 06-12-22</w:t>
            </w:r>
          </w:p>
        </w:tc>
        <w:tc>
          <w:tcPr>
            <w:tcW w:w="1329" w:type="dxa"/>
            <w:vAlign w:val="bottom"/>
          </w:tcPr>
          <w:p w14:paraId="73E257C6" w14:textId="609F3360" w:rsidR="00F61EEB" w:rsidRPr="003E5EF0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3E5EF0">
              <w:rPr>
                <w:rFonts w:ascii="Arial" w:hAnsi="Arial" w:cs="Arial"/>
                <w:b/>
                <w:bCs/>
                <w:sz w:val="20"/>
                <w:szCs w:val="20"/>
              </w:rPr>
              <w:t>$93,627,103</w:t>
            </w:r>
          </w:p>
        </w:tc>
        <w:tc>
          <w:tcPr>
            <w:tcW w:w="1266" w:type="dxa"/>
            <w:vAlign w:val="bottom"/>
          </w:tcPr>
          <w:p w14:paraId="4D4E3A8B" w14:textId="73AC29F0" w:rsidR="00F61EEB" w:rsidRPr="003E5EF0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3E5EF0">
              <w:rPr>
                <w:rFonts w:ascii="Arial" w:hAnsi="Arial" w:cs="Arial"/>
                <w:b/>
                <w:bCs/>
                <w:sz w:val="20"/>
                <w:szCs w:val="20"/>
              </w:rPr>
              <w:t>-4.1%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4D28CAD3" w14:textId="19C0B2B0" w:rsidR="00F61EEB" w:rsidRPr="003E5EF0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3E5EF0">
              <w:rPr>
                <w:rFonts w:ascii="Arial" w:hAnsi="Arial" w:cs="Arial"/>
                <w:b/>
                <w:bCs/>
                <w:sz w:val="20"/>
                <w:szCs w:val="20"/>
              </w:rPr>
              <w:t>8.6%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30F9E2CF" w14:textId="7A6740F6" w:rsidR="00F61EEB" w:rsidRPr="003E5EF0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3E5EF0">
              <w:rPr>
                <w:rFonts w:ascii="Arial" w:hAnsi="Arial" w:cs="Arial"/>
                <w:b/>
                <w:bCs/>
                <w:sz w:val="20"/>
                <w:szCs w:val="20"/>
              </w:rPr>
              <w:t>20,149,283</w:t>
            </w:r>
          </w:p>
        </w:tc>
        <w:tc>
          <w:tcPr>
            <w:tcW w:w="1502" w:type="dxa"/>
            <w:vAlign w:val="bottom"/>
          </w:tcPr>
          <w:p w14:paraId="7D7EF716" w14:textId="30DD32C1" w:rsidR="00F61EEB" w:rsidRPr="003E5EF0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3E5EF0">
              <w:rPr>
                <w:rFonts w:ascii="Arial" w:hAnsi="Arial" w:cs="Arial"/>
                <w:b/>
                <w:bCs/>
                <w:sz w:val="20"/>
                <w:szCs w:val="20"/>
              </w:rPr>
              <w:t>-11.5%</w:t>
            </w:r>
          </w:p>
        </w:tc>
        <w:tc>
          <w:tcPr>
            <w:tcW w:w="1587" w:type="dxa"/>
            <w:vAlign w:val="bottom"/>
          </w:tcPr>
          <w:p w14:paraId="0ADA09AC" w14:textId="08DF7FEE" w:rsidR="00F61EEB" w:rsidRPr="003E5EF0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</w:rPr>
            </w:pPr>
            <w:r w:rsidRPr="003E5EF0">
              <w:rPr>
                <w:rFonts w:ascii="Arial" w:hAnsi="Arial" w:cs="Arial"/>
                <w:b/>
                <w:bCs/>
                <w:sz w:val="20"/>
                <w:szCs w:val="20"/>
              </w:rPr>
              <w:t>-3.3%</w:t>
            </w:r>
          </w:p>
        </w:tc>
      </w:tr>
      <w:tr w:rsidR="00F61EEB" w14:paraId="4161B78F" w14:textId="77777777" w:rsidTr="00157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Align w:val="bottom"/>
          </w:tcPr>
          <w:p w14:paraId="61B5C386" w14:textId="0FE53544" w:rsidR="00F61EEB" w:rsidRPr="00F61EEB" w:rsidRDefault="00F61EEB" w:rsidP="00F61EEB">
            <w:pPr>
              <w:pStyle w:val="NoSpacing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F61E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W.E. 05-22-22</w:t>
            </w:r>
          </w:p>
        </w:tc>
        <w:tc>
          <w:tcPr>
            <w:tcW w:w="1329" w:type="dxa"/>
            <w:vAlign w:val="bottom"/>
          </w:tcPr>
          <w:p w14:paraId="151AC645" w14:textId="72DA26CB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$23,164,580</w:t>
            </w:r>
          </w:p>
        </w:tc>
        <w:tc>
          <w:tcPr>
            <w:tcW w:w="1266" w:type="dxa"/>
            <w:vAlign w:val="bottom"/>
          </w:tcPr>
          <w:p w14:paraId="3F350FB2" w14:textId="41DE92A6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-5.3%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71A7F634" w14:textId="0DE4E80C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4.5%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539D2139" w14:textId="79D21690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5,052,474</w:t>
            </w:r>
          </w:p>
        </w:tc>
        <w:tc>
          <w:tcPr>
            <w:tcW w:w="1502" w:type="dxa"/>
            <w:vAlign w:val="bottom"/>
          </w:tcPr>
          <w:p w14:paraId="4E107D1E" w14:textId="21D9C75D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-11.1%</w:t>
            </w:r>
          </w:p>
        </w:tc>
        <w:tc>
          <w:tcPr>
            <w:tcW w:w="1587" w:type="dxa"/>
            <w:vAlign w:val="bottom"/>
          </w:tcPr>
          <w:p w14:paraId="699CD9F0" w14:textId="630D8603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-5.4%</w:t>
            </w:r>
          </w:p>
        </w:tc>
      </w:tr>
      <w:tr w:rsidR="00F61EEB" w14:paraId="46E32385" w14:textId="77777777" w:rsidTr="00157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Align w:val="bottom"/>
          </w:tcPr>
          <w:p w14:paraId="5CCBCDF3" w14:textId="4654DC00" w:rsidR="00F61EEB" w:rsidRPr="00F61EEB" w:rsidRDefault="00F61EEB" w:rsidP="00F61EEB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F61E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W.E. 05-29-22</w:t>
            </w:r>
          </w:p>
        </w:tc>
        <w:tc>
          <w:tcPr>
            <w:tcW w:w="1329" w:type="dxa"/>
            <w:vAlign w:val="bottom"/>
          </w:tcPr>
          <w:p w14:paraId="11A8DDCA" w14:textId="018DCCB0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$23,898,100</w:t>
            </w:r>
          </w:p>
        </w:tc>
        <w:tc>
          <w:tcPr>
            <w:tcW w:w="1266" w:type="dxa"/>
            <w:vAlign w:val="bottom"/>
          </w:tcPr>
          <w:p w14:paraId="16514130" w14:textId="06838CEC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-4.8%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463E87C2" w14:textId="165E6DA4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13.5%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67EAF597" w14:textId="4371FCC5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5,132,458</w:t>
            </w:r>
          </w:p>
        </w:tc>
        <w:tc>
          <w:tcPr>
            <w:tcW w:w="1502" w:type="dxa"/>
            <w:vAlign w:val="bottom"/>
          </w:tcPr>
          <w:p w14:paraId="3BDC9313" w14:textId="40174CE5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-13.0%</w:t>
            </w:r>
          </w:p>
        </w:tc>
        <w:tc>
          <w:tcPr>
            <w:tcW w:w="1587" w:type="dxa"/>
            <w:vAlign w:val="bottom"/>
          </w:tcPr>
          <w:p w14:paraId="180304FD" w14:textId="27713037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1.3%</w:t>
            </w:r>
          </w:p>
        </w:tc>
      </w:tr>
      <w:tr w:rsidR="00F61EEB" w14:paraId="29C076C3" w14:textId="77777777" w:rsidTr="00157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Align w:val="bottom"/>
          </w:tcPr>
          <w:p w14:paraId="12D67558" w14:textId="0F6B9393" w:rsidR="00F61EEB" w:rsidRPr="00F61EEB" w:rsidRDefault="00F61EEB" w:rsidP="00F61EEB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F61E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W.E. 06-05-22</w:t>
            </w:r>
          </w:p>
        </w:tc>
        <w:tc>
          <w:tcPr>
            <w:tcW w:w="1329" w:type="dxa"/>
            <w:vAlign w:val="bottom"/>
          </w:tcPr>
          <w:p w14:paraId="48606425" w14:textId="5DDE8C0A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$23,484,980</w:t>
            </w:r>
          </w:p>
        </w:tc>
        <w:tc>
          <w:tcPr>
            <w:tcW w:w="1266" w:type="dxa"/>
            <w:vAlign w:val="bottom"/>
          </w:tcPr>
          <w:p w14:paraId="34EEBB9B" w14:textId="4E319CBA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-3.8%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459FECD2" w14:textId="1BBA3400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10.9%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234D0105" w14:textId="64D7D2EC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5,038,837</w:t>
            </w:r>
          </w:p>
        </w:tc>
        <w:tc>
          <w:tcPr>
            <w:tcW w:w="1502" w:type="dxa"/>
            <w:vAlign w:val="bottom"/>
          </w:tcPr>
          <w:p w14:paraId="5C2CD04A" w14:textId="35E2251B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-10.6%</w:t>
            </w:r>
          </w:p>
        </w:tc>
        <w:tc>
          <w:tcPr>
            <w:tcW w:w="1587" w:type="dxa"/>
            <w:vAlign w:val="bottom"/>
          </w:tcPr>
          <w:p w14:paraId="3E3F9EEB" w14:textId="68219C67" w:rsidR="00F61EEB" w:rsidRPr="0004266D" w:rsidRDefault="00F61EEB" w:rsidP="00F61E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-2.2%</w:t>
            </w:r>
          </w:p>
        </w:tc>
      </w:tr>
      <w:tr w:rsidR="00F61EEB" w14:paraId="7E43EA98" w14:textId="77777777" w:rsidTr="00157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Align w:val="bottom"/>
          </w:tcPr>
          <w:p w14:paraId="5798E510" w14:textId="13DEEB42" w:rsidR="00F61EEB" w:rsidRPr="00F61EEB" w:rsidRDefault="00F61EEB" w:rsidP="00F61EEB">
            <w:pPr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F61EE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W.E. 06-12-22</w:t>
            </w:r>
          </w:p>
        </w:tc>
        <w:tc>
          <w:tcPr>
            <w:tcW w:w="1329" w:type="dxa"/>
            <w:vAlign w:val="bottom"/>
          </w:tcPr>
          <w:p w14:paraId="1F9888EE" w14:textId="05137B19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$23,079,443</w:t>
            </w:r>
          </w:p>
        </w:tc>
        <w:tc>
          <w:tcPr>
            <w:tcW w:w="1266" w:type="dxa"/>
            <w:vAlign w:val="bottom"/>
          </w:tcPr>
          <w:p w14:paraId="39C9DE70" w14:textId="6F9F663E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-2.5%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10674F93" w14:textId="5B5DAF8F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5.9%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6664688E" w14:textId="59B8633F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4,925,514</w:t>
            </w:r>
          </w:p>
        </w:tc>
        <w:tc>
          <w:tcPr>
            <w:tcW w:w="1502" w:type="dxa"/>
            <w:vAlign w:val="bottom"/>
          </w:tcPr>
          <w:p w14:paraId="350C0B98" w14:textId="4D0DBF2E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-11.2%</w:t>
            </w:r>
          </w:p>
        </w:tc>
        <w:tc>
          <w:tcPr>
            <w:tcW w:w="1587" w:type="dxa"/>
            <w:vAlign w:val="bottom"/>
          </w:tcPr>
          <w:p w14:paraId="2A25914C" w14:textId="221564DC" w:rsidR="00F61EEB" w:rsidRPr="0004266D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ascii="Arial" w:hAnsi="Arial" w:cs="Arial"/>
                <w:sz w:val="20"/>
                <w:szCs w:val="20"/>
              </w:rPr>
              <w:t>-6.4%</w:t>
            </w:r>
          </w:p>
        </w:tc>
      </w:tr>
    </w:tbl>
    <w:p w14:paraId="712DC4DB" w14:textId="437CD816" w:rsidR="00541AFF" w:rsidRDefault="00541AFF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86950">
        <w:rPr>
          <w:color w:val="7F7F7F" w:themeColor="text1" w:themeTint="80"/>
          <w:sz w:val="16"/>
          <w:szCs w:val="16"/>
        </w:rPr>
        <w:t>6/12/2022</w:t>
      </w:r>
    </w:p>
    <w:p w14:paraId="0C708971" w14:textId="77777777" w:rsidR="003D3BDA" w:rsidRPr="00555250" w:rsidRDefault="003D3BDA" w:rsidP="00541AFF">
      <w:pPr>
        <w:pStyle w:val="NoSpacing"/>
        <w:spacing w:before="120"/>
        <w:rPr>
          <w:color w:val="7F7F7F" w:themeColor="text1" w:themeTint="80"/>
          <w:sz w:val="16"/>
          <w:szCs w:val="16"/>
        </w:rPr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11B5C52D" w:rsidR="00666D40" w:rsidRDefault="001119BD" w:rsidP="00472B02">
      <w:pPr>
        <w:pStyle w:val="NoSpacing"/>
      </w:pPr>
      <w:r>
        <w:t>The total produce performance was heavily impacted by inflation</w:t>
      </w:r>
      <w:r w:rsidR="003D3BDA">
        <w:t xml:space="preserve"> in the quad week and year-to-date views</w:t>
      </w:r>
      <w:r>
        <w:t xml:space="preserve">. </w:t>
      </w:r>
      <w:r w:rsidR="00E65269">
        <w:t>Total p</w:t>
      </w:r>
      <w:r w:rsidR="000809C3">
        <w:t>roduce p</w:t>
      </w:r>
      <w:r>
        <w:t xml:space="preserve">rices </w:t>
      </w:r>
      <w:r w:rsidR="000809C3">
        <w:t xml:space="preserve">increased </w:t>
      </w:r>
      <w:r w:rsidR="00AF0B38">
        <w:t xml:space="preserve">to $2.64, up </w:t>
      </w:r>
      <w:r w:rsidR="000809C3">
        <w:t>9.</w:t>
      </w:r>
      <w:r w:rsidR="00B85618">
        <w:t>2</w:t>
      </w:r>
      <w:r w:rsidR="000809C3">
        <w:t xml:space="preserve">% during the four weeks ending </w:t>
      </w:r>
      <w:r w:rsidR="00AF0B38">
        <w:t>June 12</w:t>
      </w:r>
      <w:r w:rsidR="00AF0B38" w:rsidRPr="00AF0B38">
        <w:rPr>
          <w:vertAlign w:val="superscript"/>
        </w:rPr>
        <w:t>th</w:t>
      </w:r>
      <w:r w:rsidR="00AF0B38">
        <w:t xml:space="preserve"> </w:t>
      </w:r>
      <w:r w:rsidR="000809C3">
        <w:t xml:space="preserve">on a per unit </w:t>
      </w:r>
      <w:r w:rsidR="003D3BDA">
        <w:t>basis</w:t>
      </w:r>
      <w:r w:rsidR="000809C3">
        <w:t xml:space="preserve">. </w:t>
      </w:r>
      <w:r w:rsidR="00951A81">
        <w:lastRenderedPageBreak/>
        <w:t>V</w:t>
      </w:r>
      <w:r w:rsidR="000809C3">
        <w:t xml:space="preserve">egetables increased to </w:t>
      </w:r>
      <w:r>
        <w:t>an average of $</w:t>
      </w:r>
      <w:r w:rsidR="00AF0B38">
        <w:t>2.2</w:t>
      </w:r>
      <w:r w:rsidR="00B85618">
        <w:t>2</w:t>
      </w:r>
      <w:r>
        <w:t xml:space="preserve"> per </w:t>
      </w:r>
      <w:r w:rsidR="00AF0B38">
        <w:t>unit</w:t>
      </w:r>
      <w:r>
        <w:t xml:space="preserve">, up </w:t>
      </w:r>
      <w:r w:rsidR="00B85618">
        <w:t>10.2</w:t>
      </w:r>
      <w:r>
        <w:t>% versus year ago</w:t>
      </w:r>
      <w:r w:rsidR="003D3BDA">
        <w:t xml:space="preserve"> in the four-week period</w:t>
      </w:r>
      <w:r>
        <w:t xml:space="preserve">. </w:t>
      </w:r>
      <w:r w:rsidR="00873884">
        <w:t>The</w:t>
      </w:r>
      <w:r w:rsidR="00552C5D">
        <w:t xml:space="preserve"> </w:t>
      </w:r>
      <w:r w:rsidR="005C6AEE">
        <w:t xml:space="preserve">increases in the price per </w:t>
      </w:r>
      <w:r w:rsidR="00AF0B38">
        <w:t>unit</w:t>
      </w:r>
      <w:r w:rsidR="005C6AEE">
        <w:t xml:space="preserve"> for mushrooms </w:t>
      </w:r>
      <w:r w:rsidR="00873884">
        <w:t xml:space="preserve">during this same time period </w:t>
      </w:r>
      <w:r w:rsidR="008B128D">
        <w:t xml:space="preserve">remained </w:t>
      </w:r>
      <w:r w:rsidR="005C6AEE">
        <w:t xml:space="preserve">below </w:t>
      </w:r>
      <w:r w:rsidR="00B85618">
        <w:t xml:space="preserve">the total vegetable </w:t>
      </w:r>
      <w:r w:rsidR="005C6AEE">
        <w:t>average</w:t>
      </w:r>
      <w:r w:rsidR="008B128D">
        <w:t>, at +</w:t>
      </w:r>
      <w:r w:rsidR="00AF0B38">
        <w:t>7.4</w:t>
      </w:r>
      <w:r w:rsidR="008B128D">
        <w:t>%</w:t>
      </w:r>
      <w:r w:rsidR="005C6AEE">
        <w:t xml:space="preserve">. </w:t>
      </w:r>
      <w:r w:rsidR="008B128D">
        <w:t>At the same time</w:t>
      </w:r>
      <w:r w:rsidR="00403666">
        <w:t xml:space="preserve">, </w:t>
      </w:r>
      <w:r w:rsidR="001A4D44">
        <w:t>at $2.</w:t>
      </w:r>
      <w:r w:rsidR="00AF0B38">
        <w:t>91</w:t>
      </w:r>
      <w:r w:rsidR="001A4D44">
        <w:t xml:space="preserve">, the average ring for mushrooms is higher than that of many other vegetable categories.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441"/>
        <w:gridCol w:w="179"/>
        <w:gridCol w:w="1055"/>
        <w:gridCol w:w="980"/>
        <w:gridCol w:w="910"/>
        <w:gridCol w:w="1663"/>
        <w:gridCol w:w="947"/>
        <w:gridCol w:w="900"/>
      </w:tblGrid>
      <w:tr w:rsidR="000C3CC4" w:rsidRPr="00124CB7" w14:paraId="6E9D1AEF" w14:textId="162D7E86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234" w:type="dxa"/>
            <w:gridSpan w:val="2"/>
          </w:tcPr>
          <w:p w14:paraId="5EC6EFF0" w14:textId="23B2C0D3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386950">
              <w:t>6/12/2022</w:t>
            </w:r>
          </w:p>
        </w:tc>
        <w:tc>
          <w:tcPr>
            <w:tcW w:w="980" w:type="dxa"/>
          </w:tcPr>
          <w:p w14:paraId="10EFADEC" w14:textId="7CE9F61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55EFE125" w14:textId="4A046F9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>
              <w:t>20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6A5B944C" w14:textId="4EBADEC9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386950">
              <w:t>6/12/2022</w:t>
            </w:r>
          </w:p>
        </w:tc>
        <w:tc>
          <w:tcPr>
            <w:tcW w:w="947" w:type="dxa"/>
          </w:tcPr>
          <w:p w14:paraId="56551B99" w14:textId="3BE2DA79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900" w:type="dxa"/>
          </w:tcPr>
          <w:p w14:paraId="1A109D51" w14:textId="08E418D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</w:t>
            </w:r>
            <w:r>
              <w:t>20</w:t>
            </w:r>
          </w:p>
        </w:tc>
      </w:tr>
      <w:tr w:rsidR="000C3CC4" w14:paraId="2B35BE12" w14:textId="0A6FF303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055" w:type="dxa"/>
          </w:tcPr>
          <w:p w14:paraId="2915A28B" w14:textId="0B462B4D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C74AB">
              <w:t>2.91</w:t>
            </w:r>
          </w:p>
        </w:tc>
        <w:tc>
          <w:tcPr>
            <w:tcW w:w="980" w:type="dxa"/>
          </w:tcPr>
          <w:p w14:paraId="3E0967AB" w14:textId="4D1831BB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C74AB">
              <w:t>7.4</w:t>
            </w:r>
            <w: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09DAD54E" w14:textId="4C7A8B18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C74AB">
              <w:t>8.5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03CA719E" w14:textId="7B421322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FC74AB">
              <w:t>2.83</w:t>
            </w:r>
          </w:p>
        </w:tc>
        <w:tc>
          <w:tcPr>
            <w:tcW w:w="947" w:type="dxa"/>
          </w:tcPr>
          <w:p w14:paraId="08755E5E" w14:textId="78A5CD5A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C74AB">
              <w:t>4.9</w:t>
            </w:r>
            <w:r>
              <w:t>%</w:t>
            </w:r>
          </w:p>
        </w:tc>
        <w:tc>
          <w:tcPr>
            <w:tcW w:w="900" w:type="dxa"/>
          </w:tcPr>
          <w:p w14:paraId="19B1F6D2" w14:textId="0AB073EC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FC74AB">
              <w:t>8.1</w:t>
            </w:r>
            <w:r>
              <w:t>%</w:t>
            </w:r>
          </w:p>
        </w:tc>
      </w:tr>
      <w:tr w:rsidR="0004266D" w14:paraId="7C18640F" w14:textId="5B569261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055" w:type="dxa"/>
          </w:tcPr>
          <w:p w14:paraId="17C86A08" w14:textId="7ABFE923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FC74AB">
              <w:t>4.65</w:t>
            </w:r>
          </w:p>
        </w:tc>
        <w:tc>
          <w:tcPr>
            <w:tcW w:w="980" w:type="dxa"/>
          </w:tcPr>
          <w:p w14:paraId="7E986169" w14:textId="0EC4B318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FC74AB">
              <w:t>8.3</w:t>
            </w:r>
            <w: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36DDF54D" w14:textId="18C86755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FC74AB">
              <w:t>9.3</w:t>
            </w:r>
            <w: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233A8701" w14:textId="5CCDECBB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FC74AB">
              <w:t>4.52</w:t>
            </w:r>
          </w:p>
        </w:tc>
        <w:tc>
          <w:tcPr>
            <w:tcW w:w="947" w:type="dxa"/>
          </w:tcPr>
          <w:p w14:paraId="1759FD32" w14:textId="35B715FE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AF0B38">
              <w:t>5.9</w:t>
            </w:r>
            <w:r>
              <w:t>%</w:t>
            </w:r>
          </w:p>
        </w:tc>
        <w:tc>
          <w:tcPr>
            <w:tcW w:w="900" w:type="dxa"/>
          </w:tcPr>
          <w:p w14:paraId="725313BE" w14:textId="1DED6667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AF0B38">
              <w:t>7.2</w:t>
            </w:r>
            <w:r>
              <w:t>%</w:t>
            </w:r>
          </w:p>
        </w:tc>
      </w:tr>
    </w:tbl>
    <w:p w14:paraId="5CF68DB9" w14:textId="0E9C8250" w:rsidR="00170260" w:rsidRDefault="00170260" w:rsidP="00170260">
      <w:pPr>
        <w:pStyle w:val="NoSpacing"/>
      </w:pPr>
    </w:p>
    <w:p w14:paraId="611C2D9A" w14:textId="2A4F2AA3" w:rsidR="00170260" w:rsidRDefault="00170260" w:rsidP="00170260">
      <w:pPr>
        <w:pStyle w:val="NoSpacing"/>
      </w:pPr>
      <w:r>
        <w:t>Fresh mushroom dollar and pounds were promoted</w:t>
      </w:r>
      <w:r w:rsidR="003D3BDA">
        <w:t xml:space="preserve"> less often</w:t>
      </w:r>
      <w:r>
        <w:t xml:space="preserve">. </w:t>
      </w:r>
      <w:r w:rsidR="003D3BDA">
        <w:t xml:space="preserve">Less than 15% of dollars were promoted, down </w:t>
      </w:r>
      <w:r w:rsidR="007472CA">
        <w:t>11</w:t>
      </w:r>
      <w:r w:rsidR="003D3BDA">
        <w:t>.</w:t>
      </w:r>
      <w:r w:rsidR="00951A81">
        <w:t>4</w:t>
      </w:r>
      <w:r w:rsidR="003D3BDA">
        <w:t>% from year ago when merchandising levels were down as well</w:t>
      </w:r>
      <w:r>
        <w:t>.</w:t>
      </w:r>
      <w:r w:rsidR="003D3BDA">
        <w:t xml:space="preserve"> In comparison, </w:t>
      </w:r>
      <w:r w:rsidR="007472CA">
        <w:t>31.8</w:t>
      </w:r>
      <w:r w:rsidR="001B762B">
        <w:t>%</w:t>
      </w:r>
      <w:r w:rsidR="003D3BDA">
        <w:t xml:space="preserve"> of </w:t>
      </w:r>
      <w:r w:rsidR="007472CA">
        <w:t xml:space="preserve">fresh produce </w:t>
      </w:r>
      <w:r w:rsidR="003D3BDA">
        <w:t>dollars were generated by items on promotion</w:t>
      </w:r>
      <w:r w:rsidR="001B762B">
        <w:t xml:space="preserve">, </w:t>
      </w:r>
      <w:r w:rsidR="007472CA">
        <w:t>with a slight increase versus year ago</w:t>
      </w:r>
      <w:r w:rsidR="003D3BDA">
        <w:t xml:space="preserve">. </w:t>
      </w:r>
      <w:r>
        <w:t xml:space="preserve"> 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9265" w:type="dxa"/>
        <w:tblLook w:val="04A0" w:firstRow="1" w:lastRow="0" w:firstColumn="1" w:lastColumn="0" w:noHBand="0" w:noVBand="1"/>
      </w:tblPr>
      <w:tblGrid>
        <w:gridCol w:w="3441"/>
        <w:gridCol w:w="179"/>
        <w:gridCol w:w="1235"/>
        <w:gridCol w:w="1260"/>
        <w:gridCol w:w="1890"/>
        <w:gridCol w:w="1260"/>
      </w:tblGrid>
      <w:tr w:rsidR="00972570" w:rsidRPr="00124CB7" w14:paraId="5DFB9CAB" w14:textId="77777777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14" w:type="dxa"/>
            <w:gridSpan w:val="2"/>
          </w:tcPr>
          <w:p w14:paraId="6A0500B8" w14:textId="46DE6590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386950">
              <w:t>6/12/2022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F9736D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413A4F70" w14:textId="4389E7AB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Building CY thru </w:t>
            </w:r>
            <w:r w:rsidR="00386950">
              <w:t>6/12/2022</w:t>
            </w:r>
          </w:p>
        </w:tc>
        <w:tc>
          <w:tcPr>
            <w:tcW w:w="1260" w:type="dxa"/>
          </w:tcPr>
          <w:p w14:paraId="75064544" w14:textId="77777777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>Vs. 202</w:t>
            </w:r>
            <w:r>
              <w:t>1</w:t>
            </w:r>
          </w:p>
        </w:tc>
      </w:tr>
      <w:tr w:rsidR="00972570" w14:paraId="3B76FFA3" w14:textId="78296325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2B5B6C81" w14:textId="6313A9FC" w:rsidR="00972570" w:rsidRDefault="00972570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235" w:type="dxa"/>
          </w:tcPr>
          <w:p w14:paraId="6D5E5F03" w14:textId="6DECDE8C" w:rsidR="00972570" w:rsidRDefault="00C1729E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14.6</w:t>
            </w:r>
            <w:r w:rsidR="00972570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86FECBD" w14:textId="1059C114" w:rsidR="00972570" w:rsidRDefault="00972570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729E">
              <w:t>11.4</w:t>
            </w:r>
            <w:r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66CD7DD9" w14:textId="3FA5271D" w:rsidR="00972570" w:rsidRDefault="00C1729E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14.8</w:t>
            </w:r>
            <w:r w:rsidR="00972570">
              <w:t>%</w:t>
            </w:r>
          </w:p>
        </w:tc>
        <w:tc>
          <w:tcPr>
            <w:tcW w:w="1260" w:type="dxa"/>
          </w:tcPr>
          <w:p w14:paraId="7461CDF6" w14:textId="4B67D7CD" w:rsidR="00972570" w:rsidRDefault="003D3BDA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C1729E">
              <w:t>5.5</w:t>
            </w:r>
            <w:r w:rsidR="00972570">
              <w:t>%</w:t>
            </w:r>
          </w:p>
        </w:tc>
      </w:tr>
      <w:tr w:rsidR="00972570" w14:paraId="6BDC46F0" w14:textId="6B730DE2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F39E628" w14:textId="6809D4FA" w:rsidR="00972570" w:rsidRDefault="00972570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pounds sold on promotion</w:t>
            </w:r>
          </w:p>
        </w:tc>
        <w:tc>
          <w:tcPr>
            <w:tcW w:w="1235" w:type="dxa"/>
          </w:tcPr>
          <w:p w14:paraId="4B3F737B" w14:textId="253957C8" w:rsidR="00972570" w:rsidRDefault="00C1729E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17.5</w:t>
            </w:r>
            <w:r w:rsidR="00972570"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3E258D" w14:textId="35FD132E" w:rsidR="00972570" w:rsidRDefault="00972570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7472CA">
              <w:t>3.7</w:t>
            </w:r>
            <w:r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37E892BC" w14:textId="42B808D1" w:rsidR="00972570" w:rsidRDefault="00C1729E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17.4</w:t>
            </w:r>
            <w:r w:rsidR="00972570">
              <w:t>%</w:t>
            </w:r>
          </w:p>
        </w:tc>
        <w:tc>
          <w:tcPr>
            <w:tcW w:w="1260" w:type="dxa"/>
          </w:tcPr>
          <w:p w14:paraId="7052050B" w14:textId="39559226" w:rsidR="00972570" w:rsidRDefault="003D3BDA" w:rsidP="000C3CC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7472CA">
              <w:t>3.7</w:t>
            </w:r>
            <w:r w:rsidR="00972570">
              <w:t>%</w:t>
            </w:r>
          </w:p>
        </w:tc>
      </w:tr>
    </w:tbl>
    <w:p w14:paraId="23606064" w14:textId="5C2CD779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86950">
        <w:rPr>
          <w:color w:val="7F7F7F" w:themeColor="text1" w:themeTint="80"/>
          <w:sz w:val="16"/>
          <w:szCs w:val="16"/>
        </w:rPr>
        <w:t>6/12/2022</w:t>
      </w:r>
    </w:p>
    <w:p w14:paraId="5E202150" w14:textId="77777777" w:rsidR="00C1729E" w:rsidRDefault="00C1729E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4DB0C285" w:rsidR="00927EAC" w:rsidRDefault="003E5EF0" w:rsidP="00927EAC">
      <w:pPr>
        <w:pStyle w:val="NoSpacing"/>
      </w:pPr>
      <w:r>
        <w:t>Up from 51.8% in the prior quad-week period, 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6F1F55">
        <w:t>5</w:t>
      </w:r>
      <w:r>
        <w:t>3.4</w:t>
      </w:r>
      <w:r w:rsidR="00927EAC">
        <w:t xml:space="preserve">% of total fresh mushroom </w:t>
      </w:r>
      <w:r>
        <w:t>dollars. Year-on-year, white mushrooms were down the least, at -3.0% and specialty was down the most, at -14.9%. White mushrooms’ volume share was higher, at 60.8%, also up from the prior period when it was 58.7% of pounds.</w:t>
      </w:r>
      <w:r w:rsidR="004B7951">
        <w:t xml:space="preserve"> </w:t>
      </w:r>
      <w:r>
        <w:t>I</w:t>
      </w:r>
      <w:r w:rsidR="004B7951">
        <w:t xml:space="preserve">t was brown </w:t>
      </w:r>
      <w:r w:rsidR="00B25DFD">
        <w:t>mushrooms</w:t>
      </w:r>
      <w:r w:rsidR="004B7951">
        <w:t>, the combination of cr</w:t>
      </w:r>
      <w:r w:rsidR="002437CE">
        <w:t>i</w:t>
      </w:r>
      <w:r w:rsidR="004B7951">
        <w:t>minis and portabellas, that</w:t>
      </w:r>
      <w:r w:rsidR="00B25DFD">
        <w:t xml:space="preserve"> </w:t>
      </w:r>
      <w:r w:rsidR="004B7951">
        <w:t>fared better</w:t>
      </w:r>
      <w:r>
        <w:t xml:space="preserve"> in volume</w:t>
      </w:r>
      <w:r w:rsidR="004B7951">
        <w:t>.</w:t>
      </w:r>
      <w:r>
        <w:t xml:space="preserve"> In fact, both specialty and brown mushrooms still sold</w:t>
      </w:r>
      <w:r w:rsidR="00310BA6">
        <w:t xml:space="preserve"> more pounds than during the same weeks in 2019, at</w:t>
      </w:r>
      <w:r>
        <w:t xml:space="preserve"> </w:t>
      </w:r>
      <w:r w:rsidR="00310BA6">
        <w:t>+</w:t>
      </w:r>
      <w:r>
        <w:t xml:space="preserve">4.7% and </w:t>
      </w:r>
      <w:r w:rsidR="00310BA6">
        <w:t>+</w:t>
      </w:r>
      <w:r>
        <w:t>2.7%</w:t>
      </w:r>
      <w:r w:rsidR="00310BA6">
        <w:t>, respectively.</w:t>
      </w:r>
      <w:r w:rsidR="004B7951">
        <w:t xml:space="preserve">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777"/>
        <w:gridCol w:w="1022"/>
        <w:gridCol w:w="925"/>
        <w:gridCol w:w="1004"/>
        <w:gridCol w:w="983"/>
        <w:gridCol w:w="927"/>
        <w:gridCol w:w="925"/>
        <w:gridCol w:w="1071"/>
        <w:gridCol w:w="981"/>
      </w:tblGrid>
      <w:tr w:rsidR="00A10F6A" w:rsidRPr="00B25DFD" w14:paraId="66036A96" w14:textId="09558220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shd w:val="clear" w:color="auto" w:fill="ED7D31" w:themeFill="accent2"/>
            <w:vAlign w:val="center"/>
            <w:hideMark/>
          </w:tcPr>
          <w:p w14:paraId="4B138C18" w14:textId="7164E45D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386950">
              <w:rPr>
                <w:rFonts w:cstheme="minorHAnsi"/>
                <w:b/>
                <w:bCs/>
                <w:color w:val="FFFFFF" w:themeColor="background1"/>
              </w:rPr>
              <w:t>6/12/2022</w:t>
            </w:r>
          </w:p>
        </w:tc>
        <w:tc>
          <w:tcPr>
            <w:tcW w:w="1025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11" w:type="dxa"/>
            <w:shd w:val="clear" w:color="auto" w:fill="ED7D31" w:themeFill="accent2"/>
            <w:hideMark/>
          </w:tcPr>
          <w:p w14:paraId="3685CC92" w14:textId="483D67A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736B4899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</w:t>
            </w:r>
            <w:r w:rsidR="00A10F6A">
              <w:rPr>
                <w:rFonts w:cstheme="min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890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80" w:type="dxa"/>
            <w:shd w:val="clear" w:color="auto" w:fill="ED7D31" w:themeFill="accent2"/>
          </w:tcPr>
          <w:p w14:paraId="7DE6FAA8" w14:textId="682B1B76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2021</w:t>
            </w:r>
          </w:p>
        </w:tc>
        <w:tc>
          <w:tcPr>
            <w:tcW w:w="990" w:type="dxa"/>
            <w:shd w:val="clear" w:color="auto" w:fill="ED7D31" w:themeFill="accent2"/>
          </w:tcPr>
          <w:p w14:paraId="212AEB88" w14:textId="22E6077B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>s. 2020</w:t>
            </w:r>
          </w:p>
        </w:tc>
      </w:tr>
      <w:tr w:rsidR="00A10F6A" w:rsidRPr="00B25DFD" w14:paraId="69D4AA5B" w14:textId="069A747C" w:rsidTr="005761CF">
        <w:trPr>
          <w:trHeight w:val="20"/>
        </w:trPr>
        <w:tc>
          <w:tcPr>
            <w:tcW w:w="2821" w:type="dxa"/>
            <w:vAlign w:val="center"/>
            <w:hideMark/>
          </w:tcPr>
          <w:p w14:paraId="2C1CDE46" w14:textId="178D4679" w:rsidR="00A10F6A" w:rsidRPr="00951A81" w:rsidRDefault="00A10F6A" w:rsidP="00A10F6A">
            <w:pPr>
              <w:rPr>
                <w:rFonts w:cstheme="minorHAnsi"/>
                <w:b/>
                <w:bCs/>
              </w:rPr>
            </w:pPr>
            <w:r w:rsidRPr="00951A81">
              <w:rPr>
                <w:rFonts w:cstheme="minorHAnsi"/>
                <w:b/>
                <w:bCs/>
              </w:rPr>
              <w:t>Total fresh mushrooms</w:t>
            </w:r>
          </w:p>
        </w:tc>
        <w:tc>
          <w:tcPr>
            <w:tcW w:w="1025" w:type="dxa"/>
            <w:vAlign w:val="bottom"/>
            <w:hideMark/>
          </w:tcPr>
          <w:p w14:paraId="6A87FED7" w14:textId="21D8B0D2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951A81">
              <w:rPr>
                <w:rFonts w:cstheme="minorHAnsi"/>
              </w:rPr>
              <w:t>$93.6M</w:t>
            </w:r>
          </w:p>
        </w:tc>
        <w:tc>
          <w:tcPr>
            <w:tcW w:w="882" w:type="dxa"/>
            <w:vAlign w:val="bottom"/>
          </w:tcPr>
          <w:p w14:paraId="3A01C257" w14:textId="623871CC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 w:rsidRPr="00951A81">
              <w:rPr>
                <w:rFonts w:cstheme="minorHAnsi"/>
              </w:rPr>
              <w:t>100.0% </w:t>
            </w:r>
          </w:p>
        </w:tc>
        <w:tc>
          <w:tcPr>
            <w:tcW w:w="1011" w:type="dxa"/>
            <w:vAlign w:val="bottom"/>
            <w:hideMark/>
          </w:tcPr>
          <w:p w14:paraId="7E486F05" w14:textId="0DF962E0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951A81">
              <w:rPr>
                <w:rFonts w:cstheme="minorHAnsi"/>
              </w:rPr>
              <w:t>-4.1%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vAlign w:val="bottom"/>
            <w:hideMark/>
          </w:tcPr>
          <w:p w14:paraId="3BD808C1" w14:textId="0D394300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951A81">
              <w:rPr>
                <w:rFonts w:cstheme="minorHAnsi"/>
              </w:rPr>
              <w:t>8.6%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bottom"/>
          </w:tcPr>
          <w:p w14:paraId="6E7375BC" w14:textId="653FCD5C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951A81">
              <w:rPr>
                <w:rFonts w:cstheme="minorHAnsi"/>
              </w:rPr>
              <w:t>20.1M</w:t>
            </w:r>
          </w:p>
        </w:tc>
        <w:tc>
          <w:tcPr>
            <w:tcW w:w="890" w:type="dxa"/>
            <w:vAlign w:val="bottom"/>
          </w:tcPr>
          <w:p w14:paraId="62317D86" w14:textId="40A32760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 w:rsidRPr="00951A81">
              <w:rPr>
                <w:rFonts w:cstheme="minorHAnsi"/>
              </w:rPr>
              <w:t>100.0% </w:t>
            </w:r>
          </w:p>
        </w:tc>
        <w:tc>
          <w:tcPr>
            <w:tcW w:w="1080" w:type="dxa"/>
            <w:vAlign w:val="bottom"/>
          </w:tcPr>
          <w:p w14:paraId="5E78B271" w14:textId="0AFEE227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951A81">
              <w:rPr>
                <w:rFonts w:cstheme="minorHAnsi"/>
              </w:rPr>
              <w:t>-11.5%</w:t>
            </w:r>
          </w:p>
        </w:tc>
        <w:tc>
          <w:tcPr>
            <w:tcW w:w="990" w:type="dxa"/>
            <w:vAlign w:val="bottom"/>
          </w:tcPr>
          <w:p w14:paraId="576290B6" w14:textId="1C2A7763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951A81">
              <w:rPr>
                <w:rFonts w:cstheme="minorHAnsi"/>
              </w:rPr>
              <w:t>-3.3%</w:t>
            </w:r>
          </w:p>
        </w:tc>
      </w:tr>
      <w:tr w:rsidR="00A10F6A" w:rsidRPr="00B25DFD" w14:paraId="20B4A675" w14:textId="7B567306" w:rsidTr="00576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0674F69D" w14:textId="21733F06" w:rsidR="00A10F6A" w:rsidRPr="00951A81" w:rsidRDefault="00A10F6A" w:rsidP="00A10F6A">
            <w:pPr>
              <w:rPr>
                <w:rFonts w:cstheme="minorHAnsi"/>
              </w:rPr>
            </w:pPr>
            <w:r w:rsidRPr="00951A81">
              <w:rPr>
                <w:rFonts w:cstheme="minorHAnsi"/>
              </w:rPr>
              <w:t>White mushrooms</w:t>
            </w:r>
          </w:p>
        </w:tc>
        <w:tc>
          <w:tcPr>
            <w:tcW w:w="1025" w:type="dxa"/>
            <w:vAlign w:val="bottom"/>
            <w:hideMark/>
          </w:tcPr>
          <w:p w14:paraId="502595AA" w14:textId="6E7AC31B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$50M</w:t>
            </w:r>
          </w:p>
        </w:tc>
        <w:tc>
          <w:tcPr>
            <w:tcW w:w="882" w:type="dxa"/>
            <w:vAlign w:val="bottom"/>
          </w:tcPr>
          <w:p w14:paraId="5E770B3E" w14:textId="685AB153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951A81">
              <w:rPr>
                <w:rFonts w:cstheme="minorHAnsi"/>
              </w:rPr>
              <w:t>53.4%</w:t>
            </w:r>
          </w:p>
        </w:tc>
        <w:tc>
          <w:tcPr>
            <w:tcW w:w="1011" w:type="dxa"/>
            <w:vAlign w:val="bottom"/>
            <w:hideMark/>
          </w:tcPr>
          <w:p w14:paraId="4CEB702D" w14:textId="42BA05BF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-3.0%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vAlign w:val="bottom"/>
            <w:hideMark/>
          </w:tcPr>
          <w:p w14:paraId="7F3B4AE1" w14:textId="5159447F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2.7%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bottom"/>
          </w:tcPr>
          <w:p w14:paraId="3E87B660" w14:textId="1DB01A5C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12.2M</w:t>
            </w:r>
          </w:p>
        </w:tc>
        <w:tc>
          <w:tcPr>
            <w:tcW w:w="890" w:type="dxa"/>
            <w:vAlign w:val="bottom"/>
          </w:tcPr>
          <w:p w14:paraId="4385ED4A" w14:textId="14E2E94D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951A81">
              <w:rPr>
                <w:rFonts w:cstheme="minorHAnsi"/>
              </w:rPr>
              <w:t>60.8%</w:t>
            </w:r>
          </w:p>
        </w:tc>
        <w:tc>
          <w:tcPr>
            <w:tcW w:w="1080" w:type="dxa"/>
            <w:vAlign w:val="bottom"/>
          </w:tcPr>
          <w:p w14:paraId="776C4AD3" w14:textId="51DFC827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-10.0%</w:t>
            </w:r>
          </w:p>
        </w:tc>
        <w:tc>
          <w:tcPr>
            <w:tcW w:w="990" w:type="dxa"/>
            <w:vAlign w:val="bottom"/>
          </w:tcPr>
          <w:p w14:paraId="107F8B93" w14:textId="6E9450EA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-7.7%</w:t>
            </w:r>
          </w:p>
        </w:tc>
      </w:tr>
      <w:tr w:rsidR="00A10F6A" w:rsidRPr="00B25DFD" w14:paraId="6060C93B" w14:textId="081A30E4" w:rsidTr="005761CF">
        <w:trPr>
          <w:trHeight w:val="20"/>
        </w:trPr>
        <w:tc>
          <w:tcPr>
            <w:tcW w:w="2821" w:type="dxa"/>
            <w:vAlign w:val="center"/>
            <w:hideMark/>
          </w:tcPr>
          <w:p w14:paraId="4D628EC6" w14:textId="7F1F9492" w:rsidR="00A10F6A" w:rsidRPr="00951A81" w:rsidRDefault="00A10F6A" w:rsidP="00A10F6A">
            <w:pPr>
              <w:rPr>
                <w:rFonts w:cstheme="minorHAnsi"/>
              </w:rPr>
            </w:pPr>
            <w:r w:rsidRPr="00951A81">
              <w:rPr>
                <w:rFonts w:cstheme="minorHAnsi"/>
              </w:rPr>
              <w:t>Brown mushrooms</w:t>
            </w:r>
          </w:p>
        </w:tc>
        <w:tc>
          <w:tcPr>
            <w:tcW w:w="1025" w:type="dxa"/>
            <w:vAlign w:val="bottom"/>
            <w:hideMark/>
          </w:tcPr>
          <w:p w14:paraId="590C2B94" w14:textId="2D9BD86D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$38.7M</w:t>
            </w:r>
          </w:p>
        </w:tc>
        <w:tc>
          <w:tcPr>
            <w:tcW w:w="882" w:type="dxa"/>
            <w:vAlign w:val="bottom"/>
          </w:tcPr>
          <w:p w14:paraId="02395440" w14:textId="2DC81F1F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951A81">
              <w:rPr>
                <w:rFonts w:cstheme="minorHAnsi"/>
              </w:rPr>
              <w:t>41.3%</w:t>
            </w:r>
          </w:p>
        </w:tc>
        <w:tc>
          <w:tcPr>
            <w:tcW w:w="1011" w:type="dxa"/>
            <w:vAlign w:val="bottom"/>
            <w:hideMark/>
          </w:tcPr>
          <w:p w14:paraId="42F0AAF3" w14:textId="5B46513F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-3.9%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vAlign w:val="bottom"/>
            <w:hideMark/>
          </w:tcPr>
          <w:p w14:paraId="25DB127B" w14:textId="44CFE5C7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15.6%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bottom"/>
          </w:tcPr>
          <w:p w14:paraId="6FD24DED" w14:textId="18B8FBA6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7.5M</w:t>
            </w:r>
          </w:p>
        </w:tc>
        <w:tc>
          <w:tcPr>
            <w:tcW w:w="890" w:type="dxa"/>
            <w:vAlign w:val="bottom"/>
          </w:tcPr>
          <w:p w14:paraId="39529C18" w14:textId="18F87544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951A81">
              <w:rPr>
                <w:rFonts w:cstheme="minorHAnsi"/>
              </w:rPr>
              <w:t>37.4%</w:t>
            </w:r>
          </w:p>
        </w:tc>
        <w:tc>
          <w:tcPr>
            <w:tcW w:w="1080" w:type="dxa"/>
            <w:vAlign w:val="bottom"/>
          </w:tcPr>
          <w:p w14:paraId="720478A7" w14:textId="2F0D0C3A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-13.1%</w:t>
            </w:r>
          </w:p>
        </w:tc>
        <w:tc>
          <w:tcPr>
            <w:tcW w:w="990" w:type="dxa"/>
            <w:vAlign w:val="bottom"/>
          </w:tcPr>
          <w:p w14:paraId="30958CBD" w14:textId="2851F015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4.7%</w:t>
            </w:r>
          </w:p>
        </w:tc>
      </w:tr>
      <w:tr w:rsidR="00A10F6A" w:rsidRPr="00B25DFD" w14:paraId="2B6B448E" w14:textId="7445020D" w:rsidTr="00576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821" w:type="dxa"/>
            <w:vAlign w:val="center"/>
            <w:hideMark/>
          </w:tcPr>
          <w:p w14:paraId="7C14C062" w14:textId="0BCE1D26" w:rsidR="00A10F6A" w:rsidRPr="00951A81" w:rsidRDefault="00A10F6A" w:rsidP="00A10F6A">
            <w:pPr>
              <w:rPr>
                <w:rFonts w:cstheme="minorHAnsi"/>
              </w:rPr>
            </w:pPr>
            <w:r w:rsidRPr="00951A81">
              <w:rPr>
                <w:rFonts w:cstheme="minorHAnsi"/>
              </w:rPr>
              <w:t>Specialty mushrooms</w:t>
            </w:r>
          </w:p>
        </w:tc>
        <w:tc>
          <w:tcPr>
            <w:tcW w:w="1025" w:type="dxa"/>
            <w:vAlign w:val="bottom"/>
            <w:hideMark/>
          </w:tcPr>
          <w:p w14:paraId="43257BA5" w14:textId="3718F521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$4.9M</w:t>
            </w:r>
          </w:p>
        </w:tc>
        <w:tc>
          <w:tcPr>
            <w:tcW w:w="882" w:type="dxa"/>
            <w:vAlign w:val="bottom"/>
          </w:tcPr>
          <w:p w14:paraId="7EC04D31" w14:textId="2F108609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951A81">
              <w:rPr>
                <w:rFonts w:cstheme="minorHAnsi"/>
              </w:rPr>
              <w:t>5.2%</w:t>
            </w:r>
          </w:p>
        </w:tc>
        <w:tc>
          <w:tcPr>
            <w:tcW w:w="1011" w:type="dxa"/>
            <w:vAlign w:val="bottom"/>
            <w:hideMark/>
          </w:tcPr>
          <w:p w14:paraId="10052F27" w14:textId="28F84046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-14.9%</w:t>
            </w:r>
          </w:p>
        </w:tc>
        <w:tc>
          <w:tcPr>
            <w:tcW w:w="989" w:type="dxa"/>
            <w:tcBorders>
              <w:right w:val="single" w:sz="4" w:space="0" w:color="ED7D31"/>
            </w:tcBorders>
            <w:vAlign w:val="bottom"/>
            <w:hideMark/>
          </w:tcPr>
          <w:p w14:paraId="31EEA636" w14:textId="166D5FE1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21.8%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bottom"/>
          </w:tcPr>
          <w:p w14:paraId="166CB34C" w14:textId="7F26C29B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0.3M</w:t>
            </w:r>
          </w:p>
        </w:tc>
        <w:tc>
          <w:tcPr>
            <w:tcW w:w="890" w:type="dxa"/>
            <w:vAlign w:val="bottom"/>
          </w:tcPr>
          <w:p w14:paraId="417DE33D" w14:textId="5E760442" w:rsidR="00A10F6A" w:rsidRPr="00951A81" w:rsidRDefault="00A10F6A" w:rsidP="00A10F6A">
            <w:pPr>
              <w:pStyle w:val="NoSpacing"/>
              <w:jc w:val="right"/>
              <w:rPr>
                <w:rFonts w:cstheme="minorHAnsi"/>
                <w:color w:val="000000" w:themeColor="text1"/>
              </w:rPr>
            </w:pPr>
            <w:r w:rsidRPr="00951A81">
              <w:rPr>
                <w:rFonts w:cstheme="minorHAnsi"/>
              </w:rPr>
              <w:t>1.8%</w:t>
            </w:r>
          </w:p>
        </w:tc>
        <w:tc>
          <w:tcPr>
            <w:tcW w:w="1080" w:type="dxa"/>
            <w:vAlign w:val="bottom"/>
          </w:tcPr>
          <w:p w14:paraId="632726C6" w14:textId="1C3C1807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-24.2%</w:t>
            </w:r>
          </w:p>
        </w:tc>
        <w:tc>
          <w:tcPr>
            <w:tcW w:w="990" w:type="dxa"/>
            <w:vAlign w:val="bottom"/>
          </w:tcPr>
          <w:p w14:paraId="700774A9" w14:textId="6DC60335" w:rsidR="00A10F6A" w:rsidRPr="00951A81" w:rsidRDefault="00A10F6A" w:rsidP="00A10F6A">
            <w:pPr>
              <w:pStyle w:val="NoSpacing"/>
              <w:jc w:val="right"/>
              <w:rPr>
                <w:rFonts w:cstheme="minorHAnsi"/>
              </w:rPr>
            </w:pPr>
            <w:r w:rsidRPr="00951A81">
              <w:rPr>
                <w:rFonts w:cstheme="minorHAnsi"/>
              </w:rPr>
              <w:t>2.7%</w:t>
            </w:r>
          </w:p>
        </w:tc>
      </w:tr>
    </w:tbl>
    <w:bookmarkEnd w:id="0"/>
    <w:p w14:paraId="45617577" w14:textId="2B1F4F48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386950">
        <w:rPr>
          <w:color w:val="7F7F7F" w:themeColor="text1" w:themeTint="80"/>
          <w:sz w:val="16"/>
          <w:szCs w:val="16"/>
        </w:rPr>
        <w:t>6/12/2022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5AD5C74D" w14:textId="1F282308" w:rsidR="00D81FBA" w:rsidRDefault="00D81FBA" w:rsidP="006035CB">
      <w:pPr>
        <w:pStyle w:val="NoSpacing"/>
        <w:numPr>
          <w:ilvl w:val="0"/>
          <w:numId w:val="2"/>
        </w:numPr>
      </w:pPr>
      <w:r>
        <w:rPr>
          <w:u w:val="single"/>
        </w:rPr>
        <w:t>Fixed versus random weight performance</w:t>
      </w:r>
      <w:r w:rsidRPr="00D81FBA">
        <w:t>:</w:t>
      </w:r>
      <w:r>
        <w:t xml:space="preserve"> </w:t>
      </w:r>
      <w:r w:rsidR="006035CB">
        <w:t>Fixed weight represented 94</w:t>
      </w:r>
      <w:r w:rsidR="002A37BA">
        <w:t>.</w:t>
      </w:r>
      <w:r w:rsidR="001D07D5">
        <w:t>9</w:t>
      </w:r>
      <w:r w:rsidR="006035CB">
        <w:t>% of dollars and 9</w:t>
      </w:r>
      <w:r w:rsidR="002A37BA">
        <w:t>5.7</w:t>
      </w:r>
      <w:r w:rsidR="006035CB">
        <w:t>% of volume in the quad-week period. F</w:t>
      </w:r>
      <w:r w:rsidR="00461D8C">
        <w:t xml:space="preserve">ixed weight also had the better dollar, unit and volume performance. While fixed weight was down </w:t>
      </w:r>
      <w:r w:rsidR="002A37BA">
        <w:t>5.6</w:t>
      </w:r>
      <w:r w:rsidR="00461D8C">
        <w:t xml:space="preserve">% in the four-week period, random weight (loose/bulk) was down </w:t>
      </w:r>
      <w:r w:rsidR="006035CB">
        <w:t>1</w:t>
      </w:r>
      <w:r w:rsidR="002A37BA">
        <w:t>5.4</w:t>
      </w:r>
      <w:r w:rsidR="00461D8C">
        <w:t xml:space="preserve">%. </w:t>
      </w:r>
    </w:p>
    <w:p w14:paraId="5717B51C" w14:textId="64911ED3" w:rsidR="004462C1" w:rsidRDefault="004462C1" w:rsidP="006035CB">
      <w:pPr>
        <w:pStyle w:val="NoSpacing"/>
        <w:numPr>
          <w:ilvl w:val="0"/>
          <w:numId w:val="2"/>
        </w:numPr>
      </w:pPr>
      <w:r>
        <w:rPr>
          <w:u w:val="single"/>
        </w:rPr>
        <w:t>Organic versus conventional</w:t>
      </w:r>
      <w:r w:rsidRPr="004462C1">
        <w:t>:</w:t>
      </w:r>
      <w:r>
        <w:t xml:space="preserve"> Organic dollar sales made up </w:t>
      </w:r>
      <w:r w:rsidR="006035CB">
        <w:t>12</w:t>
      </w:r>
      <w:r w:rsidR="001D07D5">
        <w:t>.7</w:t>
      </w:r>
      <w:r>
        <w:t>% of total fresh mushroom sales in</w:t>
      </w:r>
      <w:r w:rsidR="00BF5D9C">
        <w:t xml:space="preserve"> the four weeks</w:t>
      </w:r>
      <w:r>
        <w:t xml:space="preserve">. Organic mushrooms </w:t>
      </w:r>
      <w:r w:rsidR="00461D8C">
        <w:t>dollars increased year-on-year (+</w:t>
      </w:r>
      <w:r w:rsidR="001D07D5">
        <w:t>1</w:t>
      </w:r>
      <w:r w:rsidR="00461D8C">
        <w:t>.</w:t>
      </w:r>
      <w:r w:rsidR="001D07D5">
        <w:t>7</w:t>
      </w:r>
      <w:r w:rsidR="00461D8C">
        <w:t xml:space="preserve">%), but units and pounds were down. </w:t>
      </w:r>
      <w:r>
        <w:t xml:space="preserve"> </w:t>
      </w:r>
    </w:p>
    <w:p w14:paraId="6D8D98E4" w14:textId="4521E824" w:rsidR="00461D8C" w:rsidRDefault="004462C1" w:rsidP="006035CB">
      <w:pPr>
        <w:pStyle w:val="NoSpacing"/>
        <w:numPr>
          <w:ilvl w:val="0"/>
          <w:numId w:val="2"/>
        </w:numPr>
      </w:pPr>
      <w:r w:rsidRPr="00461D8C">
        <w:rPr>
          <w:u w:val="single"/>
        </w:rPr>
        <w:t>Cut/prepared versus whole mushrooms</w:t>
      </w:r>
      <w:r>
        <w:t xml:space="preserve">: </w:t>
      </w:r>
      <w:r w:rsidR="0090410F">
        <w:t>Cut or prepared mushrooms made up 5</w:t>
      </w:r>
      <w:r w:rsidR="006035CB">
        <w:t>3.</w:t>
      </w:r>
      <w:r w:rsidR="001D07D5">
        <w:t>3</w:t>
      </w:r>
      <w:r w:rsidR="0090410F">
        <w:t xml:space="preserve">% of dollar sales in </w:t>
      </w:r>
      <w:r w:rsidR="00BF5D9C">
        <w:t>the four</w:t>
      </w:r>
      <w:r w:rsidR="00461D8C">
        <w:t>-week period</w:t>
      </w:r>
      <w:r w:rsidR="00A51F5B">
        <w:t>. Mushrooms without preparation had the better performance</w:t>
      </w:r>
      <w:r w:rsidR="006035CB">
        <w:t>, down -</w:t>
      </w:r>
      <w:r w:rsidR="001D07D5">
        <w:t>4.0</w:t>
      </w:r>
      <w:r w:rsidR="006035CB">
        <w:t>% year-on-year versus -</w:t>
      </w:r>
      <w:r w:rsidR="001D07D5">
        <w:t>7.9</w:t>
      </w:r>
      <w:r w:rsidR="006035CB">
        <w:t>% for cut/value-added mushrooms</w:t>
      </w:r>
      <w:r w:rsidR="00A51F5B">
        <w:t xml:space="preserve">. </w:t>
      </w:r>
      <w:r w:rsidR="0090410F">
        <w:t xml:space="preserve"> </w:t>
      </w:r>
    </w:p>
    <w:p w14:paraId="5DBFDF80" w14:textId="03419262" w:rsidR="00B34EF7" w:rsidRDefault="00782D09" w:rsidP="00461D8C">
      <w:pPr>
        <w:pStyle w:val="NoSpacing"/>
        <w:spacing w:before="120"/>
      </w:pPr>
      <w:r w:rsidRPr="00461D8C">
        <w:rPr>
          <w:color w:val="7F7F7F" w:themeColor="text1" w:themeTint="80"/>
          <w:sz w:val="16"/>
          <w:szCs w:val="16"/>
        </w:rPr>
        <w:t xml:space="preserve">Source: IRI, Integrated Fresh, MULO, </w:t>
      </w:r>
      <w:r w:rsidR="004B7951" w:rsidRPr="00461D8C">
        <w:rPr>
          <w:color w:val="7F7F7F" w:themeColor="text1" w:themeTint="80"/>
          <w:sz w:val="16"/>
          <w:szCs w:val="16"/>
        </w:rPr>
        <w:t>4</w:t>
      </w:r>
      <w:r w:rsidRPr="00461D8C">
        <w:rPr>
          <w:color w:val="7F7F7F" w:themeColor="text1" w:themeTint="80"/>
          <w:sz w:val="16"/>
          <w:szCs w:val="16"/>
        </w:rPr>
        <w:t xml:space="preserve"> weeks ending </w:t>
      </w:r>
      <w:r w:rsidR="00386950">
        <w:rPr>
          <w:color w:val="7F7F7F" w:themeColor="text1" w:themeTint="80"/>
          <w:sz w:val="16"/>
          <w:szCs w:val="16"/>
        </w:rPr>
        <w:t>6/12/2022</w:t>
      </w:r>
      <w:r w:rsidR="00B34EF7">
        <w:t xml:space="preserve"> </w:t>
      </w:r>
    </w:p>
    <w:p w14:paraId="30F9741F" w14:textId="40D38B1D" w:rsidR="002A37BA" w:rsidRDefault="002A37BA" w:rsidP="00461D8C">
      <w:pPr>
        <w:pStyle w:val="NoSpacing"/>
        <w:spacing w:before="120"/>
      </w:pPr>
    </w:p>
    <w:p w14:paraId="36404A80" w14:textId="5B76F294" w:rsidR="002A37BA" w:rsidRDefault="002A37BA" w:rsidP="00461D8C">
      <w:pPr>
        <w:pStyle w:val="NoSpacing"/>
        <w:spacing w:before="120"/>
      </w:pPr>
    </w:p>
    <w:p w14:paraId="7D450F0C" w14:textId="77777777" w:rsidR="002A37BA" w:rsidRDefault="002A37BA" w:rsidP="00461D8C">
      <w:pPr>
        <w:pStyle w:val="NoSpacing"/>
        <w:spacing w:before="120"/>
      </w:pPr>
    </w:p>
    <w:p w14:paraId="31B2260B" w14:textId="77777777" w:rsidR="002A37BA" w:rsidRDefault="002A37BA" w:rsidP="00461D8C">
      <w:pPr>
        <w:pStyle w:val="NoSpacing"/>
        <w:spacing w:before="120"/>
      </w:pPr>
    </w:p>
    <w:sectPr w:rsidR="002A37BA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6206129">
    <w:abstractNumId w:val="0"/>
  </w:num>
  <w:num w:numId="2" w16cid:durableId="618100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F7"/>
    <w:rsid w:val="00002117"/>
    <w:rsid w:val="0004266D"/>
    <w:rsid w:val="0007328F"/>
    <w:rsid w:val="000809C3"/>
    <w:rsid w:val="000C3CC4"/>
    <w:rsid w:val="000D7A79"/>
    <w:rsid w:val="001119BD"/>
    <w:rsid w:val="00113674"/>
    <w:rsid w:val="00124C8B"/>
    <w:rsid w:val="00124CB7"/>
    <w:rsid w:val="00170260"/>
    <w:rsid w:val="001A4D44"/>
    <w:rsid w:val="001A601E"/>
    <w:rsid w:val="001B40A8"/>
    <w:rsid w:val="001B762B"/>
    <w:rsid w:val="001D07D5"/>
    <w:rsid w:val="00217E05"/>
    <w:rsid w:val="002437CE"/>
    <w:rsid w:val="00276C09"/>
    <w:rsid w:val="00283DB2"/>
    <w:rsid w:val="00291F75"/>
    <w:rsid w:val="002A37BA"/>
    <w:rsid w:val="002B7E48"/>
    <w:rsid w:val="002F23A1"/>
    <w:rsid w:val="00310BA6"/>
    <w:rsid w:val="00386950"/>
    <w:rsid w:val="00396448"/>
    <w:rsid w:val="003C1DD2"/>
    <w:rsid w:val="003C72DD"/>
    <w:rsid w:val="003D3BDA"/>
    <w:rsid w:val="003D6A0F"/>
    <w:rsid w:val="003E5EF0"/>
    <w:rsid w:val="00403666"/>
    <w:rsid w:val="004462C1"/>
    <w:rsid w:val="00461D8C"/>
    <w:rsid w:val="00467FB5"/>
    <w:rsid w:val="00472B02"/>
    <w:rsid w:val="0047570E"/>
    <w:rsid w:val="004B6371"/>
    <w:rsid w:val="004B7951"/>
    <w:rsid w:val="004C2808"/>
    <w:rsid w:val="004C33AD"/>
    <w:rsid w:val="005049A9"/>
    <w:rsid w:val="0054182D"/>
    <w:rsid w:val="00541AFF"/>
    <w:rsid w:val="00552C5D"/>
    <w:rsid w:val="00555250"/>
    <w:rsid w:val="005571F3"/>
    <w:rsid w:val="005A54F2"/>
    <w:rsid w:val="005C6AEE"/>
    <w:rsid w:val="005E5127"/>
    <w:rsid w:val="006035CB"/>
    <w:rsid w:val="00666D40"/>
    <w:rsid w:val="006A7A6E"/>
    <w:rsid w:val="006F1F55"/>
    <w:rsid w:val="00712855"/>
    <w:rsid w:val="007472CA"/>
    <w:rsid w:val="00782D09"/>
    <w:rsid w:val="007D30DA"/>
    <w:rsid w:val="007D33D8"/>
    <w:rsid w:val="007D3D1C"/>
    <w:rsid w:val="007F1F55"/>
    <w:rsid w:val="00837283"/>
    <w:rsid w:val="00851AC9"/>
    <w:rsid w:val="0086198D"/>
    <w:rsid w:val="0086536E"/>
    <w:rsid w:val="00873884"/>
    <w:rsid w:val="008A56E2"/>
    <w:rsid w:val="008B128D"/>
    <w:rsid w:val="008B7FFD"/>
    <w:rsid w:val="009040DB"/>
    <w:rsid w:val="0090410F"/>
    <w:rsid w:val="0092088E"/>
    <w:rsid w:val="00927EAC"/>
    <w:rsid w:val="0094219B"/>
    <w:rsid w:val="00951A81"/>
    <w:rsid w:val="00972570"/>
    <w:rsid w:val="009B7AC3"/>
    <w:rsid w:val="00A00697"/>
    <w:rsid w:val="00A051AF"/>
    <w:rsid w:val="00A10F6A"/>
    <w:rsid w:val="00A13601"/>
    <w:rsid w:val="00A5084B"/>
    <w:rsid w:val="00A51F5B"/>
    <w:rsid w:val="00A72B72"/>
    <w:rsid w:val="00AC2C09"/>
    <w:rsid w:val="00AE0F54"/>
    <w:rsid w:val="00AF0B38"/>
    <w:rsid w:val="00AF14BD"/>
    <w:rsid w:val="00AF21F6"/>
    <w:rsid w:val="00B13706"/>
    <w:rsid w:val="00B25DFD"/>
    <w:rsid w:val="00B34EF7"/>
    <w:rsid w:val="00B85618"/>
    <w:rsid w:val="00B979CF"/>
    <w:rsid w:val="00BF5D9C"/>
    <w:rsid w:val="00C05818"/>
    <w:rsid w:val="00C1729E"/>
    <w:rsid w:val="00C477EC"/>
    <w:rsid w:val="00C8545B"/>
    <w:rsid w:val="00CB23CA"/>
    <w:rsid w:val="00CE27CF"/>
    <w:rsid w:val="00D03B05"/>
    <w:rsid w:val="00D22E21"/>
    <w:rsid w:val="00D26DE8"/>
    <w:rsid w:val="00D81FBA"/>
    <w:rsid w:val="00D8225F"/>
    <w:rsid w:val="00D9097A"/>
    <w:rsid w:val="00D97BC7"/>
    <w:rsid w:val="00DB764D"/>
    <w:rsid w:val="00DD58ED"/>
    <w:rsid w:val="00E20285"/>
    <w:rsid w:val="00E4438B"/>
    <w:rsid w:val="00E65269"/>
    <w:rsid w:val="00F23C90"/>
    <w:rsid w:val="00F26DD2"/>
    <w:rsid w:val="00F4460A"/>
    <w:rsid w:val="00F51CD6"/>
    <w:rsid w:val="00F61EEB"/>
    <w:rsid w:val="00FB15C0"/>
    <w:rsid w:val="00FC53C7"/>
    <w:rsid w:val="00FC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18</cp:revision>
  <dcterms:created xsi:type="dcterms:W3CDTF">2022-06-20T16:56:00Z</dcterms:created>
  <dcterms:modified xsi:type="dcterms:W3CDTF">2022-06-23T13:39:00Z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