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0FBAC172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D22E21">
        <w:rPr>
          <w:sz w:val="44"/>
          <w:szCs w:val="44"/>
        </w:rPr>
        <w:t xml:space="preserve">YTD and </w:t>
      </w:r>
      <w:r w:rsidR="000C3CC4" w:rsidRPr="000C3CC4">
        <w:rPr>
          <w:sz w:val="44"/>
          <w:szCs w:val="44"/>
        </w:rPr>
        <w:t>4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D22E21">
        <w:rPr>
          <w:sz w:val="44"/>
          <w:szCs w:val="44"/>
        </w:rPr>
        <w:t>5</w:t>
      </w:r>
      <w:r w:rsidR="000C3CC4" w:rsidRPr="000C3CC4">
        <w:rPr>
          <w:sz w:val="44"/>
          <w:szCs w:val="44"/>
        </w:rPr>
        <w:t>.</w:t>
      </w:r>
      <w:r w:rsidR="00D22E21">
        <w:rPr>
          <w:sz w:val="44"/>
          <w:szCs w:val="44"/>
        </w:rPr>
        <w:t>15</w:t>
      </w:r>
      <w:r w:rsidR="000C3CC4" w:rsidRPr="000C3CC4">
        <w:rPr>
          <w:sz w:val="44"/>
          <w:szCs w:val="44"/>
        </w:rPr>
        <w:t>.2022</w:t>
      </w:r>
    </w:p>
    <w:p w14:paraId="022A5B42" w14:textId="605814EC" w:rsidR="00B34EF7" w:rsidRDefault="00B34EF7" w:rsidP="00B34EF7">
      <w:pPr>
        <w:pStyle w:val="NoSpacing"/>
      </w:pPr>
    </w:p>
    <w:p w14:paraId="737234D5" w14:textId="14E5F9D2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4E5D3738" w14:textId="0C6CB659" w:rsidR="003C3F10" w:rsidRDefault="00637AE9" w:rsidP="00472B02">
      <w:pPr>
        <w:pStyle w:val="NoSpacing"/>
      </w:pPr>
      <w:r>
        <w:t>Persistent and accelerating inflation is pressuring volume across departments</w:t>
      </w:r>
      <w:r w:rsidR="000F6913">
        <w:t xml:space="preserve"> from seafood to meat to produce.</w:t>
      </w:r>
      <w:r w:rsidR="00B21146">
        <w:t xml:space="preserve"> Year-on-year produce pound sales were down 7.0% for the four weeks ending mid-May. The two-year comparison goes up against some of the biggest weeks in the history of grocery retailing during the height of the shelter-in-place period</w:t>
      </w:r>
      <w:r w:rsidR="0034238A">
        <w:t xml:space="preserve">. This resulted in </w:t>
      </w:r>
      <w:r w:rsidR="00B21146">
        <w:t>volume</w:t>
      </w:r>
      <w:r w:rsidR="0034238A">
        <w:t xml:space="preserve"> being</w:t>
      </w:r>
      <w:r w:rsidR="00B21146">
        <w:t xml:space="preserve"> down in the double digits. However, when compared to the pre-pandemic normal of 2019, pound sales for produce overall</w:t>
      </w:r>
      <w:r w:rsidR="0034238A">
        <w:t>,</w:t>
      </w:r>
      <w:r w:rsidR="00B21146">
        <w:t xml:space="preserve"> and mushrooms specifically</w:t>
      </w:r>
      <w:r w:rsidR="0034238A">
        <w:t>,</w:t>
      </w:r>
      <w:r w:rsidR="00B21146">
        <w:t xml:space="preserve"> s</w:t>
      </w:r>
      <w:r w:rsidR="00265C0D">
        <w:t>a</w:t>
      </w:r>
      <w:r w:rsidR="00B21146">
        <w:t xml:space="preserve">t round around typical levels. </w:t>
      </w:r>
    </w:p>
    <w:p w14:paraId="7C2F18B6" w14:textId="77777777" w:rsidR="003C3F10" w:rsidRDefault="003C3F10" w:rsidP="00472B02">
      <w:pPr>
        <w:pStyle w:val="NoSpacing"/>
      </w:pPr>
    </w:p>
    <w:tbl>
      <w:tblPr>
        <w:tblStyle w:val="GridTable4-Accent2"/>
        <w:tblW w:w="9715" w:type="dxa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3"/>
        <w:gridCol w:w="1943"/>
      </w:tblGrid>
      <w:tr w:rsidR="003C3F10" w:rsidRPr="003C3F10" w14:paraId="4248605B" w14:textId="67624EC0" w:rsidTr="003C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hideMark/>
          </w:tcPr>
          <w:p w14:paraId="5096BFC9" w14:textId="15E15E6E" w:rsidR="003C3F10" w:rsidRPr="003C3F10" w:rsidRDefault="003C3F10" w:rsidP="003C3F1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43" w:type="dxa"/>
          </w:tcPr>
          <w:p w14:paraId="4174173B" w14:textId="2A98C3E5" w:rsidR="003C3F10" w:rsidRPr="003C3F10" w:rsidRDefault="003C3F10" w:rsidP="003C3F1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Volume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</w:t>
            </w: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ales</w:t>
            </w:r>
          </w:p>
        </w:tc>
        <w:tc>
          <w:tcPr>
            <w:tcW w:w="1943" w:type="dxa"/>
          </w:tcPr>
          <w:p w14:paraId="6E599456" w14:textId="6DB3BD95" w:rsidR="003C3F10" w:rsidRPr="003C3F10" w:rsidRDefault="003C3F10" w:rsidP="003C3F1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% change vs. YA</w:t>
            </w:r>
          </w:p>
        </w:tc>
        <w:tc>
          <w:tcPr>
            <w:tcW w:w="1943" w:type="dxa"/>
          </w:tcPr>
          <w:p w14:paraId="7E494CBA" w14:textId="3F5E2D63" w:rsidR="003C3F10" w:rsidRPr="003C3F10" w:rsidRDefault="003C3F10" w:rsidP="003C3F1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% change vs. </w:t>
            </w: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YA</w:t>
            </w:r>
          </w:p>
        </w:tc>
        <w:tc>
          <w:tcPr>
            <w:tcW w:w="1943" w:type="dxa"/>
          </w:tcPr>
          <w:p w14:paraId="00D2032F" w14:textId="1B001818" w:rsidR="003C3F10" w:rsidRPr="003C3F10" w:rsidRDefault="003C3F10" w:rsidP="003C3F1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% change vs. </w:t>
            </w: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  <w:r w:rsidRPr="003C3F1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YA</w:t>
            </w:r>
          </w:p>
        </w:tc>
      </w:tr>
      <w:tr w:rsidR="003C3F10" w:rsidRPr="003C3F10" w14:paraId="7A1AEA0B" w14:textId="5C1FF1F6" w:rsidTr="003C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noWrap/>
            <w:hideMark/>
          </w:tcPr>
          <w:p w14:paraId="6DA550D5" w14:textId="0CF98047" w:rsidR="003C3F10" w:rsidRPr="003C3F10" w:rsidRDefault="003C3F10" w:rsidP="003C3F10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3C3F10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Fresh produce</w:t>
            </w:r>
          </w:p>
        </w:tc>
        <w:tc>
          <w:tcPr>
            <w:tcW w:w="1943" w:type="dxa"/>
          </w:tcPr>
          <w:p w14:paraId="50924495" w14:textId="6DF35788" w:rsidR="003C3F10" w:rsidRPr="003C3F10" w:rsidRDefault="003C3F10" w:rsidP="003C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3.0B</w:t>
            </w:r>
          </w:p>
        </w:tc>
        <w:tc>
          <w:tcPr>
            <w:tcW w:w="1943" w:type="dxa"/>
          </w:tcPr>
          <w:p w14:paraId="28F24CF1" w14:textId="77AD28DF" w:rsidR="003C3F10" w:rsidRPr="003C3F10" w:rsidRDefault="003C3F10" w:rsidP="003C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-7.0%</w:t>
            </w:r>
          </w:p>
        </w:tc>
        <w:tc>
          <w:tcPr>
            <w:tcW w:w="1943" w:type="dxa"/>
          </w:tcPr>
          <w:p w14:paraId="7B7385CF" w14:textId="059807FD" w:rsidR="003C3F10" w:rsidRPr="003C3F10" w:rsidRDefault="003C3F10" w:rsidP="003C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-17.7%</w:t>
            </w:r>
          </w:p>
        </w:tc>
        <w:tc>
          <w:tcPr>
            <w:tcW w:w="1943" w:type="dxa"/>
          </w:tcPr>
          <w:p w14:paraId="74778244" w14:textId="59E514AE" w:rsidR="003C3F10" w:rsidRPr="003C3F10" w:rsidRDefault="003C3F10" w:rsidP="003C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0.1%</w:t>
            </w:r>
          </w:p>
        </w:tc>
      </w:tr>
      <w:tr w:rsidR="003C3F10" w:rsidRPr="003C3F10" w14:paraId="43456409" w14:textId="0C5788C1" w:rsidTr="003C3F10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noWrap/>
            <w:hideMark/>
          </w:tcPr>
          <w:p w14:paraId="0F9787E7" w14:textId="2868FB3B" w:rsidR="003C3F10" w:rsidRPr="003C3F10" w:rsidRDefault="003C3F10" w:rsidP="003C3F10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3C3F10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Fresh mushrooms</w:t>
            </w:r>
          </w:p>
        </w:tc>
        <w:tc>
          <w:tcPr>
            <w:tcW w:w="1943" w:type="dxa"/>
          </w:tcPr>
          <w:p w14:paraId="1525FA7B" w14:textId="59DCD699" w:rsidR="003C3F10" w:rsidRPr="003C3F10" w:rsidRDefault="003C3F10" w:rsidP="003C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21M</w:t>
            </w:r>
          </w:p>
        </w:tc>
        <w:tc>
          <w:tcPr>
            <w:tcW w:w="1943" w:type="dxa"/>
          </w:tcPr>
          <w:p w14:paraId="3ED19A91" w14:textId="2CD76A85" w:rsidR="003C3F10" w:rsidRPr="003C3F10" w:rsidRDefault="003C3F10" w:rsidP="003C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-11.8%</w:t>
            </w:r>
          </w:p>
        </w:tc>
        <w:tc>
          <w:tcPr>
            <w:tcW w:w="1943" w:type="dxa"/>
          </w:tcPr>
          <w:p w14:paraId="0FE0C825" w14:textId="26522640" w:rsidR="003C3F10" w:rsidRPr="003C3F10" w:rsidRDefault="003C3F10" w:rsidP="003C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-25.3%</w:t>
            </w:r>
          </w:p>
        </w:tc>
        <w:tc>
          <w:tcPr>
            <w:tcW w:w="1943" w:type="dxa"/>
          </w:tcPr>
          <w:p w14:paraId="4B90BB5E" w14:textId="5B775EF4" w:rsidR="003C3F10" w:rsidRPr="003C3F10" w:rsidRDefault="003C3F10" w:rsidP="003C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F10">
              <w:rPr>
                <w:rFonts w:ascii="Arial" w:hAnsi="Arial" w:cs="Arial"/>
                <w:sz w:val="18"/>
                <w:szCs w:val="18"/>
              </w:rPr>
              <w:t>-0.2%</w:t>
            </w:r>
          </w:p>
        </w:tc>
      </w:tr>
    </w:tbl>
    <w:p w14:paraId="43BBCC6F" w14:textId="77777777" w:rsidR="00B21146" w:rsidRPr="00555250" w:rsidRDefault="00B21146" w:rsidP="00B21146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>
        <w:rPr>
          <w:color w:val="7F7F7F" w:themeColor="text1" w:themeTint="80"/>
          <w:sz w:val="16"/>
          <w:szCs w:val="16"/>
        </w:rPr>
        <w:t>5/15/2022</w:t>
      </w:r>
    </w:p>
    <w:p w14:paraId="42E09125" w14:textId="3FE330BC" w:rsidR="003C3F10" w:rsidRDefault="003C3F10" w:rsidP="00472B02">
      <w:pPr>
        <w:pStyle w:val="NoSpacing"/>
      </w:pPr>
    </w:p>
    <w:p w14:paraId="47797D03" w14:textId="5EBC345E" w:rsidR="00472B02" w:rsidRDefault="00265C0D" w:rsidP="00472B02">
      <w:pPr>
        <w:pStyle w:val="NoSpacing"/>
      </w:pPr>
      <w:r>
        <w:t xml:space="preserve">Dollars also could not hold the line during the </w:t>
      </w:r>
      <w:r w:rsidR="007D30DA">
        <w:t>four weeks</w:t>
      </w:r>
      <w:r w:rsidR="00F4460A">
        <w:t xml:space="preserve"> ending </w:t>
      </w:r>
      <w:r>
        <w:t>May 15</w:t>
      </w:r>
      <w:r w:rsidR="00F4460A">
        <w:t>, 2022</w:t>
      </w:r>
      <w:r>
        <w:t xml:space="preserve"> versus year ago. </w:t>
      </w:r>
      <w:r w:rsidR="0092088E">
        <w:t xml:space="preserve">However, </w:t>
      </w:r>
      <w:r w:rsidR="00FB15C0">
        <w:t xml:space="preserve">when compared with the pre-pandemic normal of 2019, </w:t>
      </w:r>
      <w:r>
        <w:t>fresh mushroom</w:t>
      </w:r>
      <w:r>
        <w:t xml:space="preserve"> dollar sales were 10.4% ahead of the pre-pandemic normal.</w:t>
      </w:r>
    </w:p>
    <w:p w14:paraId="382DFC83" w14:textId="573D0614" w:rsidR="0092088E" w:rsidRDefault="0092088E" w:rsidP="00472B02">
      <w:pPr>
        <w:pStyle w:val="NoSpacing"/>
      </w:pPr>
    </w:p>
    <w:tbl>
      <w:tblPr>
        <w:tblStyle w:val="ListTable3-Accent2"/>
        <w:tblW w:w="9940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40"/>
        <w:gridCol w:w="1665"/>
        <w:gridCol w:w="1260"/>
        <w:gridCol w:w="1170"/>
      </w:tblGrid>
      <w:tr w:rsidR="000C3CC4" w:rsidRPr="00124CB7" w14:paraId="0E4645F8" w14:textId="51F82A8B" w:rsidTr="000C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6EAA0673" w14:textId="43A4E965" w:rsidR="000C3CC4" w:rsidRPr="00124CB7" w:rsidRDefault="000C3CC4" w:rsidP="00472B02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0BC661E4" w14:textId="4D2DC11A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D22E21">
              <w:t>5/15/2022</w:t>
            </w:r>
          </w:p>
        </w:tc>
        <w:tc>
          <w:tcPr>
            <w:tcW w:w="1200" w:type="dxa"/>
          </w:tcPr>
          <w:p w14:paraId="54A621E6" w14:textId="21E04E3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46F45A2" w14:textId="3E543087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884FEDF" w14:textId="4B0AB889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D22E21">
              <w:t>5/15/2022</w:t>
            </w:r>
          </w:p>
        </w:tc>
        <w:tc>
          <w:tcPr>
            <w:tcW w:w="1260" w:type="dxa"/>
          </w:tcPr>
          <w:p w14:paraId="61328BD3" w14:textId="5B2FC96F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70" w:type="dxa"/>
          </w:tcPr>
          <w:p w14:paraId="6B2AFD2F" w14:textId="23112A37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04266D" w14:paraId="6A1EAD7D" w14:textId="6B3FE49D" w:rsidTr="00F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8F703DA" w14:textId="6A977B2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775B83FB" w14:textId="7B77FC7E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108D9">
              <w:t>95.5</w:t>
            </w:r>
            <w:r>
              <w:t xml:space="preserve"> million</w:t>
            </w:r>
          </w:p>
        </w:tc>
        <w:tc>
          <w:tcPr>
            <w:tcW w:w="1200" w:type="dxa"/>
          </w:tcPr>
          <w:p w14:paraId="0CE32075" w14:textId="582F4263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108D9">
              <w:t>5.9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060EE1E" w14:textId="5A82A537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108D9">
              <w:t>20.0</w:t>
            </w:r>
            <w: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0D3254A6" w14:textId="4EC30EF8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108D9">
              <w:t>515.1</w:t>
            </w:r>
            <w:r>
              <w:t xml:space="preserve"> million</w:t>
            </w:r>
          </w:p>
        </w:tc>
        <w:tc>
          <w:tcPr>
            <w:tcW w:w="1260" w:type="dxa"/>
          </w:tcPr>
          <w:p w14:paraId="5EE61049" w14:textId="494CE9AE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265C0D">
              <w:t>5.4</w:t>
            </w:r>
            <w:r>
              <w:t>%</w:t>
            </w:r>
          </w:p>
        </w:tc>
        <w:tc>
          <w:tcPr>
            <w:tcW w:w="1170" w:type="dxa"/>
          </w:tcPr>
          <w:p w14:paraId="3B0BB243" w14:textId="46645D44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265C0D">
              <w:t>5.1</w:t>
            </w:r>
            <w:r>
              <w:t>%</w:t>
            </w:r>
          </w:p>
        </w:tc>
      </w:tr>
      <w:tr w:rsidR="0004266D" w14:paraId="18574E65" w14:textId="4AC283D7" w:rsidTr="000C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F27EF6" w14:textId="23672771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2FD6215" w14:textId="234F5565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108D9">
              <w:t xml:space="preserve">33.7 </w:t>
            </w:r>
            <w:r>
              <w:t>million</w:t>
            </w:r>
          </w:p>
        </w:tc>
        <w:tc>
          <w:tcPr>
            <w:tcW w:w="1200" w:type="dxa"/>
          </w:tcPr>
          <w:p w14:paraId="3DA89ABE" w14:textId="138DA6BE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108D9">
              <w:t>10.5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8454012" w14:textId="29CC9333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108D9">
              <w:t>25.0</w:t>
            </w:r>
            <w:r>
              <w:t>%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3489E3B" w14:textId="5C101AA9" w:rsidR="0004266D" w:rsidRDefault="00265C0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182.6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3EB1015" w14:textId="36CB87B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65C0D">
              <w:t>9.5</w:t>
            </w:r>
            <w:r>
              <w:t>%</w:t>
            </w:r>
          </w:p>
        </w:tc>
        <w:tc>
          <w:tcPr>
            <w:tcW w:w="1170" w:type="dxa"/>
          </w:tcPr>
          <w:p w14:paraId="5BD4B684" w14:textId="1DFDAF5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65C0D">
              <w:t>12.2</w:t>
            </w:r>
            <w:r>
              <w:t>%</w:t>
            </w:r>
          </w:p>
        </w:tc>
      </w:tr>
      <w:tr w:rsidR="0004266D" w14:paraId="0C3E8C9A" w14:textId="0A6ACB56" w:rsidTr="000C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9064CC" w14:textId="6ED105E0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7E77BD8C" w14:textId="2E37BA95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F108D9">
              <w:t xml:space="preserve"> 21.0 </w:t>
            </w:r>
            <w:r>
              <w:t>million</w:t>
            </w:r>
          </w:p>
        </w:tc>
        <w:tc>
          <w:tcPr>
            <w:tcW w:w="1200" w:type="dxa"/>
          </w:tcPr>
          <w:p w14:paraId="52AFA316" w14:textId="40971634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108D9">
              <w:t>11.8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37106D51" w14:textId="5D05BAFC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108D9">
              <w:t>25.3</w:t>
            </w:r>
            <w: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3E074C81" w14:textId="7FFBD907" w:rsidR="0004266D" w:rsidRDefault="00265C0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114.4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90EB56C" w14:textId="71FA3694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265C0D">
              <w:t>10.3</w:t>
            </w:r>
            <w:r>
              <w:t>%</w:t>
            </w:r>
          </w:p>
        </w:tc>
        <w:tc>
          <w:tcPr>
            <w:tcW w:w="1170" w:type="dxa"/>
          </w:tcPr>
          <w:p w14:paraId="0452D1CC" w14:textId="1087ABDF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265C0D">
              <w:t>11.2</w:t>
            </w:r>
            <w:r>
              <w:t>%</w:t>
            </w:r>
          </w:p>
        </w:tc>
      </w:tr>
    </w:tbl>
    <w:p w14:paraId="5B1F1AF6" w14:textId="29A597E8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22E21">
        <w:rPr>
          <w:color w:val="7F7F7F" w:themeColor="text1" w:themeTint="80"/>
          <w:sz w:val="16"/>
          <w:szCs w:val="16"/>
        </w:rPr>
        <w:t>5/15/2022</w:t>
      </w:r>
      <w:r w:rsidR="006343E6">
        <w:rPr>
          <w:color w:val="7F7F7F" w:themeColor="text1" w:themeTint="80"/>
          <w:sz w:val="16"/>
          <w:szCs w:val="16"/>
        </w:rPr>
        <w:t xml:space="preserve"> </w:t>
      </w:r>
      <w:r w:rsidR="006343E6">
        <w:rPr>
          <w:color w:val="7F7F7F" w:themeColor="text1" w:themeTint="80"/>
          <w:sz w:val="16"/>
          <w:szCs w:val="16"/>
        </w:rPr>
        <w:t>and YTD 2022</w:t>
      </w:r>
    </w:p>
    <w:p w14:paraId="693975F5" w14:textId="5C6F2673" w:rsidR="000809C3" w:rsidRDefault="000809C3" w:rsidP="00472B02">
      <w:pPr>
        <w:pStyle w:val="NoSpacing"/>
      </w:pPr>
    </w:p>
    <w:p w14:paraId="6A743FB2" w14:textId="4A0CB6DB" w:rsidR="000809C3" w:rsidRDefault="00DD58ED" w:rsidP="000809C3">
      <w:r>
        <w:t>Th</w:t>
      </w:r>
      <w:r w:rsidR="00EA3B31">
        <w:t xml:space="preserve">ough dollar and pound sales were fairly consistent week-over-week, it was the prior year performance that drove vastly different year-on-year growth percentages. The week after Easter </w:t>
      </w:r>
      <w:r w:rsidR="0034238A">
        <w:t>(ending April 24</w:t>
      </w:r>
      <w:r w:rsidR="0034238A" w:rsidRPr="0034238A">
        <w:rPr>
          <w:vertAlign w:val="superscript"/>
        </w:rPr>
        <w:t>th</w:t>
      </w:r>
      <w:r w:rsidR="0034238A">
        <w:t xml:space="preserve">) </w:t>
      </w:r>
      <w:r w:rsidR="00EA3B31">
        <w:t>was the smallest of the four, which is often the case for post-holiday weeks when consumers’ focus is on leftovers.</w:t>
      </w:r>
      <w:r w:rsidR="00C76BE0">
        <w:t xml:space="preserve"> Pound sales recovered to 5.4 million during the last two weeks of the period. </w:t>
      </w:r>
      <w:r>
        <w:t xml:space="preserve">  </w:t>
      </w:r>
      <w:r w:rsidR="00972570">
        <w:t xml:space="preserve"> </w:t>
      </w: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16"/>
        <w:gridCol w:w="1329"/>
        <w:gridCol w:w="1267"/>
        <w:gridCol w:w="1267"/>
        <w:gridCol w:w="1217"/>
        <w:gridCol w:w="1502"/>
        <w:gridCol w:w="1587"/>
      </w:tblGrid>
      <w:tr w:rsidR="00EA3B31" w:rsidRPr="00DE633B" w14:paraId="5AF9AC2D" w14:textId="77777777" w:rsidTr="00EA3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6" w:type="dxa"/>
          </w:tcPr>
          <w:p w14:paraId="3CBC11F7" w14:textId="77777777" w:rsidR="000809C3" w:rsidRPr="00EA3B31" w:rsidRDefault="000809C3" w:rsidP="000809C3">
            <w:pPr>
              <w:rPr>
                <w:rFonts w:cstheme="minorHAnsi"/>
              </w:rPr>
            </w:pPr>
            <w:r w:rsidRPr="00EA3B31">
              <w:rPr>
                <w:rFonts w:cstheme="minorHAnsi"/>
              </w:rPr>
              <w:t>Fresh mushrooms</w:t>
            </w:r>
          </w:p>
        </w:tc>
        <w:tc>
          <w:tcPr>
            <w:tcW w:w="1329" w:type="dxa"/>
          </w:tcPr>
          <w:p w14:paraId="160A0879" w14:textId="77777777" w:rsidR="000809C3" w:rsidRPr="00EA3B31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3B31">
              <w:rPr>
                <w:rFonts w:cstheme="minorHAnsi"/>
              </w:rPr>
              <w:t xml:space="preserve">Dollar </w:t>
            </w:r>
            <w:r w:rsidRPr="00EA3B31">
              <w:rPr>
                <w:rFonts w:cstheme="minorHAnsi"/>
              </w:rPr>
              <w:br/>
              <w:t>sales</w:t>
            </w:r>
          </w:p>
        </w:tc>
        <w:tc>
          <w:tcPr>
            <w:tcW w:w="1267" w:type="dxa"/>
          </w:tcPr>
          <w:p w14:paraId="19F3D856" w14:textId="77777777" w:rsidR="000809C3" w:rsidRPr="00EA3B31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3B31">
              <w:rPr>
                <w:rFonts w:cstheme="minorHAnsi"/>
              </w:rPr>
              <w:t>Dollar gains vs. 2021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</w:tcPr>
          <w:p w14:paraId="3ABF0E92" w14:textId="6B2DD846" w:rsidR="000809C3" w:rsidRPr="00EA3B31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3B31">
              <w:rPr>
                <w:rFonts w:cstheme="minorHAnsi"/>
              </w:rPr>
              <w:t>Dollar gains vs. 20</w:t>
            </w:r>
            <w:r w:rsidR="00C82BBE" w:rsidRPr="00EA3B31">
              <w:rPr>
                <w:rFonts w:cstheme="minorHAnsi"/>
              </w:rPr>
              <w:t>19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EA3B31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3B31">
              <w:rPr>
                <w:rFonts w:cstheme="minorHAnsi"/>
              </w:rPr>
              <w:t xml:space="preserve">Volume </w:t>
            </w:r>
            <w:r w:rsidRPr="00EA3B31">
              <w:rPr>
                <w:rFonts w:cstheme="minorHAnsi"/>
              </w:rPr>
              <w:br/>
              <w:t>sales</w:t>
            </w:r>
          </w:p>
        </w:tc>
        <w:tc>
          <w:tcPr>
            <w:tcW w:w="1502" w:type="dxa"/>
          </w:tcPr>
          <w:p w14:paraId="3A701F90" w14:textId="754623E0" w:rsidR="000809C3" w:rsidRPr="00EA3B31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3B31">
              <w:rPr>
                <w:rFonts w:cstheme="minorHAnsi"/>
              </w:rPr>
              <w:t>Volume gains vs. 2021</w:t>
            </w:r>
          </w:p>
        </w:tc>
        <w:tc>
          <w:tcPr>
            <w:tcW w:w="1587" w:type="dxa"/>
          </w:tcPr>
          <w:p w14:paraId="7A77A4C9" w14:textId="15573F39" w:rsidR="000809C3" w:rsidRPr="00EA3B31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3B31">
              <w:rPr>
                <w:rFonts w:cstheme="minorHAnsi"/>
              </w:rPr>
              <w:t>Volume gains vs. 20</w:t>
            </w:r>
            <w:r w:rsidR="00C82BBE" w:rsidRPr="00EA3B31">
              <w:rPr>
                <w:rFonts w:cstheme="minorHAnsi"/>
              </w:rPr>
              <w:t>19</w:t>
            </w:r>
          </w:p>
        </w:tc>
      </w:tr>
      <w:tr w:rsidR="00EA3B31" w14:paraId="69B1B691" w14:textId="77777777" w:rsidTr="00E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374F2F9C" w14:textId="26E5F838" w:rsidR="00EA3B31" w:rsidRPr="00EA3B31" w:rsidRDefault="00EA3B31" w:rsidP="00EA3B31">
            <w:pPr>
              <w:pStyle w:val="NoSpacing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  <w:color w:val="000000" w:themeColor="text1"/>
              </w:rPr>
              <w:t>4 w.e. 5/15/2022</w:t>
            </w:r>
          </w:p>
        </w:tc>
        <w:tc>
          <w:tcPr>
            <w:tcW w:w="1329" w:type="dxa"/>
            <w:vAlign w:val="bottom"/>
          </w:tcPr>
          <w:p w14:paraId="73E257C6" w14:textId="60D794D0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EA3B31">
              <w:rPr>
                <w:rFonts w:cstheme="minorHAnsi"/>
              </w:rPr>
              <w:t>$95</w:t>
            </w:r>
            <w:r>
              <w:rPr>
                <w:rFonts w:cstheme="minorHAnsi"/>
              </w:rPr>
              <w:t>.5M</w:t>
            </w:r>
          </w:p>
        </w:tc>
        <w:tc>
          <w:tcPr>
            <w:tcW w:w="1267" w:type="dxa"/>
            <w:vAlign w:val="bottom"/>
          </w:tcPr>
          <w:p w14:paraId="4D4E3A8B" w14:textId="281DDC4C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EA3B31">
              <w:rPr>
                <w:rFonts w:cstheme="minorHAnsi"/>
              </w:rPr>
              <w:t>-5.9%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D28CAD3" w14:textId="690FCA47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EA3B31">
              <w:rPr>
                <w:rFonts w:cstheme="minorHAnsi"/>
              </w:rPr>
              <w:t>10.6%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30F9E2CF" w14:textId="63EDA173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EA3B31">
              <w:rPr>
                <w:rFonts w:cstheme="minorHAnsi"/>
              </w:rPr>
              <w:t>21</w:t>
            </w:r>
            <w:r>
              <w:rPr>
                <w:rFonts w:cstheme="minorHAnsi"/>
              </w:rPr>
              <w:t>M</w:t>
            </w:r>
          </w:p>
        </w:tc>
        <w:tc>
          <w:tcPr>
            <w:tcW w:w="1502" w:type="dxa"/>
            <w:vAlign w:val="bottom"/>
          </w:tcPr>
          <w:p w14:paraId="7D7EF716" w14:textId="09DFBFE3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EA3B31">
              <w:rPr>
                <w:rFonts w:cstheme="minorHAnsi"/>
              </w:rPr>
              <w:t>-11.8%</w:t>
            </w:r>
          </w:p>
        </w:tc>
        <w:tc>
          <w:tcPr>
            <w:tcW w:w="1587" w:type="dxa"/>
            <w:vAlign w:val="bottom"/>
          </w:tcPr>
          <w:p w14:paraId="0ADA09AC" w14:textId="32A6D7AF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EA3B31">
              <w:rPr>
                <w:rFonts w:cstheme="minorHAnsi"/>
              </w:rPr>
              <w:t>-0.2%</w:t>
            </w:r>
          </w:p>
        </w:tc>
      </w:tr>
      <w:tr w:rsidR="00EA3B31" w14:paraId="4161B78F" w14:textId="77777777" w:rsidTr="00EA3B3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61B5C386" w14:textId="1622C633" w:rsidR="00EA3B31" w:rsidRPr="00EA3B31" w:rsidRDefault="00EA3B31" w:rsidP="00EA3B31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EA3B31">
              <w:rPr>
                <w:rFonts w:cstheme="minorHAnsi"/>
                <w:b w:val="0"/>
                <w:color w:val="000000" w:themeColor="text1"/>
              </w:rPr>
              <w:t>w.e. 4/24/2022</w:t>
            </w:r>
          </w:p>
        </w:tc>
        <w:tc>
          <w:tcPr>
            <w:tcW w:w="1329" w:type="dxa"/>
            <w:vAlign w:val="bottom"/>
          </w:tcPr>
          <w:p w14:paraId="151AC645" w14:textId="3C0D83D7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$23</w:t>
            </w:r>
            <w:r>
              <w:rPr>
                <w:rFonts w:cstheme="minorHAnsi"/>
              </w:rPr>
              <w:t>.1M</w:t>
            </w:r>
          </w:p>
        </w:tc>
        <w:tc>
          <w:tcPr>
            <w:tcW w:w="1267" w:type="dxa"/>
            <w:vAlign w:val="bottom"/>
          </w:tcPr>
          <w:p w14:paraId="3F350FB2" w14:textId="36AAA28F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-10.3%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71A7F634" w14:textId="4D35BF54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13.3%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539D2139" w14:textId="725B1C9D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5</w:t>
            </w:r>
            <w:r>
              <w:rPr>
                <w:rFonts w:cstheme="minorHAnsi"/>
              </w:rPr>
              <w:t>.1M</w:t>
            </w:r>
          </w:p>
        </w:tc>
        <w:tc>
          <w:tcPr>
            <w:tcW w:w="1502" w:type="dxa"/>
            <w:vAlign w:val="bottom"/>
          </w:tcPr>
          <w:p w14:paraId="4E107D1E" w14:textId="5D4552BD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-16.7%</w:t>
            </w:r>
          </w:p>
        </w:tc>
        <w:tc>
          <w:tcPr>
            <w:tcW w:w="1587" w:type="dxa"/>
            <w:vAlign w:val="bottom"/>
          </w:tcPr>
          <w:p w14:paraId="699CD9F0" w14:textId="1C84B098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0.7%</w:t>
            </w:r>
          </w:p>
        </w:tc>
      </w:tr>
      <w:tr w:rsidR="00EA3B31" w14:paraId="46E32385" w14:textId="77777777" w:rsidTr="00E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5CCBCDF3" w14:textId="074EC8D5" w:rsidR="00EA3B31" w:rsidRPr="00EA3B31" w:rsidRDefault="00EA3B31" w:rsidP="00EA3B31">
            <w:pPr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  <w:b w:val="0"/>
                <w:color w:val="000000" w:themeColor="text1"/>
              </w:rPr>
              <w:t>w.e. 5/1/2022</w:t>
            </w:r>
          </w:p>
        </w:tc>
        <w:tc>
          <w:tcPr>
            <w:tcW w:w="1329" w:type="dxa"/>
            <w:vAlign w:val="bottom"/>
          </w:tcPr>
          <w:p w14:paraId="11A8DDCA" w14:textId="79725095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$24</w:t>
            </w:r>
            <w:r>
              <w:rPr>
                <w:rFonts w:cstheme="minorHAnsi"/>
              </w:rPr>
              <w:t>.2M</w:t>
            </w:r>
          </w:p>
        </w:tc>
        <w:tc>
          <w:tcPr>
            <w:tcW w:w="1267" w:type="dxa"/>
            <w:vAlign w:val="bottom"/>
          </w:tcPr>
          <w:p w14:paraId="16514130" w14:textId="5071576B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-3.8%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63E87C2" w14:textId="0B7575F9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11.3%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67EAF597" w14:textId="1F67B0A7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5</w:t>
            </w:r>
            <w:r>
              <w:rPr>
                <w:rFonts w:cstheme="minorHAnsi"/>
              </w:rPr>
              <w:t>.4M</w:t>
            </w:r>
          </w:p>
        </w:tc>
        <w:tc>
          <w:tcPr>
            <w:tcW w:w="1502" w:type="dxa"/>
            <w:vAlign w:val="bottom"/>
          </w:tcPr>
          <w:p w14:paraId="3BDC9313" w14:textId="2C552105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-8.3%</w:t>
            </w:r>
          </w:p>
        </w:tc>
        <w:tc>
          <w:tcPr>
            <w:tcW w:w="1587" w:type="dxa"/>
            <w:vAlign w:val="bottom"/>
          </w:tcPr>
          <w:p w14:paraId="180304FD" w14:textId="64A6E772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1.6%</w:t>
            </w:r>
          </w:p>
        </w:tc>
      </w:tr>
      <w:tr w:rsidR="00EA3B31" w14:paraId="29C076C3" w14:textId="77777777" w:rsidTr="00EA3B3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12D67558" w14:textId="1A40DCF5" w:rsidR="00EA3B31" w:rsidRPr="00EA3B31" w:rsidRDefault="00EA3B31" w:rsidP="00EA3B31">
            <w:pPr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  <w:b w:val="0"/>
                <w:color w:val="000000" w:themeColor="text1"/>
              </w:rPr>
              <w:t>w.e. 5/8/2022</w:t>
            </w:r>
          </w:p>
        </w:tc>
        <w:tc>
          <w:tcPr>
            <w:tcW w:w="1329" w:type="dxa"/>
            <w:vAlign w:val="bottom"/>
          </w:tcPr>
          <w:p w14:paraId="48606425" w14:textId="02ED9D3C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$24</w:t>
            </w:r>
            <w:r>
              <w:rPr>
                <w:rFonts w:cstheme="minorHAnsi"/>
              </w:rPr>
              <w:t>.6M</w:t>
            </w:r>
          </w:p>
        </w:tc>
        <w:tc>
          <w:tcPr>
            <w:tcW w:w="1267" w:type="dxa"/>
            <w:vAlign w:val="bottom"/>
          </w:tcPr>
          <w:p w14:paraId="34EEBB9B" w14:textId="7C288F45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-4.3%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59FECD2" w14:textId="6839EF95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9.5%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234D0105" w14:textId="707F4C68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5</w:t>
            </w:r>
            <w:r>
              <w:rPr>
                <w:rFonts w:cstheme="minorHAnsi"/>
              </w:rPr>
              <w:t>.4M</w:t>
            </w:r>
          </w:p>
        </w:tc>
        <w:tc>
          <w:tcPr>
            <w:tcW w:w="1502" w:type="dxa"/>
            <w:vAlign w:val="bottom"/>
          </w:tcPr>
          <w:p w14:paraId="5C2CD04A" w14:textId="374627A4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-11.0%</w:t>
            </w:r>
          </w:p>
        </w:tc>
        <w:tc>
          <w:tcPr>
            <w:tcW w:w="1587" w:type="dxa"/>
            <w:vAlign w:val="bottom"/>
          </w:tcPr>
          <w:p w14:paraId="3E3F9EEB" w14:textId="042E25EE" w:rsidR="00EA3B31" w:rsidRPr="00EA3B31" w:rsidRDefault="00EA3B31" w:rsidP="00EA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-1.2%</w:t>
            </w:r>
          </w:p>
        </w:tc>
      </w:tr>
      <w:tr w:rsidR="00EA3B31" w14:paraId="7E43EA98" w14:textId="77777777" w:rsidTr="00E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14:paraId="5798E510" w14:textId="72F4E2C3" w:rsidR="00EA3B31" w:rsidRPr="00EA3B31" w:rsidRDefault="00EA3B31" w:rsidP="00EA3B31">
            <w:pPr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  <w:b w:val="0"/>
                <w:color w:val="000000" w:themeColor="text1"/>
              </w:rPr>
              <w:t>w.e. 5/15/2022</w:t>
            </w:r>
          </w:p>
        </w:tc>
        <w:tc>
          <w:tcPr>
            <w:tcW w:w="1329" w:type="dxa"/>
            <w:vAlign w:val="bottom"/>
          </w:tcPr>
          <w:p w14:paraId="1F9888EE" w14:textId="21A9B492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$23</w:t>
            </w:r>
            <w:r>
              <w:rPr>
                <w:rFonts w:cstheme="minorHAnsi"/>
              </w:rPr>
              <w:t>.6M</w:t>
            </w:r>
          </w:p>
        </w:tc>
        <w:tc>
          <w:tcPr>
            <w:tcW w:w="1267" w:type="dxa"/>
            <w:vAlign w:val="bottom"/>
          </w:tcPr>
          <w:p w14:paraId="39C9DE70" w14:textId="0803C986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-5.0%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10674F93" w14:textId="2059C4EF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8.4%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6664688E" w14:textId="388AB34E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5</w:t>
            </w:r>
            <w:r>
              <w:rPr>
                <w:rFonts w:cstheme="minorHAnsi"/>
              </w:rPr>
              <w:t>.2M</w:t>
            </w:r>
          </w:p>
        </w:tc>
        <w:tc>
          <w:tcPr>
            <w:tcW w:w="1502" w:type="dxa"/>
            <w:vAlign w:val="bottom"/>
          </w:tcPr>
          <w:p w14:paraId="350C0B98" w14:textId="4DC36990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-10.9%</w:t>
            </w:r>
          </w:p>
        </w:tc>
        <w:tc>
          <w:tcPr>
            <w:tcW w:w="1587" w:type="dxa"/>
            <w:vAlign w:val="bottom"/>
          </w:tcPr>
          <w:p w14:paraId="2A25914C" w14:textId="1C4AF3D0" w:rsidR="00EA3B31" w:rsidRPr="00EA3B31" w:rsidRDefault="00EA3B31" w:rsidP="00EA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A3B31">
              <w:rPr>
                <w:rFonts w:cstheme="minorHAnsi"/>
              </w:rPr>
              <w:t>-1.6%</w:t>
            </w:r>
          </w:p>
        </w:tc>
      </w:tr>
    </w:tbl>
    <w:p w14:paraId="712DC4DB" w14:textId="0B2D91BD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22E21">
        <w:rPr>
          <w:color w:val="7F7F7F" w:themeColor="text1" w:themeTint="80"/>
          <w:sz w:val="16"/>
          <w:szCs w:val="16"/>
        </w:rPr>
        <w:t>5/15/2022</w:t>
      </w:r>
      <w:r w:rsidR="006343E6">
        <w:rPr>
          <w:color w:val="7F7F7F" w:themeColor="text1" w:themeTint="80"/>
          <w:sz w:val="16"/>
          <w:szCs w:val="16"/>
        </w:rPr>
        <w:t xml:space="preserve"> 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2DB9271A" w:rsidR="00666D40" w:rsidRDefault="001119BD" w:rsidP="00472B02">
      <w:pPr>
        <w:pStyle w:val="NoSpacing"/>
      </w:pPr>
      <w:r>
        <w:t>The total produce performance was heavily impacted by inflation</w:t>
      </w:r>
      <w:r w:rsidR="003D3BDA">
        <w:t xml:space="preserve"> in the quad week and year-to-date views</w:t>
      </w:r>
      <w:r>
        <w:t xml:space="preserve">. </w:t>
      </w:r>
      <w:r w:rsidR="00E65269">
        <w:t>Total p</w:t>
      </w:r>
      <w:r w:rsidR="000809C3">
        <w:t>roduce p</w:t>
      </w:r>
      <w:r>
        <w:t xml:space="preserve">rices </w:t>
      </w:r>
      <w:r w:rsidR="000809C3">
        <w:t xml:space="preserve">increased </w:t>
      </w:r>
      <w:r w:rsidR="00BB41E8">
        <w:t>8.6</w:t>
      </w:r>
      <w:r w:rsidR="000809C3">
        <w:t xml:space="preserve">% during the four weeks ending </w:t>
      </w:r>
      <w:r w:rsidR="00BB41E8">
        <w:t>May 15</w:t>
      </w:r>
      <w:r w:rsidR="00BB41E8" w:rsidRPr="00BB41E8">
        <w:rPr>
          <w:vertAlign w:val="superscript"/>
        </w:rPr>
        <w:t>th</w:t>
      </w:r>
      <w:r w:rsidR="00BB41E8">
        <w:t xml:space="preserve"> </w:t>
      </w:r>
      <w:r w:rsidR="000809C3">
        <w:t xml:space="preserve">on a per unit </w:t>
      </w:r>
      <w:r w:rsidR="003D3BDA">
        <w:t xml:space="preserve">basis and </w:t>
      </w:r>
      <w:r w:rsidR="006343E6">
        <w:t>10.4</w:t>
      </w:r>
      <w:r w:rsidR="003D3BDA">
        <w:t xml:space="preserve">% on a </w:t>
      </w:r>
      <w:r w:rsidR="001A601E">
        <w:t>per</w:t>
      </w:r>
      <w:r w:rsidR="000809C3">
        <w:t xml:space="preserve"> pound basis. </w:t>
      </w:r>
      <w:r w:rsidR="006343E6">
        <w:t xml:space="preserve">The difference is indicative of smaller unit sizes. </w:t>
      </w:r>
      <w:r w:rsidR="000809C3">
        <w:t xml:space="preserve">Fruit had the higher inflation but vegetables </w:t>
      </w:r>
      <w:r w:rsidR="000809C3">
        <w:lastRenderedPageBreak/>
        <w:t xml:space="preserve">increased to </w:t>
      </w:r>
      <w:r>
        <w:t>an average of $</w:t>
      </w:r>
      <w:r w:rsidR="003D3BDA">
        <w:t>1.9</w:t>
      </w:r>
      <w:r w:rsidR="006343E6">
        <w:t>0</w:t>
      </w:r>
      <w:r>
        <w:t xml:space="preserve"> per pound, up </w:t>
      </w:r>
      <w:r w:rsidR="006343E6">
        <w:t>10.4</w:t>
      </w:r>
      <w:r>
        <w:t>% versus year ago</w:t>
      </w:r>
      <w:r w:rsidR="003D3BDA">
        <w:t xml:space="preserve"> in the four-week period</w:t>
      </w:r>
      <w:r>
        <w:t xml:space="preserve">. </w:t>
      </w:r>
      <w:r w:rsidR="00873884">
        <w:t>The</w:t>
      </w:r>
      <w:r w:rsidR="00552C5D">
        <w:t xml:space="preserve"> </w:t>
      </w:r>
      <w:r w:rsidR="005C6AEE">
        <w:t xml:space="preserve">increases in the price per pound for mushrooms </w:t>
      </w:r>
      <w:r w:rsidR="00873884">
        <w:t xml:space="preserve">during this same time period </w:t>
      </w:r>
      <w:r w:rsidR="008B128D">
        <w:t xml:space="preserve">remained </w:t>
      </w:r>
      <w:r w:rsidR="005C6AEE">
        <w:t>below average</w:t>
      </w:r>
      <w:r w:rsidR="008B128D">
        <w:t>, at +</w:t>
      </w:r>
      <w:r w:rsidR="006343E6">
        <w:t>6.7</w:t>
      </w:r>
      <w:r w:rsidR="008B128D">
        <w:t>%</w:t>
      </w:r>
      <w:r w:rsidR="005C6AEE">
        <w:t xml:space="preserve">. </w:t>
      </w:r>
      <w:r w:rsidR="008B128D">
        <w:t>At the same time</w:t>
      </w:r>
      <w:r w:rsidR="00403666">
        <w:t xml:space="preserve">, </w:t>
      </w:r>
      <w:r w:rsidR="001A4D44">
        <w:t>at $2.</w:t>
      </w:r>
      <w:r w:rsidR="006343E6">
        <w:t>83</w:t>
      </w:r>
      <w:r w:rsidR="001A4D44">
        <w:t>, the average ring for mushrooms is higher than that of many other vegetable categories for an overall average of $2.</w:t>
      </w:r>
      <w:r w:rsidR="006343E6">
        <w:t>61</w:t>
      </w:r>
      <w:r w:rsidR="001A4D44">
        <w:t xml:space="preserve"> per unit.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441"/>
        <w:gridCol w:w="179"/>
        <w:gridCol w:w="1055"/>
        <w:gridCol w:w="980"/>
        <w:gridCol w:w="910"/>
        <w:gridCol w:w="1663"/>
        <w:gridCol w:w="947"/>
        <w:gridCol w:w="900"/>
      </w:tblGrid>
      <w:tr w:rsidR="000C3CC4" w:rsidRPr="00124CB7" w14:paraId="6E9D1AEF" w14:textId="162D7E86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234" w:type="dxa"/>
            <w:gridSpan w:val="2"/>
          </w:tcPr>
          <w:p w14:paraId="5EC6EFF0" w14:textId="201A7836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D22E21">
              <w:t>5/15/2022</w:t>
            </w:r>
          </w:p>
        </w:tc>
        <w:tc>
          <w:tcPr>
            <w:tcW w:w="980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55EFE125" w14:textId="0D3295C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BB41E8">
              <w:t>20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A5B944C" w14:textId="5014B666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D22E21">
              <w:t>5/15/2022</w:t>
            </w:r>
          </w:p>
        </w:tc>
        <w:tc>
          <w:tcPr>
            <w:tcW w:w="94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0" w:type="dxa"/>
          </w:tcPr>
          <w:p w14:paraId="1A109D51" w14:textId="32E3EF2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BB41E8">
              <w:t>20</w:t>
            </w:r>
          </w:p>
        </w:tc>
      </w:tr>
      <w:tr w:rsidR="00BB41E8" w14:paraId="2460CE1C" w14:textId="77777777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309455BE" w14:textId="224405DE" w:rsidR="00BB41E8" w:rsidRDefault="00BB41E8" w:rsidP="00BB41E8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Fresh produce price/unit</w:t>
            </w:r>
          </w:p>
        </w:tc>
        <w:tc>
          <w:tcPr>
            <w:tcW w:w="1055" w:type="dxa"/>
          </w:tcPr>
          <w:p w14:paraId="45AA26E6" w14:textId="62DC8568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>
              <w:t>2.61</w:t>
            </w:r>
          </w:p>
        </w:tc>
        <w:tc>
          <w:tcPr>
            <w:tcW w:w="980" w:type="dxa"/>
          </w:tcPr>
          <w:p w14:paraId="2BA32D55" w14:textId="335F7022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>
              <w:t>8.6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2E0EDF4F" w14:textId="43C75EED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>
              <w:t>14.7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B99B3D7" w14:textId="03CD67F6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>
              <w:t>2.57</w:t>
            </w:r>
          </w:p>
        </w:tc>
        <w:tc>
          <w:tcPr>
            <w:tcW w:w="947" w:type="dxa"/>
          </w:tcPr>
          <w:p w14:paraId="2295064A" w14:textId="24E40ADF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>
              <w:t>9.6</w:t>
            </w:r>
            <w:r>
              <w:t>%</w:t>
            </w:r>
          </w:p>
        </w:tc>
        <w:tc>
          <w:tcPr>
            <w:tcW w:w="900" w:type="dxa"/>
          </w:tcPr>
          <w:p w14:paraId="4A1F0DCA" w14:textId="7C66AD5B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>
              <w:t>12.9</w:t>
            </w:r>
            <w:r>
              <w:t>%</w:t>
            </w:r>
          </w:p>
        </w:tc>
      </w:tr>
      <w:tr w:rsidR="00BB41E8" w14:paraId="3F3C694F" w14:textId="77777777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30CFC5D7" w14:textId="6D3BB01C" w:rsidR="00BB41E8" w:rsidRDefault="00BB41E8" w:rsidP="00BB41E8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Fresh produce price/volume</w:t>
            </w:r>
          </w:p>
        </w:tc>
        <w:tc>
          <w:tcPr>
            <w:tcW w:w="1055" w:type="dxa"/>
          </w:tcPr>
          <w:p w14:paraId="2DE58F64" w14:textId="0B984FE3" w:rsidR="00BB41E8" w:rsidRDefault="00BB41E8" w:rsidP="00BB41E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>
              <w:t>1.90</w:t>
            </w:r>
          </w:p>
        </w:tc>
        <w:tc>
          <w:tcPr>
            <w:tcW w:w="980" w:type="dxa"/>
          </w:tcPr>
          <w:p w14:paraId="5ABAB157" w14:textId="5414E92A" w:rsidR="00BB41E8" w:rsidRDefault="00BB41E8" w:rsidP="00BB41E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>
              <w:t>10.4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4732316B" w14:textId="26923478" w:rsidR="00BB41E8" w:rsidRDefault="00BB41E8" w:rsidP="00BB41E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>
              <w:t>20.2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B9EB567" w14:textId="6B68B328" w:rsidR="00BB41E8" w:rsidRDefault="00BB41E8" w:rsidP="00BB41E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>
              <w:t>1.89</w:t>
            </w:r>
          </w:p>
        </w:tc>
        <w:tc>
          <w:tcPr>
            <w:tcW w:w="947" w:type="dxa"/>
          </w:tcPr>
          <w:p w14:paraId="42A220F6" w14:textId="3E97BA26" w:rsidR="00BB41E8" w:rsidRDefault="00BB41E8" w:rsidP="00BB41E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>
              <w:t>10.1</w:t>
            </w:r>
            <w:r>
              <w:t>%</w:t>
            </w:r>
          </w:p>
        </w:tc>
        <w:tc>
          <w:tcPr>
            <w:tcW w:w="900" w:type="dxa"/>
          </w:tcPr>
          <w:p w14:paraId="60D7509C" w14:textId="77D31EA8" w:rsidR="00BB41E8" w:rsidRDefault="00BB41E8" w:rsidP="00BB41E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>
              <w:t>16.8</w:t>
            </w:r>
            <w:r>
              <w:t>%</w:t>
            </w:r>
          </w:p>
        </w:tc>
      </w:tr>
      <w:tr w:rsidR="00BB41E8" w14:paraId="2B35BE12" w14:textId="0A6FF303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B4CB702" w14:textId="1ED87B01" w:rsidR="00BB41E8" w:rsidRPr="00124CB7" w:rsidRDefault="00BB41E8" w:rsidP="00BB41E8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Fresh mushrooms price/unit</w:t>
            </w:r>
          </w:p>
        </w:tc>
        <w:tc>
          <w:tcPr>
            <w:tcW w:w="1055" w:type="dxa"/>
          </w:tcPr>
          <w:p w14:paraId="2915A28B" w14:textId="5C493FE6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$2.83</w:t>
            </w:r>
          </w:p>
        </w:tc>
        <w:tc>
          <w:tcPr>
            <w:tcW w:w="980" w:type="dxa"/>
          </w:tcPr>
          <w:p w14:paraId="3E0967AB" w14:textId="0CDBE6E8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+5.2%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09DAD54E" w14:textId="15538073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+6.7%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3CA719E" w14:textId="6F2AB94D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$2.70</w:t>
            </w:r>
          </w:p>
        </w:tc>
        <w:tc>
          <w:tcPr>
            <w:tcW w:w="947" w:type="dxa"/>
          </w:tcPr>
          <w:p w14:paraId="08755E5E" w14:textId="325232D8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+4.5%</w:t>
            </w:r>
          </w:p>
        </w:tc>
        <w:tc>
          <w:tcPr>
            <w:tcW w:w="900" w:type="dxa"/>
          </w:tcPr>
          <w:p w14:paraId="19B1F6D2" w14:textId="039D2BD7" w:rsidR="00BB41E8" w:rsidRDefault="00BB41E8" w:rsidP="00BB41E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+8.0%</w:t>
            </w:r>
          </w:p>
        </w:tc>
      </w:tr>
      <w:tr w:rsidR="0004266D" w14:paraId="7C18640F" w14:textId="5B569261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47C97CE0" w14:textId="2CEB1175" w:rsidR="0004266D" w:rsidRPr="00124CB7" w:rsidRDefault="00C76BE0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Fresh mushrooms p</w:t>
            </w:r>
            <w:r w:rsidR="0004266D">
              <w:rPr>
                <w:b w:val="0"/>
                <w:bCs w:val="0"/>
              </w:rPr>
              <w:t>rice/volume</w:t>
            </w:r>
          </w:p>
        </w:tc>
        <w:tc>
          <w:tcPr>
            <w:tcW w:w="1055" w:type="dxa"/>
          </w:tcPr>
          <w:p w14:paraId="17C86A08" w14:textId="36B61113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B41E8">
              <w:t>4.54</w:t>
            </w:r>
          </w:p>
        </w:tc>
        <w:tc>
          <w:tcPr>
            <w:tcW w:w="980" w:type="dxa"/>
          </w:tcPr>
          <w:p w14:paraId="7E986169" w14:textId="37B2220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B41E8">
              <w:t>6.7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36DDF54D" w14:textId="0680FA4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B41E8">
              <w:t>7.2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233A8701" w14:textId="7B87EA1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B41E8">
              <w:t>4.50</w:t>
            </w:r>
          </w:p>
        </w:tc>
        <w:tc>
          <w:tcPr>
            <w:tcW w:w="947" w:type="dxa"/>
          </w:tcPr>
          <w:p w14:paraId="1759FD32" w14:textId="00A616C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B41E8">
              <w:t>5.5</w:t>
            </w:r>
            <w:r>
              <w:t>%</w:t>
            </w:r>
          </w:p>
        </w:tc>
        <w:tc>
          <w:tcPr>
            <w:tcW w:w="900" w:type="dxa"/>
          </w:tcPr>
          <w:p w14:paraId="725313BE" w14:textId="0C9278E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B41E8">
              <w:t>6.8</w:t>
            </w:r>
            <w:r>
              <w:t>%</w:t>
            </w:r>
          </w:p>
        </w:tc>
      </w:tr>
    </w:tbl>
    <w:p w14:paraId="0BDF1995" w14:textId="77777777" w:rsidR="006343E6" w:rsidRDefault="006343E6" w:rsidP="006343E6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>
        <w:rPr>
          <w:color w:val="7F7F7F" w:themeColor="text1" w:themeTint="80"/>
          <w:sz w:val="16"/>
          <w:szCs w:val="16"/>
        </w:rPr>
        <w:t xml:space="preserve">5/15/2022 </w:t>
      </w:r>
    </w:p>
    <w:p w14:paraId="576AA4C8" w14:textId="77777777" w:rsidR="006343E6" w:rsidRDefault="006343E6" w:rsidP="00170260">
      <w:pPr>
        <w:pStyle w:val="NoSpacing"/>
      </w:pPr>
    </w:p>
    <w:p w14:paraId="611C2D9A" w14:textId="12FDC57C" w:rsidR="00170260" w:rsidRDefault="00755E30" w:rsidP="00170260">
      <w:pPr>
        <w:pStyle w:val="NoSpacing"/>
      </w:pPr>
      <w:r>
        <w:t>Year-to-date, f</w:t>
      </w:r>
      <w:r w:rsidR="00170260">
        <w:t>resh mushroom dollar and pounds were promoted</w:t>
      </w:r>
      <w:r w:rsidR="003D3BDA">
        <w:t xml:space="preserve"> less often</w:t>
      </w:r>
      <w:r w:rsidR="00170260">
        <w:t xml:space="preserve">. </w:t>
      </w:r>
      <w:r w:rsidR="003D3BDA">
        <w:t>Less than 15% of dollars were promoted, down 4.</w:t>
      </w:r>
      <w:r>
        <w:t>1</w:t>
      </w:r>
      <w:r w:rsidR="003D3BDA">
        <w:t>% from year ago when merchandising levels were down as well</w:t>
      </w:r>
      <w:r w:rsidR="00170260">
        <w:t>.</w:t>
      </w:r>
      <w:r w:rsidR="003D3BDA">
        <w:t xml:space="preserve"> I</w:t>
      </w:r>
      <w:r>
        <w:t xml:space="preserve">n the latest four weeks, a larger share of dollars and pounds were promoted, with a small year-on-year increase for pounds. Vegetables, in general, have seen higher promotional levels </w:t>
      </w:r>
      <w:r w:rsidR="0034238A">
        <w:t xml:space="preserve">in recent month </w:t>
      </w:r>
      <w:r>
        <w:t>as well.</w:t>
      </w:r>
    </w:p>
    <w:p w14:paraId="363D2F2B" w14:textId="77777777" w:rsidR="00170260" w:rsidRPr="00755E30" w:rsidRDefault="00170260" w:rsidP="00170260">
      <w:pPr>
        <w:pStyle w:val="NoSpacing"/>
        <w:rPr>
          <w:sz w:val="12"/>
          <w:szCs w:val="12"/>
        </w:rPr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15428C4F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D22E21">
              <w:t>5/15/2022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5D1B8945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D22E21">
              <w:t>5/15/2022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6343E6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6343E6" w:rsidRDefault="006343E6" w:rsidP="006343E6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5B117523" w:rsidR="006343E6" w:rsidRDefault="00755E30" w:rsidP="006343E6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16.4</w:t>
            </w:r>
            <w:r w:rsidR="006343E6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0A3603A7" w:rsidR="006343E6" w:rsidRDefault="006343E6" w:rsidP="006343E6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755E30">
              <w:t>2.7</w:t>
            </w:r>
            <w: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70DF33A9" w:rsidR="006343E6" w:rsidRDefault="006343E6" w:rsidP="006343E6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14.9%</w:t>
            </w:r>
          </w:p>
        </w:tc>
        <w:tc>
          <w:tcPr>
            <w:tcW w:w="1260" w:type="dxa"/>
          </w:tcPr>
          <w:p w14:paraId="7461CDF6" w14:textId="43B1CD47" w:rsidR="006343E6" w:rsidRDefault="006343E6" w:rsidP="006343E6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-4.1%</w:t>
            </w:r>
          </w:p>
        </w:tc>
      </w:tr>
      <w:tr w:rsidR="00972570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972570" w:rsidRDefault="00972570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229BEC5E" w:rsidR="00972570" w:rsidRDefault="00755E30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19.9</w:t>
            </w:r>
            <w:r w:rsidR="0097257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4DAEA9C8" w:rsidR="00972570" w:rsidRDefault="00755E30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0E871FE4" w:rsidR="00972570" w:rsidRDefault="006343E6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17.5</w:t>
            </w:r>
            <w:r w:rsidR="00972570">
              <w:t>%</w:t>
            </w:r>
          </w:p>
        </w:tc>
        <w:tc>
          <w:tcPr>
            <w:tcW w:w="1260" w:type="dxa"/>
          </w:tcPr>
          <w:p w14:paraId="7052050B" w14:textId="76916A7E" w:rsidR="00972570" w:rsidRDefault="003D3BDA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6343E6">
              <w:t>3.3</w:t>
            </w:r>
            <w:r w:rsidR="00972570">
              <w:t>%</w:t>
            </w:r>
          </w:p>
        </w:tc>
      </w:tr>
    </w:tbl>
    <w:p w14:paraId="23606064" w14:textId="0B6B20D8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22E21">
        <w:rPr>
          <w:color w:val="7F7F7F" w:themeColor="text1" w:themeTint="80"/>
          <w:sz w:val="16"/>
          <w:szCs w:val="16"/>
        </w:rPr>
        <w:t>5/15/2022</w:t>
      </w:r>
    </w:p>
    <w:p w14:paraId="6CBB9CA7" w14:textId="40B42969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3545E27D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F1F55">
        <w:t>5</w:t>
      </w:r>
      <w:r w:rsidR="00502F3A">
        <w:t>3.3</w:t>
      </w:r>
      <w:r w:rsidR="00927EAC">
        <w:t xml:space="preserve">% of total fresh mushroom sales and </w:t>
      </w:r>
      <w:r w:rsidR="00502F3A">
        <w:t>61.0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>, the combination of cr</w:t>
      </w:r>
      <w:r w:rsidR="002437CE">
        <w:t>i</w:t>
      </w:r>
      <w:r>
        <w:t>minis and portabellas, that</w:t>
      </w:r>
      <w:r w:rsidR="00B25DFD">
        <w:t xml:space="preserve"> </w:t>
      </w:r>
      <w:r>
        <w:t xml:space="preserve">fared better. </w:t>
      </w:r>
      <w:r w:rsidR="006F1F55">
        <w:t>While sales for brown mushrooms was down versus 2021 as well</w:t>
      </w:r>
      <w:r w:rsidR="00502F3A">
        <w:t>, but the gains versus 2019 are substantially higher</w:t>
      </w:r>
      <w:r w:rsidR="006F1F55">
        <w:t xml:space="preserve">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165" w:type="dxa"/>
        <w:tblLook w:val="0400" w:firstRow="0" w:lastRow="0" w:firstColumn="0" w:lastColumn="0" w:noHBand="0" w:noVBand="1"/>
      </w:tblPr>
      <w:tblGrid>
        <w:gridCol w:w="2515"/>
        <w:gridCol w:w="914"/>
        <w:gridCol w:w="882"/>
        <w:gridCol w:w="994"/>
        <w:gridCol w:w="1051"/>
        <w:gridCol w:w="927"/>
        <w:gridCol w:w="889"/>
        <w:gridCol w:w="1037"/>
        <w:gridCol w:w="956"/>
      </w:tblGrid>
      <w:tr w:rsidR="00502F3A" w:rsidRPr="00B25DFD" w14:paraId="66036A96" w14:textId="09558220" w:rsidTr="0050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15" w:type="dxa"/>
            <w:shd w:val="clear" w:color="auto" w:fill="ED7D31" w:themeFill="accent2"/>
            <w:vAlign w:val="center"/>
            <w:hideMark/>
          </w:tcPr>
          <w:p w14:paraId="4B138C18" w14:textId="5E875BE9" w:rsidR="00755E30" w:rsidRPr="006A7A6E" w:rsidRDefault="00755E30" w:rsidP="00755E30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4 weeks ending 5/15/2022</w:t>
            </w:r>
          </w:p>
        </w:tc>
        <w:tc>
          <w:tcPr>
            <w:tcW w:w="914" w:type="dxa"/>
            <w:shd w:val="clear" w:color="auto" w:fill="ED7D31" w:themeFill="accent2"/>
            <w:vAlign w:val="center"/>
            <w:hideMark/>
          </w:tcPr>
          <w:p w14:paraId="47F253CD" w14:textId="1D7A340F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  <w:vAlign w:val="center"/>
          </w:tcPr>
          <w:p w14:paraId="385A94D8" w14:textId="5253E316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Dollar share</w:t>
            </w:r>
          </w:p>
        </w:tc>
        <w:tc>
          <w:tcPr>
            <w:tcW w:w="994" w:type="dxa"/>
            <w:shd w:val="clear" w:color="auto" w:fill="ED7D31" w:themeFill="accent2"/>
            <w:vAlign w:val="center"/>
            <w:hideMark/>
          </w:tcPr>
          <w:p w14:paraId="3685CC92" w14:textId="45BFE042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$ sales vs. 2021</w:t>
            </w:r>
          </w:p>
        </w:tc>
        <w:tc>
          <w:tcPr>
            <w:tcW w:w="1051" w:type="dxa"/>
            <w:tcBorders>
              <w:right w:val="single" w:sz="4" w:space="0" w:color="ED7D31"/>
            </w:tcBorders>
            <w:shd w:val="clear" w:color="auto" w:fill="ED7D31" w:themeFill="accent2"/>
            <w:vAlign w:val="center"/>
            <w:hideMark/>
          </w:tcPr>
          <w:p w14:paraId="4605C27F" w14:textId="5CB7C14A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$ sales vs. 2019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  <w:vAlign w:val="center"/>
          </w:tcPr>
          <w:p w14:paraId="306DC338" w14:textId="7646B7FA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Volume (lbs)</w:t>
            </w:r>
          </w:p>
        </w:tc>
        <w:tc>
          <w:tcPr>
            <w:tcW w:w="889" w:type="dxa"/>
            <w:shd w:val="clear" w:color="auto" w:fill="ED7D31" w:themeFill="accent2"/>
            <w:vAlign w:val="center"/>
          </w:tcPr>
          <w:p w14:paraId="1648DAF2" w14:textId="77777777" w:rsidR="00755E30" w:rsidRDefault="00755E30" w:rsidP="00755E30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="Calibri" w:hAnsi="Corbel" w:cs="Calibri"/>
                <w:b/>
                <w:bCs/>
                <w:color w:val="FFFFFF"/>
                <w:kern w:val="24"/>
              </w:rPr>
              <w:t>Lbs</w:t>
            </w:r>
          </w:p>
          <w:p w14:paraId="60FA614A" w14:textId="0404378E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share</w:t>
            </w:r>
          </w:p>
        </w:tc>
        <w:tc>
          <w:tcPr>
            <w:tcW w:w="1037" w:type="dxa"/>
            <w:shd w:val="clear" w:color="auto" w:fill="ED7D31" w:themeFill="accent2"/>
            <w:vAlign w:val="center"/>
          </w:tcPr>
          <w:p w14:paraId="7DE6FAA8" w14:textId="4F400DB9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 xml:space="preserve">Lbs </w:t>
            </w: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br/>
              <w:t>vs. 2021</w:t>
            </w:r>
          </w:p>
        </w:tc>
        <w:tc>
          <w:tcPr>
            <w:tcW w:w="956" w:type="dxa"/>
            <w:shd w:val="clear" w:color="auto" w:fill="ED7D31" w:themeFill="accent2"/>
            <w:vAlign w:val="center"/>
          </w:tcPr>
          <w:p w14:paraId="212AEB88" w14:textId="37A05614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eastAsia="Calibri" w:hAnsi="Corbel" w:cs="Calibri"/>
                <w:b/>
                <w:bCs/>
                <w:color w:val="FFFFFF"/>
                <w:kern w:val="24"/>
              </w:rPr>
              <w:t>Lbs vs. 2019</w:t>
            </w:r>
          </w:p>
        </w:tc>
      </w:tr>
      <w:tr w:rsidR="00755E30" w:rsidRPr="00B25DFD" w14:paraId="69D4AA5B" w14:textId="069A747C" w:rsidTr="00502F3A">
        <w:trPr>
          <w:trHeight w:val="20"/>
        </w:trPr>
        <w:tc>
          <w:tcPr>
            <w:tcW w:w="2515" w:type="dxa"/>
            <w:vAlign w:val="center"/>
            <w:hideMark/>
          </w:tcPr>
          <w:p w14:paraId="2C1CDE46" w14:textId="01223035" w:rsidR="00755E30" w:rsidRPr="006A7A6E" w:rsidRDefault="00755E30" w:rsidP="00755E30">
            <w:pPr>
              <w:rPr>
                <w:rFonts w:cstheme="minorHAnsi"/>
                <w:b/>
                <w:bCs/>
              </w:rPr>
            </w:pPr>
            <w:r>
              <w:rPr>
                <w:rFonts w:eastAsia="Calibri" w:hAnsi="Corbel" w:cs="Calibri"/>
                <w:b/>
                <w:bCs/>
                <w:color w:val="000000" w:themeColor="text1"/>
                <w:kern w:val="24"/>
              </w:rPr>
              <w:t>Total fresh mushrooms</w:t>
            </w:r>
          </w:p>
        </w:tc>
        <w:tc>
          <w:tcPr>
            <w:tcW w:w="914" w:type="dxa"/>
            <w:vAlign w:val="center"/>
            <w:hideMark/>
          </w:tcPr>
          <w:p w14:paraId="6A87FED7" w14:textId="73EED41A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eastAsia="Calibri" w:hAnsi="Corbel" w:cs="Calibri"/>
                <w:b/>
                <w:bCs/>
                <w:color w:val="000000"/>
                <w:kern w:val="24"/>
              </w:rPr>
              <w:t>$95.5M</w:t>
            </w:r>
          </w:p>
        </w:tc>
        <w:tc>
          <w:tcPr>
            <w:tcW w:w="882" w:type="dxa"/>
            <w:vAlign w:val="center"/>
          </w:tcPr>
          <w:p w14:paraId="3A01C257" w14:textId="77A42345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eastAsia="Calibri" w:hAnsi="Corbel" w:cs="Calibri"/>
                <w:b/>
                <w:bCs/>
                <w:color w:val="000000"/>
                <w:kern w:val="24"/>
              </w:rPr>
              <w:t>100.0%</w:t>
            </w:r>
          </w:p>
        </w:tc>
        <w:tc>
          <w:tcPr>
            <w:tcW w:w="994" w:type="dxa"/>
            <w:vAlign w:val="center"/>
            <w:hideMark/>
          </w:tcPr>
          <w:p w14:paraId="7E486F05" w14:textId="24B958D0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eastAsia="Calibri" w:hAnsi="Corbel" w:cs="Calibri"/>
                <w:b/>
                <w:bCs/>
                <w:color w:val="000000"/>
                <w:kern w:val="24"/>
              </w:rPr>
              <w:t>-5.9%</w:t>
            </w:r>
          </w:p>
        </w:tc>
        <w:tc>
          <w:tcPr>
            <w:tcW w:w="1051" w:type="dxa"/>
            <w:tcBorders>
              <w:right w:val="single" w:sz="4" w:space="0" w:color="ED7D31"/>
            </w:tcBorders>
            <w:vAlign w:val="center"/>
            <w:hideMark/>
          </w:tcPr>
          <w:p w14:paraId="3BD808C1" w14:textId="5256D821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eastAsia="Calibri" w:hAnsi="Corbel" w:cs="Calibri"/>
                <w:b/>
                <w:bCs/>
                <w:color w:val="000000"/>
                <w:kern w:val="24"/>
              </w:rPr>
              <w:t>+10.6%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6E7375BC" w14:textId="01C5DE2C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eastAsia="Calibri" w:hAnsi="Corbel" w:cs="Calibri"/>
                <w:b/>
                <w:bCs/>
                <w:color w:val="000000"/>
                <w:kern w:val="24"/>
              </w:rPr>
              <w:t>21M</w:t>
            </w:r>
          </w:p>
        </w:tc>
        <w:tc>
          <w:tcPr>
            <w:tcW w:w="889" w:type="dxa"/>
            <w:vAlign w:val="center"/>
          </w:tcPr>
          <w:p w14:paraId="62317D86" w14:textId="6A13C713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eastAsia="Calibri" w:hAnsi="Corbel" w:cs="Calibri"/>
                <w:b/>
                <w:bCs/>
                <w:color w:val="000000"/>
                <w:kern w:val="24"/>
              </w:rPr>
              <w:t>100.0%</w:t>
            </w:r>
          </w:p>
        </w:tc>
        <w:tc>
          <w:tcPr>
            <w:tcW w:w="1037" w:type="dxa"/>
            <w:vAlign w:val="center"/>
          </w:tcPr>
          <w:p w14:paraId="5E78B271" w14:textId="21FA4558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hAnsi="Corbel" w:cs="Arial"/>
                <w:b/>
                <w:bCs/>
                <w:color w:val="000000" w:themeColor="text1"/>
                <w:kern w:val="24"/>
              </w:rPr>
              <w:t>-11.8%</w:t>
            </w:r>
          </w:p>
        </w:tc>
        <w:tc>
          <w:tcPr>
            <w:tcW w:w="956" w:type="dxa"/>
            <w:vAlign w:val="center"/>
          </w:tcPr>
          <w:p w14:paraId="576290B6" w14:textId="390766D2" w:rsidR="00755E30" w:rsidRPr="006A7A6E" w:rsidRDefault="00755E30" w:rsidP="00755E3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hAnsi="Corbel" w:cs="Arial"/>
                <w:b/>
                <w:bCs/>
                <w:color w:val="000000" w:themeColor="text1"/>
                <w:kern w:val="24"/>
              </w:rPr>
              <w:t>-0.2%</w:t>
            </w:r>
          </w:p>
        </w:tc>
      </w:tr>
      <w:tr w:rsidR="00755E30" w:rsidRPr="00B25DFD" w14:paraId="20B4A675" w14:textId="7B567306" w:rsidTr="0050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15" w:type="dxa"/>
            <w:vAlign w:val="center"/>
            <w:hideMark/>
          </w:tcPr>
          <w:p w14:paraId="0674F69D" w14:textId="62416884" w:rsidR="00755E30" w:rsidRPr="006A7A6E" w:rsidRDefault="00755E30" w:rsidP="00755E30">
            <w:pPr>
              <w:rPr>
                <w:rFonts w:cstheme="minorHAnsi"/>
              </w:rPr>
            </w:pPr>
            <w:r>
              <w:rPr>
                <w:rFonts w:eastAsia="Calibri" w:hAnsi="Corbel" w:cs="Calibri"/>
                <w:color w:val="000000" w:themeColor="text1"/>
                <w:kern w:val="24"/>
              </w:rPr>
              <w:t>White mushrooms</w:t>
            </w:r>
          </w:p>
        </w:tc>
        <w:tc>
          <w:tcPr>
            <w:tcW w:w="914" w:type="dxa"/>
            <w:vAlign w:val="center"/>
            <w:hideMark/>
          </w:tcPr>
          <w:p w14:paraId="502595AA" w14:textId="58897A53" w:rsidR="00755E30" w:rsidRPr="002F23A1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$50.9M</w:t>
            </w:r>
          </w:p>
        </w:tc>
        <w:tc>
          <w:tcPr>
            <w:tcW w:w="882" w:type="dxa"/>
            <w:vAlign w:val="center"/>
          </w:tcPr>
          <w:p w14:paraId="5E770B3E" w14:textId="412F1A6D" w:rsidR="00755E30" w:rsidRPr="002F23A1" w:rsidRDefault="00755E30" w:rsidP="00755E30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53.3%</w:t>
            </w:r>
          </w:p>
        </w:tc>
        <w:tc>
          <w:tcPr>
            <w:tcW w:w="994" w:type="dxa"/>
            <w:vAlign w:val="center"/>
            <w:hideMark/>
          </w:tcPr>
          <w:p w14:paraId="4CEB702D" w14:textId="2385FB5F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-5.8%</w:t>
            </w:r>
          </w:p>
        </w:tc>
        <w:tc>
          <w:tcPr>
            <w:tcW w:w="1051" w:type="dxa"/>
            <w:tcBorders>
              <w:right w:val="single" w:sz="4" w:space="0" w:color="ED7D31"/>
            </w:tcBorders>
            <w:vAlign w:val="center"/>
            <w:hideMark/>
          </w:tcPr>
          <w:p w14:paraId="7F3B4AE1" w14:textId="08CB2C81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+2.7%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3E87B660" w14:textId="74AE8F97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12.8M</w:t>
            </w:r>
          </w:p>
        </w:tc>
        <w:tc>
          <w:tcPr>
            <w:tcW w:w="889" w:type="dxa"/>
            <w:vAlign w:val="center"/>
          </w:tcPr>
          <w:p w14:paraId="4385ED4A" w14:textId="6CA4EAEC" w:rsidR="00755E30" w:rsidRPr="0004266D" w:rsidRDefault="00755E30" w:rsidP="00755E30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61.0%</w:t>
            </w:r>
          </w:p>
        </w:tc>
        <w:tc>
          <w:tcPr>
            <w:tcW w:w="1037" w:type="dxa"/>
            <w:vAlign w:val="center"/>
          </w:tcPr>
          <w:p w14:paraId="776C4AD3" w14:textId="494D9FDE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hAnsi="Corbel" w:cs="Arial"/>
                <w:color w:val="000000" w:themeColor="text1"/>
                <w:kern w:val="24"/>
              </w:rPr>
              <w:t>-11.3%</w:t>
            </w:r>
          </w:p>
        </w:tc>
        <w:tc>
          <w:tcPr>
            <w:tcW w:w="956" w:type="dxa"/>
            <w:vAlign w:val="center"/>
          </w:tcPr>
          <w:p w14:paraId="107F8B93" w14:textId="531ECDC2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hAnsi="Corbel" w:cs="Arial"/>
                <w:color w:val="000000" w:themeColor="text1"/>
                <w:kern w:val="24"/>
              </w:rPr>
              <w:t>-6.0%</w:t>
            </w:r>
          </w:p>
        </w:tc>
      </w:tr>
      <w:tr w:rsidR="00755E30" w:rsidRPr="00B25DFD" w14:paraId="6060C93B" w14:textId="081A30E4" w:rsidTr="00502F3A">
        <w:trPr>
          <w:trHeight w:val="20"/>
        </w:trPr>
        <w:tc>
          <w:tcPr>
            <w:tcW w:w="2515" w:type="dxa"/>
            <w:vAlign w:val="center"/>
            <w:hideMark/>
          </w:tcPr>
          <w:p w14:paraId="4D628EC6" w14:textId="288CE773" w:rsidR="00755E30" w:rsidRPr="006A7A6E" w:rsidRDefault="00755E30" w:rsidP="00755E30">
            <w:pPr>
              <w:rPr>
                <w:rFonts w:cstheme="minorHAnsi"/>
              </w:rPr>
            </w:pPr>
            <w:r>
              <w:rPr>
                <w:rFonts w:eastAsia="Calibri" w:hAnsi="Corbel" w:cs="Calibri"/>
                <w:color w:val="000000" w:themeColor="text1"/>
                <w:kern w:val="24"/>
              </w:rPr>
              <w:t>Brown mushrooms</w:t>
            </w:r>
          </w:p>
        </w:tc>
        <w:tc>
          <w:tcPr>
            <w:tcW w:w="914" w:type="dxa"/>
            <w:vAlign w:val="center"/>
            <w:hideMark/>
          </w:tcPr>
          <w:p w14:paraId="590C2B94" w14:textId="1FA7BE3D" w:rsidR="00755E30" w:rsidRPr="002F23A1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$39.3M</w:t>
            </w:r>
          </w:p>
        </w:tc>
        <w:tc>
          <w:tcPr>
            <w:tcW w:w="882" w:type="dxa"/>
            <w:vAlign w:val="center"/>
          </w:tcPr>
          <w:p w14:paraId="02395440" w14:textId="29032DD2" w:rsidR="00755E30" w:rsidRPr="002F23A1" w:rsidRDefault="00755E30" w:rsidP="00755E30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41.2%</w:t>
            </w:r>
          </w:p>
        </w:tc>
        <w:tc>
          <w:tcPr>
            <w:tcW w:w="994" w:type="dxa"/>
            <w:vAlign w:val="center"/>
            <w:hideMark/>
          </w:tcPr>
          <w:p w14:paraId="42F0AAF3" w14:textId="2BA79E54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-4.4%</w:t>
            </w:r>
          </w:p>
        </w:tc>
        <w:tc>
          <w:tcPr>
            <w:tcW w:w="1051" w:type="dxa"/>
            <w:tcBorders>
              <w:right w:val="single" w:sz="4" w:space="0" w:color="ED7D31"/>
            </w:tcBorders>
            <w:vAlign w:val="center"/>
            <w:hideMark/>
          </w:tcPr>
          <w:p w14:paraId="25DB127B" w14:textId="2113FFED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+20.6%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6FD24DED" w14:textId="20768EB3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7.8M</w:t>
            </w:r>
          </w:p>
        </w:tc>
        <w:tc>
          <w:tcPr>
            <w:tcW w:w="889" w:type="dxa"/>
            <w:vAlign w:val="center"/>
          </w:tcPr>
          <w:p w14:paraId="39529C18" w14:textId="4C4592CB" w:rsidR="00755E30" w:rsidRPr="0004266D" w:rsidRDefault="00755E30" w:rsidP="00755E30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37.2%</w:t>
            </w:r>
          </w:p>
        </w:tc>
        <w:tc>
          <w:tcPr>
            <w:tcW w:w="1037" w:type="dxa"/>
            <w:vAlign w:val="center"/>
          </w:tcPr>
          <w:p w14:paraId="720478A7" w14:textId="14ADF1B8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hAnsi="Corbel" w:cs="Arial"/>
                <w:color w:val="000000" w:themeColor="text1"/>
                <w:kern w:val="24"/>
              </w:rPr>
              <w:t>-11.9%</w:t>
            </w:r>
          </w:p>
        </w:tc>
        <w:tc>
          <w:tcPr>
            <w:tcW w:w="956" w:type="dxa"/>
            <w:vAlign w:val="center"/>
          </w:tcPr>
          <w:p w14:paraId="30958CBD" w14:textId="688F8E9E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hAnsi="Corbel" w:cs="Arial"/>
                <w:color w:val="000000" w:themeColor="text1"/>
                <w:kern w:val="24"/>
              </w:rPr>
              <w:t>10.8%</w:t>
            </w:r>
          </w:p>
        </w:tc>
      </w:tr>
      <w:tr w:rsidR="00755E30" w:rsidRPr="00B25DFD" w14:paraId="2B6B448E" w14:textId="7445020D" w:rsidTr="0050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15" w:type="dxa"/>
            <w:vAlign w:val="center"/>
            <w:hideMark/>
          </w:tcPr>
          <w:p w14:paraId="7C14C062" w14:textId="6A6FF924" w:rsidR="00755E30" w:rsidRPr="006A7A6E" w:rsidRDefault="00755E30" w:rsidP="00755E30">
            <w:pPr>
              <w:rPr>
                <w:rFonts w:cstheme="minorHAnsi"/>
              </w:rPr>
            </w:pPr>
            <w:r>
              <w:rPr>
                <w:rFonts w:eastAsia="Calibri" w:hAnsi="Corbel" w:cs="Calibri"/>
                <w:color w:val="000000" w:themeColor="text1"/>
                <w:kern w:val="24"/>
              </w:rPr>
              <w:t>Specialty mushrooms</w:t>
            </w:r>
          </w:p>
        </w:tc>
        <w:tc>
          <w:tcPr>
            <w:tcW w:w="914" w:type="dxa"/>
            <w:vAlign w:val="center"/>
            <w:hideMark/>
          </w:tcPr>
          <w:p w14:paraId="43257BA5" w14:textId="2B453EB7" w:rsidR="00755E30" w:rsidRPr="002F23A1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$5.3M</w:t>
            </w:r>
          </w:p>
        </w:tc>
        <w:tc>
          <w:tcPr>
            <w:tcW w:w="882" w:type="dxa"/>
            <w:vAlign w:val="center"/>
          </w:tcPr>
          <w:p w14:paraId="7EC04D31" w14:textId="4AEC525C" w:rsidR="00755E30" w:rsidRPr="002F23A1" w:rsidRDefault="00755E30" w:rsidP="00755E30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5.5%</w:t>
            </w:r>
          </w:p>
        </w:tc>
        <w:tc>
          <w:tcPr>
            <w:tcW w:w="994" w:type="dxa"/>
            <w:vAlign w:val="center"/>
            <w:hideMark/>
          </w:tcPr>
          <w:p w14:paraId="10052F27" w14:textId="63F51F06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-15.8%</w:t>
            </w:r>
          </w:p>
        </w:tc>
        <w:tc>
          <w:tcPr>
            <w:tcW w:w="1051" w:type="dxa"/>
            <w:tcBorders>
              <w:right w:val="single" w:sz="4" w:space="0" w:color="ED7D31"/>
            </w:tcBorders>
            <w:vAlign w:val="center"/>
            <w:hideMark/>
          </w:tcPr>
          <w:p w14:paraId="31EEA636" w14:textId="1211F862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+25.6%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166CB34C" w14:textId="0110BE22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0.4M</w:t>
            </w:r>
          </w:p>
        </w:tc>
        <w:tc>
          <w:tcPr>
            <w:tcW w:w="889" w:type="dxa"/>
            <w:vAlign w:val="center"/>
          </w:tcPr>
          <w:p w14:paraId="417DE33D" w14:textId="0639A5D6" w:rsidR="00755E30" w:rsidRPr="0004266D" w:rsidRDefault="00755E30" w:rsidP="00755E30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eastAsia="Calibri" w:hAnsi="Corbel" w:cs="Calibri"/>
                <w:color w:val="000000"/>
                <w:kern w:val="24"/>
              </w:rPr>
              <w:t>1.9%</w:t>
            </w:r>
          </w:p>
        </w:tc>
        <w:tc>
          <w:tcPr>
            <w:tcW w:w="1037" w:type="dxa"/>
            <w:vAlign w:val="center"/>
          </w:tcPr>
          <w:p w14:paraId="632726C6" w14:textId="2AA4EB4C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hAnsi="Corbel" w:cs="Arial"/>
                <w:color w:val="000000" w:themeColor="text1"/>
                <w:kern w:val="24"/>
              </w:rPr>
              <w:t>-23.7%</w:t>
            </w:r>
          </w:p>
        </w:tc>
        <w:tc>
          <w:tcPr>
            <w:tcW w:w="956" w:type="dxa"/>
            <w:vAlign w:val="center"/>
          </w:tcPr>
          <w:p w14:paraId="700774A9" w14:textId="1A18E5F1" w:rsidR="00755E30" w:rsidRPr="0004266D" w:rsidRDefault="00755E30" w:rsidP="00755E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hAnsi="Corbel" w:cs="Arial"/>
                <w:color w:val="000000" w:themeColor="text1"/>
                <w:kern w:val="24"/>
              </w:rPr>
              <w:t>5.2%</w:t>
            </w:r>
          </w:p>
        </w:tc>
      </w:tr>
    </w:tbl>
    <w:bookmarkEnd w:id="0"/>
    <w:p w14:paraId="45617577" w14:textId="5A63AAC2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22E21">
        <w:rPr>
          <w:color w:val="7F7F7F" w:themeColor="text1" w:themeTint="80"/>
          <w:sz w:val="16"/>
          <w:szCs w:val="16"/>
        </w:rPr>
        <w:t>5/15/2022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73FD9A76" w:rsidR="00D81FBA" w:rsidRDefault="00D81FBA" w:rsidP="006035CB">
      <w:pPr>
        <w:pStyle w:val="NoSpacing"/>
        <w:numPr>
          <w:ilvl w:val="0"/>
          <w:numId w:val="2"/>
        </w:numPr>
      </w:pPr>
      <w:r>
        <w:rPr>
          <w:u w:val="single"/>
        </w:rPr>
        <w:t>Fixed versus random weight performance</w:t>
      </w:r>
      <w:r w:rsidRPr="00D81FBA">
        <w:t>:</w:t>
      </w:r>
      <w:r>
        <w:t xml:space="preserve"> </w:t>
      </w:r>
      <w:r w:rsidR="006035CB">
        <w:t>Fixed weight represented 95.</w:t>
      </w:r>
      <w:r w:rsidR="00502F3A">
        <w:t>1</w:t>
      </w:r>
      <w:r w:rsidR="006035CB">
        <w:t>% of dollars and 9</w:t>
      </w:r>
      <w:r w:rsidR="00502F3A">
        <w:t>5.9</w:t>
      </w:r>
      <w:r w:rsidR="006035CB">
        <w:t>% of volume in the quad-week period. F</w:t>
      </w:r>
      <w:r w:rsidR="00461D8C">
        <w:t xml:space="preserve">ixed weight also had the better dollar, unit and volume performance. While fixed weight was down </w:t>
      </w:r>
      <w:r w:rsidR="00502F3A">
        <w:t>6.6</w:t>
      </w:r>
      <w:r w:rsidR="00461D8C">
        <w:t xml:space="preserve">% in the four-week period, random weight (loose/bulk) was down </w:t>
      </w:r>
      <w:r w:rsidR="006035CB">
        <w:t>14</w:t>
      </w:r>
      <w:r w:rsidR="00502F3A">
        <w:t>.6</w:t>
      </w:r>
      <w:r w:rsidR="00461D8C">
        <w:t xml:space="preserve">%. </w:t>
      </w:r>
    </w:p>
    <w:p w14:paraId="5717B51C" w14:textId="521309C0" w:rsidR="004462C1" w:rsidRDefault="004462C1" w:rsidP="006035CB">
      <w:pPr>
        <w:pStyle w:val="NoSpacing"/>
        <w:numPr>
          <w:ilvl w:val="0"/>
          <w:numId w:val="2"/>
        </w:numPr>
      </w:pPr>
      <w:r>
        <w:rPr>
          <w:u w:val="single"/>
        </w:rPr>
        <w:t>Organic versus conventional</w:t>
      </w:r>
      <w:r w:rsidRPr="004462C1">
        <w:t>:</w:t>
      </w:r>
      <w:r>
        <w:t xml:space="preserve"> Organic dollar sales made up </w:t>
      </w:r>
      <w:r w:rsidR="006035CB">
        <w:t>12.</w:t>
      </w:r>
      <w:r w:rsidR="00502F3A">
        <w:t>7</w:t>
      </w:r>
      <w:r>
        <w:t>% of total fresh mushroom sales in</w:t>
      </w:r>
      <w:r w:rsidR="00BF5D9C">
        <w:t xml:space="preserve"> the four weeks</w:t>
      </w:r>
      <w:r>
        <w:t xml:space="preserve">. Organic mushrooms </w:t>
      </w:r>
      <w:r w:rsidR="00461D8C">
        <w:t xml:space="preserve">dollars </w:t>
      </w:r>
      <w:r w:rsidR="00502F3A">
        <w:t>slid back slightly</w:t>
      </w:r>
      <w:r w:rsidR="00461D8C">
        <w:t xml:space="preserve"> year-on-year (</w:t>
      </w:r>
      <w:r w:rsidR="00502F3A">
        <w:t>-1.2</w:t>
      </w:r>
      <w:r w:rsidR="00461D8C">
        <w:t xml:space="preserve">%), </w:t>
      </w:r>
      <w:r w:rsidR="00502F3A">
        <w:t xml:space="preserve">along with </w:t>
      </w:r>
      <w:r w:rsidR="00461D8C">
        <w:t xml:space="preserve">units and pounds. </w:t>
      </w:r>
      <w:r>
        <w:t xml:space="preserve"> </w:t>
      </w:r>
    </w:p>
    <w:p w14:paraId="6D8D98E4" w14:textId="501F46DA" w:rsidR="00461D8C" w:rsidRDefault="004462C1" w:rsidP="006035CB">
      <w:pPr>
        <w:pStyle w:val="NoSpacing"/>
        <w:numPr>
          <w:ilvl w:val="0"/>
          <w:numId w:val="2"/>
        </w:numPr>
      </w:pPr>
      <w:r w:rsidRPr="00461D8C">
        <w:rPr>
          <w:u w:val="single"/>
        </w:rPr>
        <w:t>Cut/prepared versus whole mushrooms</w:t>
      </w:r>
      <w:r>
        <w:t xml:space="preserve">: </w:t>
      </w:r>
      <w:r w:rsidR="0090410F">
        <w:t xml:space="preserve">Cut or prepared mushrooms made up </w:t>
      </w:r>
      <w:r w:rsidR="00A4341C">
        <w:t>51.8</w:t>
      </w:r>
      <w:r w:rsidR="0090410F">
        <w:t xml:space="preserve">% of </w:t>
      </w:r>
      <w:r w:rsidR="00A4341C">
        <w:t>pound</w:t>
      </w:r>
      <w:r w:rsidR="0090410F">
        <w:t xml:space="preserve"> 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6035CB">
        <w:t>, down -</w:t>
      </w:r>
      <w:r w:rsidR="00A4341C">
        <w:t>5.5</w:t>
      </w:r>
      <w:r w:rsidR="006035CB">
        <w:t>% year-on-year versus -</w:t>
      </w:r>
      <w:r w:rsidR="00A4341C">
        <w:t>8.3</w:t>
      </w:r>
      <w:r w:rsidR="006035CB">
        <w:t>% for cut/value-added mushrooms</w:t>
      </w:r>
      <w:r w:rsidR="00A51F5B">
        <w:t xml:space="preserve">. </w:t>
      </w:r>
      <w:r w:rsidR="0090410F">
        <w:t xml:space="preserve"> </w:t>
      </w:r>
    </w:p>
    <w:p w14:paraId="5DBFDF80" w14:textId="1734D30C" w:rsidR="00B34EF7" w:rsidRPr="00B34EF7" w:rsidRDefault="00782D09" w:rsidP="00461D8C">
      <w:pPr>
        <w:pStyle w:val="NoSpacing"/>
        <w:spacing w:before="120"/>
      </w:pPr>
      <w:r w:rsidRPr="00461D8C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461D8C">
        <w:rPr>
          <w:color w:val="7F7F7F" w:themeColor="text1" w:themeTint="80"/>
          <w:sz w:val="16"/>
          <w:szCs w:val="16"/>
        </w:rPr>
        <w:t>4</w:t>
      </w:r>
      <w:r w:rsidRPr="00461D8C">
        <w:rPr>
          <w:color w:val="7F7F7F" w:themeColor="text1" w:themeTint="80"/>
          <w:sz w:val="16"/>
          <w:szCs w:val="16"/>
        </w:rPr>
        <w:t xml:space="preserve"> weeks ending </w:t>
      </w:r>
      <w:r w:rsidR="00D22E21">
        <w:rPr>
          <w:color w:val="7F7F7F" w:themeColor="text1" w:themeTint="80"/>
          <w:sz w:val="16"/>
          <w:szCs w:val="16"/>
        </w:rPr>
        <w:t>5/15/2022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206129">
    <w:abstractNumId w:val="0"/>
  </w:num>
  <w:num w:numId="2" w16cid:durableId="61810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7"/>
    <w:rsid w:val="0004266D"/>
    <w:rsid w:val="0007328F"/>
    <w:rsid w:val="000809C3"/>
    <w:rsid w:val="000C3CC4"/>
    <w:rsid w:val="000D7A79"/>
    <w:rsid w:val="000F6913"/>
    <w:rsid w:val="001119BD"/>
    <w:rsid w:val="00124C8B"/>
    <w:rsid w:val="00124CB7"/>
    <w:rsid w:val="00170260"/>
    <w:rsid w:val="001A4D44"/>
    <w:rsid w:val="001A601E"/>
    <w:rsid w:val="001B762B"/>
    <w:rsid w:val="002437CE"/>
    <w:rsid w:val="00265C0D"/>
    <w:rsid w:val="00276C09"/>
    <w:rsid w:val="00283DB2"/>
    <w:rsid w:val="00291F75"/>
    <w:rsid w:val="002B7E48"/>
    <w:rsid w:val="002F23A1"/>
    <w:rsid w:val="0034238A"/>
    <w:rsid w:val="00396448"/>
    <w:rsid w:val="003C1DD2"/>
    <w:rsid w:val="003C3F10"/>
    <w:rsid w:val="003C72DD"/>
    <w:rsid w:val="003D3BDA"/>
    <w:rsid w:val="003D6A0F"/>
    <w:rsid w:val="00403666"/>
    <w:rsid w:val="004462C1"/>
    <w:rsid w:val="00461D8C"/>
    <w:rsid w:val="00467FB5"/>
    <w:rsid w:val="00472B02"/>
    <w:rsid w:val="0047570E"/>
    <w:rsid w:val="004B6371"/>
    <w:rsid w:val="004B7951"/>
    <w:rsid w:val="004C2808"/>
    <w:rsid w:val="00502F3A"/>
    <w:rsid w:val="005049A9"/>
    <w:rsid w:val="0054182D"/>
    <w:rsid w:val="00541AFF"/>
    <w:rsid w:val="00552C5D"/>
    <w:rsid w:val="00555250"/>
    <w:rsid w:val="005571F3"/>
    <w:rsid w:val="005A54F2"/>
    <w:rsid w:val="005C6AEE"/>
    <w:rsid w:val="005E5127"/>
    <w:rsid w:val="006035CB"/>
    <w:rsid w:val="006343E6"/>
    <w:rsid w:val="00637AE9"/>
    <w:rsid w:val="00666D40"/>
    <w:rsid w:val="006A7A6E"/>
    <w:rsid w:val="006F1F55"/>
    <w:rsid w:val="00755E30"/>
    <w:rsid w:val="00782D09"/>
    <w:rsid w:val="007D30DA"/>
    <w:rsid w:val="007D33D8"/>
    <w:rsid w:val="007D3D1C"/>
    <w:rsid w:val="007F1F55"/>
    <w:rsid w:val="00837283"/>
    <w:rsid w:val="00851AC9"/>
    <w:rsid w:val="0086198D"/>
    <w:rsid w:val="0086536E"/>
    <w:rsid w:val="00873884"/>
    <w:rsid w:val="008A56E2"/>
    <w:rsid w:val="008B128D"/>
    <w:rsid w:val="008B7FFD"/>
    <w:rsid w:val="009040DB"/>
    <w:rsid w:val="0090410F"/>
    <w:rsid w:val="0092088E"/>
    <w:rsid w:val="00927EAC"/>
    <w:rsid w:val="0094219B"/>
    <w:rsid w:val="00972570"/>
    <w:rsid w:val="009B7AC3"/>
    <w:rsid w:val="00A00697"/>
    <w:rsid w:val="00A13601"/>
    <w:rsid w:val="00A4341C"/>
    <w:rsid w:val="00A5084B"/>
    <w:rsid w:val="00A51F5B"/>
    <w:rsid w:val="00A72B72"/>
    <w:rsid w:val="00AC2C09"/>
    <w:rsid w:val="00AE0F54"/>
    <w:rsid w:val="00AF14BD"/>
    <w:rsid w:val="00B13706"/>
    <w:rsid w:val="00B21146"/>
    <w:rsid w:val="00B25DFD"/>
    <w:rsid w:val="00B34EF7"/>
    <w:rsid w:val="00B979CF"/>
    <w:rsid w:val="00BB41E8"/>
    <w:rsid w:val="00BF5D9C"/>
    <w:rsid w:val="00C76BE0"/>
    <w:rsid w:val="00C82BBE"/>
    <w:rsid w:val="00C8545B"/>
    <w:rsid w:val="00CE27CF"/>
    <w:rsid w:val="00D03B05"/>
    <w:rsid w:val="00D22E21"/>
    <w:rsid w:val="00D26DE8"/>
    <w:rsid w:val="00D81FBA"/>
    <w:rsid w:val="00D8225F"/>
    <w:rsid w:val="00D9097A"/>
    <w:rsid w:val="00D97BC7"/>
    <w:rsid w:val="00DD58ED"/>
    <w:rsid w:val="00E20285"/>
    <w:rsid w:val="00E4438B"/>
    <w:rsid w:val="00E65269"/>
    <w:rsid w:val="00EA3B31"/>
    <w:rsid w:val="00F108D9"/>
    <w:rsid w:val="00F26DD2"/>
    <w:rsid w:val="00F4460A"/>
    <w:rsid w:val="00FB15C0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3C3F1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5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5</cp:revision>
  <dcterms:created xsi:type="dcterms:W3CDTF">2022-05-19T14:23:00Z</dcterms:created>
  <dcterms:modified xsi:type="dcterms:W3CDTF">2022-05-25T02:29:00Z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