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6A7" w14:textId="39842917" w:rsidR="005049A9" w:rsidRDefault="005049A9" w:rsidP="005049A9">
      <w:pPr>
        <w:pStyle w:val="Title"/>
        <w:jc w:val="center"/>
      </w:pPr>
      <w:r w:rsidRPr="005049A9">
        <w:rPr>
          <w:noProof/>
        </w:rPr>
        <w:drawing>
          <wp:anchor distT="0" distB="0" distL="114300" distR="114300" simplePos="0" relativeHeight="251658240" behindDoc="0" locked="0" layoutInCell="1" allowOverlap="1" wp14:anchorId="53E5FC2F" wp14:editId="1E292A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98415" cy="752475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CF1A7-753C-4952-8F0D-A77DEE87F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DC5CF1A7-753C-4952-8F0D-A77DEE87FB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48FB648C" w:rsidR="00A5084B" w:rsidRPr="004462C1" w:rsidRDefault="00B34EF7" w:rsidP="00B34EF7">
      <w:pPr>
        <w:pStyle w:val="Title"/>
      </w:pPr>
      <w:r w:rsidRPr="004462C1">
        <w:t xml:space="preserve">2021 </w:t>
      </w:r>
      <w:r w:rsidR="004C2808" w:rsidRPr="004462C1">
        <w:t>Fresh Mushroom Year in Review</w:t>
      </w:r>
    </w:p>
    <w:p w14:paraId="022A5B42" w14:textId="605814EC" w:rsidR="00B34EF7" w:rsidRDefault="00B34EF7" w:rsidP="00B34EF7">
      <w:pPr>
        <w:pStyle w:val="NoSpacing"/>
      </w:pPr>
    </w:p>
    <w:p w14:paraId="737234D5" w14:textId="14E5F9D2" w:rsidR="00927EAC" w:rsidRPr="00927EAC" w:rsidRDefault="00927EAC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Dollars, Units and Volume Performance</w:t>
      </w:r>
    </w:p>
    <w:p w14:paraId="34A9DC23" w14:textId="62BFCEED" w:rsidR="00B34EF7" w:rsidRDefault="00B34EF7" w:rsidP="00B34EF7">
      <w:pPr>
        <w:pStyle w:val="NoSpacing"/>
      </w:pPr>
      <w:r>
        <w:t>The 2021 performance of just about all categories in food retailing was heavily influenced by three major areas:</w:t>
      </w:r>
    </w:p>
    <w:p w14:paraId="6BC0F60C" w14:textId="1B4269FF" w:rsidR="00B34EF7" w:rsidRDefault="000D7A79" w:rsidP="000D7A79">
      <w:pPr>
        <w:pStyle w:val="NoSpacing"/>
        <w:numPr>
          <w:ilvl w:val="0"/>
          <w:numId w:val="1"/>
        </w:numPr>
        <w:ind w:left="180" w:hanging="180"/>
      </w:pPr>
      <w:r>
        <w:t xml:space="preserve">The category’s </w:t>
      </w:r>
      <w:r w:rsidR="00B34EF7">
        <w:t>performance in 2020 set the tone for the difficulty (or ease) for continued growth in 2021</w:t>
      </w:r>
    </w:p>
    <w:p w14:paraId="3914B755" w14:textId="6D74DF4E" w:rsidR="00B34EF7" w:rsidRDefault="00B34EF7" w:rsidP="000D7A79">
      <w:pPr>
        <w:pStyle w:val="NoSpacing"/>
        <w:numPr>
          <w:ilvl w:val="0"/>
          <w:numId w:val="1"/>
        </w:numPr>
        <w:ind w:left="180" w:hanging="180"/>
      </w:pPr>
      <w:r>
        <w:t>Inflationary press</w:t>
      </w:r>
      <w:r w:rsidR="00A72B72" w:rsidRPr="007E1D2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37A7B2B7" wp14:editId="4BAFFA41">
            <wp:simplePos x="0" y="0"/>
            <wp:positionH relativeFrom="page">
              <wp:posOffset>350520</wp:posOffset>
            </wp:positionH>
            <wp:positionV relativeFrom="page">
              <wp:posOffset>1539875</wp:posOffset>
            </wp:positionV>
            <wp:extent cx="7212330" cy="634365"/>
            <wp:effectExtent l="0" t="0" r="0" b="0"/>
            <wp:wrapNone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 shadow PS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233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ure</w:t>
      </w:r>
      <w:r w:rsidR="000D7A79">
        <w:t xml:space="preserve"> of the category</w:t>
      </w:r>
    </w:p>
    <w:p w14:paraId="647662AC" w14:textId="509DF41D" w:rsidR="00B34EF7" w:rsidRDefault="00B34EF7" w:rsidP="000D7A79">
      <w:pPr>
        <w:pStyle w:val="NoSpacing"/>
        <w:numPr>
          <w:ilvl w:val="0"/>
          <w:numId w:val="1"/>
        </w:numPr>
        <w:ind w:left="180" w:hanging="180"/>
      </w:pPr>
      <w:r>
        <w:t>Supply chain challenges</w:t>
      </w:r>
      <w:r w:rsidR="00472B02">
        <w:t>, affecting availability and ability to promote</w:t>
      </w:r>
    </w:p>
    <w:p w14:paraId="56AAED27" w14:textId="7658CB3B" w:rsidR="00472B02" w:rsidRDefault="00472B02" w:rsidP="00472B02">
      <w:pPr>
        <w:pStyle w:val="NoSpacing"/>
      </w:pPr>
    </w:p>
    <w:p w14:paraId="47797D03" w14:textId="065CE76F" w:rsidR="00472B02" w:rsidRDefault="00472B02" w:rsidP="00472B02">
      <w:pPr>
        <w:pStyle w:val="NoSpacing"/>
      </w:pPr>
      <w:r>
        <w:t xml:space="preserve">Mushrooms were among the top performing produce categories throughout the </w:t>
      </w:r>
      <w:r w:rsidR="0054182D">
        <w:t xml:space="preserve">first year </w:t>
      </w:r>
      <w:r>
        <w:t>of the pandemic</w:t>
      </w:r>
      <w:r w:rsidR="00124CB7">
        <w:t xml:space="preserve"> </w:t>
      </w:r>
      <w:r>
        <w:t xml:space="preserve">— trending in the top 10 absolute growth drivers for 52 weeks straight. </w:t>
      </w:r>
      <w:r w:rsidR="00B979CF">
        <w:t>In 2020, mushroom dollar sales increased 19.7% and volume (pound) sales increased 16.7% versus</w:t>
      </w:r>
      <w:r w:rsidR="00124CB7">
        <w:t xml:space="preserve"> 2019</w:t>
      </w:r>
      <w:r w:rsidR="00B979CF">
        <w:t>. This created a very difficult path for continued growth in 2021</w:t>
      </w:r>
      <w:r w:rsidR="008A56E2">
        <w:t xml:space="preserve"> and fresh mushroom sales </w:t>
      </w:r>
      <w:r w:rsidR="004E1FE4">
        <w:t>di</w:t>
      </w:r>
      <w:r w:rsidR="008A56E2">
        <w:t xml:space="preserve">d not </w:t>
      </w:r>
      <w:r w:rsidR="0092088E">
        <w:t xml:space="preserve">reach prior-year levels. Dollars dropped 5.1% year-over year and volume declined 6.8%. However, </w:t>
      </w:r>
      <w:proofErr w:type="gramStart"/>
      <w:r w:rsidR="0092088E">
        <w:t>2021 dollar</w:t>
      </w:r>
      <w:proofErr w:type="gramEnd"/>
      <w:r w:rsidR="0092088E">
        <w:t xml:space="preserve"> sales exceeded the pre-pandemic levels of 2019 by 13.6% and volume by 8.7%.</w:t>
      </w:r>
    </w:p>
    <w:p w14:paraId="382DFC83" w14:textId="573D0614" w:rsidR="0092088E" w:rsidRDefault="0092088E" w:rsidP="00472B02">
      <w:pPr>
        <w:pStyle w:val="NoSpacing"/>
      </w:pPr>
    </w:p>
    <w:tbl>
      <w:tblPr>
        <w:tblStyle w:val="ListTable3-Accent2"/>
        <w:tblW w:w="10075" w:type="dxa"/>
        <w:tblLook w:val="04A0" w:firstRow="1" w:lastRow="0" w:firstColumn="1" w:lastColumn="0" w:noHBand="0" w:noVBand="1"/>
      </w:tblPr>
      <w:tblGrid>
        <w:gridCol w:w="2541"/>
        <w:gridCol w:w="2541"/>
        <w:gridCol w:w="2541"/>
        <w:gridCol w:w="2452"/>
      </w:tblGrid>
      <w:tr w:rsidR="0092088E" w:rsidRPr="00124CB7" w14:paraId="0E4645F8" w14:textId="77777777" w:rsidTr="0066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1" w:type="dxa"/>
          </w:tcPr>
          <w:p w14:paraId="6EAA0673" w14:textId="43A4E965" w:rsidR="0092088E" w:rsidRPr="00124CB7" w:rsidRDefault="0092088E" w:rsidP="00472B02">
            <w:pPr>
              <w:pStyle w:val="NoSpacing"/>
            </w:pPr>
            <w:r w:rsidRPr="00124CB7">
              <w:t>Fresh mushrooms</w:t>
            </w:r>
          </w:p>
        </w:tc>
        <w:tc>
          <w:tcPr>
            <w:tcW w:w="2541" w:type="dxa"/>
          </w:tcPr>
          <w:p w14:paraId="0BC661E4" w14:textId="122DA030" w:rsidR="0092088E" w:rsidRPr="00124CB7" w:rsidRDefault="0092088E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2021</w:t>
            </w:r>
          </w:p>
        </w:tc>
        <w:tc>
          <w:tcPr>
            <w:tcW w:w="2541" w:type="dxa"/>
          </w:tcPr>
          <w:p w14:paraId="54A621E6" w14:textId="228F92E0" w:rsidR="0092088E" w:rsidRPr="00124CB7" w:rsidRDefault="0092088E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2020</w:t>
            </w:r>
          </w:p>
        </w:tc>
        <w:tc>
          <w:tcPr>
            <w:tcW w:w="2452" w:type="dxa"/>
          </w:tcPr>
          <w:p w14:paraId="046F45A2" w14:textId="113F4139" w:rsidR="0092088E" w:rsidRPr="00124CB7" w:rsidRDefault="0092088E" w:rsidP="0092088E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2019</w:t>
            </w:r>
          </w:p>
        </w:tc>
      </w:tr>
      <w:tr w:rsidR="0092088E" w14:paraId="6A1EAD7D" w14:textId="77777777" w:rsidTr="00666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38F703DA" w14:textId="6A977B27" w:rsidR="0092088E" w:rsidRPr="00124CB7" w:rsidRDefault="0092088E" w:rsidP="00472B02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Dollars</w:t>
            </w:r>
          </w:p>
        </w:tc>
        <w:tc>
          <w:tcPr>
            <w:tcW w:w="2541" w:type="dxa"/>
          </w:tcPr>
          <w:p w14:paraId="775B83FB" w14:textId="3E509262" w:rsidR="0092088E" w:rsidRDefault="00124CB7" w:rsidP="0092088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$1.317 billion</w:t>
            </w:r>
          </w:p>
        </w:tc>
        <w:tc>
          <w:tcPr>
            <w:tcW w:w="2541" w:type="dxa"/>
          </w:tcPr>
          <w:p w14:paraId="0CE32075" w14:textId="15EF69C2" w:rsidR="0092088E" w:rsidRDefault="00124CB7" w:rsidP="0092088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-5.1%</w:t>
            </w:r>
          </w:p>
        </w:tc>
        <w:tc>
          <w:tcPr>
            <w:tcW w:w="2452" w:type="dxa"/>
          </w:tcPr>
          <w:p w14:paraId="0060EE1E" w14:textId="1DB4FBCB" w:rsidR="0092088E" w:rsidRDefault="00124CB7" w:rsidP="0092088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+13.6%</w:t>
            </w:r>
          </w:p>
        </w:tc>
      </w:tr>
      <w:tr w:rsidR="0092088E" w14:paraId="18574E65" w14:textId="77777777" w:rsidTr="00666D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35F27EF6" w14:textId="23672771" w:rsidR="0092088E" w:rsidRPr="00124CB7" w:rsidRDefault="0092088E" w:rsidP="00472B02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Units</w:t>
            </w:r>
          </w:p>
        </w:tc>
        <w:tc>
          <w:tcPr>
            <w:tcW w:w="2541" w:type="dxa"/>
          </w:tcPr>
          <w:p w14:paraId="32FD6215" w14:textId="66ABCD54" w:rsidR="0092088E" w:rsidRDefault="00124CB7" w:rsidP="0092088E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 million</w:t>
            </w:r>
          </w:p>
        </w:tc>
        <w:tc>
          <w:tcPr>
            <w:tcW w:w="2541" w:type="dxa"/>
          </w:tcPr>
          <w:p w14:paraId="3DA89ABE" w14:textId="77FDE563" w:rsidR="0092088E" w:rsidRDefault="00124CB7" w:rsidP="0092088E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-7.7%</w:t>
            </w:r>
          </w:p>
        </w:tc>
        <w:tc>
          <w:tcPr>
            <w:tcW w:w="2452" w:type="dxa"/>
          </w:tcPr>
          <w:p w14:paraId="08454012" w14:textId="23333812" w:rsidR="0092088E" w:rsidRDefault="00124CB7" w:rsidP="0092088E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+6.0%</w:t>
            </w:r>
          </w:p>
        </w:tc>
      </w:tr>
      <w:tr w:rsidR="0092088E" w14:paraId="0C3E8C9A" w14:textId="77777777" w:rsidTr="00666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</w:tcPr>
          <w:p w14:paraId="409064CC" w14:textId="73E620F5" w:rsidR="0092088E" w:rsidRPr="00124CB7" w:rsidRDefault="0092088E" w:rsidP="00472B02">
            <w:pPr>
              <w:pStyle w:val="NoSpacing"/>
              <w:rPr>
                <w:b w:val="0"/>
                <w:bCs w:val="0"/>
              </w:rPr>
            </w:pPr>
            <w:r w:rsidRPr="00124CB7">
              <w:rPr>
                <w:b w:val="0"/>
                <w:bCs w:val="0"/>
              </w:rPr>
              <w:t>Volume</w:t>
            </w:r>
          </w:p>
        </w:tc>
        <w:tc>
          <w:tcPr>
            <w:tcW w:w="2541" w:type="dxa"/>
          </w:tcPr>
          <w:p w14:paraId="7E77BD8C" w14:textId="41EDC7DB" w:rsidR="0092088E" w:rsidRDefault="00124CB7" w:rsidP="0092088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306 million pounds</w:t>
            </w:r>
          </w:p>
        </w:tc>
        <w:tc>
          <w:tcPr>
            <w:tcW w:w="2541" w:type="dxa"/>
          </w:tcPr>
          <w:p w14:paraId="52AFA316" w14:textId="5200F8B7" w:rsidR="0092088E" w:rsidRDefault="00124CB7" w:rsidP="0092088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-6.8%</w:t>
            </w:r>
          </w:p>
        </w:tc>
        <w:tc>
          <w:tcPr>
            <w:tcW w:w="2452" w:type="dxa"/>
          </w:tcPr>
          <w:p w14:paraId="37106D51" w14:textId="1ABDF3E9" w:rsidR="0092088E" w:rsidRDefault="00124CB7" w:rsidP="0092088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+8.7%</w:t>
            </w:r>
          </w:p>
        </w:tc>
      </w:tr>
    </w:tbl>
    <w:p w14:paraId="5B1F1AF6" w14:textId="7D73251B" w:rsidR="0092088E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>Source: IRI, Integrated Fresh, MULO, 52 weeks ending 12/26/2021</w:t>
      </w:r>
    </w:p>
    <w:p w14:paraId="72C4B3FA" w14:textId="77777777" w:rsidR="00555250" w:rsidRDefault="00555250" w:rsidP="00472B02">
      <w:pPr>
        <w:pStyle w:val="NoSpacing"/>
      </w:pPr>
    </w:p>
    <w:p w14:paraId="11EDA9CC" w14:textId="77F5F924" w:rsidR="0092088E" w:rsidRDefault="0054182D" w:rsidP="00472B02">
      <w:pPr>
        <w:pStyle w:val="NoSpacing"/>
      </w:pPr>
      <w:r>
        <w:t xml:space="preserve">At </w:t>
      </w:r>
      <w:r w:rsidR="00124CB7">
        <w:t xml:space="preserve">$1.3 billion, </w:t>
      </w:r>
      <w:r>
        <w:t>2021</w:t>
      </w:r>
      <w:r w:rsidR="00124CB7">
        <w:t xml:space="preserve"> was the second-best performance since 2016</w:t>
      </w:r>
      <w:r w:rsidR="004C2808">
        <w:t xml:space="preserve"> (the oldest </w:t>
      </w:r>
      <w:r w:rsidR="000D7A79">
        <w:t xml:space="preserve">year available </w:t>
      </w:r>
      <w:r w:rsidR="004C2808">
        <w:t xml:space="preserve">in the IRI database). Mushrooms jumped to the being the </w:t>
      </w:r>
      <w:r>
        <w:t>seventh</w:t>
      </w:r>
      <w:r w:rsidR="004C2808">
        <w:t xml:space="preserve">-largest seller within vegetables. </w:t>
      </w:r>
    </w:p>
    <w:p w14:paraId="62B5803B" w14:textId="6805316C" w:rsidR="00666D40" w:rsidRDefault="00666D40" w:rsidP="00472B02">
      <w:pPr>
        <w:pStyle w:val="NoSpacing"/>
      </w:pPr>
    </w:p>
    <w:p w14:paraId="2A45DBD8" w14:textId="667C50FE" w:rsidR="00666D40" w:rsidRPr="00927EAC" w:rsidRDefault="00666D40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Inflation</w:t>
      </w:r>
    </w:p>
    <w:p w14:paraId="4A3C02BB" w14:textId="258059A8" w:rsidR="00666D40" w:rsidRDefault="0094219B" w:rsidP="00472B02">
      <w:pPr>
        <w:pStyle w:val="NoSpacing"/>
      </w:pPr>
      <w:r>
        <w:t xml:space="preserve">Inflation was high across the store in 2021, particularly during the third and fourth quarters. Throughout the year, </w:t>
      </w:r>
      <w:r w:rsidR="005C6AEE">
        <w:t xml:space="preserve">increases in the price per unit and the price per pound for mushrooms was far below average. Total produce, for instance, had an increase of 7.1% in the average price per pound versus just +1.9% for fresh mushrooms. </w:t>
      </w:r>
      <w:r w:rsidR="00E4438B">
        <w:t>Fresh mushroom p</w:t>
      </w:r>
      <w:r w:rsidR="005C6AEE">
        <w:t>rice increases did start to accelerate come fourth quarter (+3.5% versus year ago)</w:t>
      </w:r>
      <w:r w:rsidR="00E4438B">
        <w:t xml:space="preserve"> and mushroom had above-average inflation in 2019 and 2020 when compared to total produce.</w:t>
      </w:r>
      <w:r w:rsidR="005C6AEE">
        <w:t xml:space="preserve"> </w:t>
      </w:r>
    </w:p>
    <w:p w14:paraId="484C35C9" w14:textId="2EB83AFC" w:rsidR="0094219B" w:rsidRDefault="0094219B" w:rsidP="00472B02">
      <w:pPr>
        <w:pStyle w:val="NoSpacing"/>
      </w:pPr>
    </w:p>
    <w:tbl>
      <w:tblPr>
        <w:tblStyle w:val="ListTable3-Accent2"/>
        <w:tblW w:w="10118" w:type="dxa"/>
        <w:tblLook w:val="04A0" w:firstRow="1" w:lastRow="0" w:firstColumn="1" w:lastColumn="0" w:noHBand="0" w:noVBand="1"/>
      </w:tblPr>
      <w:tblGrid>
        <w:gridCol w:w="3685"/>
        <w:gridCol w:w="1440"/>
        <w:gridCol w:w="2541"/>
        <w:gridCol w:w="2452"/>
      </w:tblGrid>
      <w:tr w:rsidR="0094219B" w:rsidRPr="00124CB7" w14:paraId="6E9D1AEF" w14:textId="77777777" w:rsidTr="00942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5" w:type="dxa"/>
          </w:tcPr>
          <w:p w14:paraId="74759AF7" w14:textId="77777777" w:rsidR="0094219B" w:rsidRPr="00124CB7" w:rsidRDefault="0094219B" w:rsidP="00AB3DDB">
            <w:pPr>
              <w:pStyle w:val="NoSpacing"/>
            </w:pPr>
            <w:r w:rsidRPr="00124CB7">
              <w:t>Fresh mushrooms</w:t>
            </w:r>
          </w:p>
        </w:tc>
        <w:tc>
          <w:tcPr>
            <w:tcW w:w="1440" w:type="dxa"/>
          </w:tcPr>
          <w:p w14:paraId="5EC6EFF0" w14:textId="77777777" w:rsidR="0094219B" w:rsidRPr="00124CB7" w:rsidRDefault="0094219B" w:rsidP="00AB3DDB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2021</w:t>
            </w:r>
          </w:p>
        </w:tc>
        <w:tc>
          <w:tcPr>
            <w:tcW w:w="2541" w:type="dxa"/>
          </w:tcPr>
          <w:p w14:paraId="10EFADEC" w14:textId="77777777" w:rsidR="0094219B" w:rsidRPr="00124CB7" w:rsidRDefault="0094219B" w:rsidP="00AB3DDB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2020</w:t>
            </w:r>
          </w:p>
        </w:tc>
        <w:tc>
          <w:tcPr>
            <w:tcW w:w="2452" w:type="dxa"/>
          </w:tcPr>
          <w:p w14:paraId="55EFE125" w14:textId="77777777" w:rsidR="0094219B" w:rsidRPr="00124CB7" w:rsidRDefault="0094219B" w:rsidP="00AB3DDB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>Vs. 2019</w:t>
            </w:r>
          </w:p>
        </w:tc>
      </w:tr>
      <w:tr w:rsidR="0094219B" w14:paraId="2B35BE12" w14:textId="77777777" w:rsidTr="0094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B4CB702" w14:textId="77777777" w:rsidR="0094219B" w:rsidRPr="00124CB7" w:rsidRDefault="0094219B" w:rsidP="00AB3DDB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Price/unit</w:t>
            </w:r>
          </w:p>
        </w:tc>
        <w:tc>
          <w:tcPr>
            <w:tcW w:w="1440" w:type="dxa"/>
          </w:tcPr>
          <w:p w14:paraId="2915A28B" w14:textId="77777777" w:rsidR="0094219B" w:rsidRDefault="0094219B" w:rsidP="00AB3DD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$2.73</w:t>
            </w:r>
          </w:p>
        </w:tc>
        <w:tc>
          <w:tcPr>
            <w:tcW w:w="2541" w:type="dxa"/>
          </w:tcPr>
          <w:p w14:paraId="3E0967AB" w14:textId="77777777" w:rsidR="0094219B" w:rsidRDefault="0094219B" w:rsidP="00AB3DD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+2.8%</w:t>
            </w:r>
          </w:p>
        </w:tc>
        <w:tc>
          <w:tcPr>
            <w:tcW w:w="2452" w:type="dxa"/>
          </w:tcPr>
          <w:p w14:paraId="09DAD54E" w14:textId="548E94E8" w:rsidR="0094219B" w:rsidRDefault="005C6AEE" w:rsidP="00AB3DD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+7.2%</w:t>
            </w:r>
          </w:p>
        </w:tc>
      </w:tr>
      <w:tr w:rsidR="0094219B" w14:paraId="7C18640F" w14:textId="77777777" w:rsidTr="0094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7C97CE0" w14:textId="77777777" w:rsidR="0094219B" w:rsidRPr="00124CB7" w:rsidRDefault="0094219B" w:rsidP="00AB3DDB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Price/volume</w:t>
            </w:r>
          </w:p>
        </w:tc>
        <w:tc>
          <w:tcPr>
            <w:tcW w:w="1440" w:type="dxa"/>
          </w:tcPr>
          <w:p w14:paraId="17C86A08" w14:textId="77777777" w:rsidR="0094219B" w:rsidRDefault="0094219B" w:rsidP="00AB3DDB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$4.31</w:t>
            </w:r>
          </w:p>
        </w:tc>
        <w:tc>
          <w:tcPr>
            <w:tcW w:w="2541" w:type="dxa"/>
          </w:tcPr>
          <w:p w14:paraId="7E986169" w14:textId="77777777" w:rsidR="0094219B" w:rsidRDefault="0094219B" w:rsidP="00AB3DDB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+1.9%</w:t>
            </w:r>
          </w:p>
        </w:tc>
        <w:tc>
          <w:tcPr>
            <w:tcW w:w="2452" w:type="dxa"/>
          </w:tcPr>
          <w:p w14:paraId="36DDF54D" w14:textId="5474552B" w:rsidR="0094219B" w:rsidRDefault="005C6AEE" w:rsidP="00AB3DDB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+4.5%</w:t>
            </w:r>
          </w:p>
        </w:tc>
      </w:tr>
      <w:tr w:rsidR="0094219B" w14:paraId="3B76FFA3" w14:textId="77777777" w:rsidTr="0094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B5B6C81" w14:textId="6313A9FC" w:rsidR="0094219B" w:rsidRDefault="0094219B" w:rsidP="00AB3DDB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dollars sold on promotion</w:t>
            </w:r>
          </w:p>
        </w:tc>
        <w:tc>
          <w:tcPr>
            <w:tcW w:w="1440" w:type="dxa"/>
          </w:tcPr>
          <w:p w14:paraId="6D5E5F03" w14:textId="7D38A53E" w:rsidR="0094219B" w:rsidRDefault="0094219B" w:rsidP="00AB3DD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15.1%</w:t>
            </w:r>
          </w:p>
        </w:tc>
        <w:tc>
          <w:tcPr>
            <w:tcW w:w="2541" w:type="dxa"/>
          </w:tcPr>
          <w:p w14:paraId="586FECBD" w14:textId="5522C6AE" w:rsidR="0094219B" w:rsidRDefault="0094219B" w:rsidP="00AB3DD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-4.4%</w:t>
            </w:r>
          </w:p>
        </w:tc>
        <w:tc>
          <w:tcPr>
            <w:tcW w:w="2452" w:type="dxa"/>
          </w:tcPr>
          <w:p w14:paraId="58D9ED71" w14:textId="0501B73B" w:rsidR="0094219B" w:rsidRDefault="005C6AEE" w:rsidP="00AB3DD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-32.9%</w:t>
            </w:r>
          </w:p>
        </w:tc>
      </w:tr>
      <w:tr w:rsidR="0094219B" w14:paraId="6BDC46F0" w14:textId="77777777" w:rsidTr="0094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F39E628" w14:textId="6809D4FA" w:rsidR="0094219B" w:rsidRDefault="0094219B" w:rsidP="00AB3DDB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pounds sold on promotion</w:t>
            </w:r>
          </w:p>
        </w:tc>
        <w:tc>
          <w:tcPr>
            <w:tcW w:w="1440" w:type="dxa"/>
          </w:tcPr>
          <w:p w14:paraId="4B3F737B" w14:textId="53F48F5E" w:rsidR="0094219B" w:rsidRDefault="005C6AEE" w:rsidP="00AB3DDB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17.5%</w:t>
            </w:r>
          </w:p>
        </w:tc>
        <w:tc>
          <w:tcPr>
            <w:tcW w:w="2541" w:type="dxa"/>
          </w:tcPr>
          <w:p w14:paraId="5C3E258D" w14:textId="5F7A83B1" w:rsidR="0094219B" w:rsidRDefault="005C6AEE" w:rsidP="00AB3DDB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-4.9%</w:t>
            </w:r>
          </w:p>
        </w:tc>
        <w:tc>
          <w:tcPr>
            <w:tcW w:w="2452" w:type="dxa"/>
          </w:tcPr>
          <w:p w14:paraId="57337354" w14:textId="2624B3A5" w:rsidR="0094219B" w:rsidRDefault="005C6AEE" w:rsidP="00AB3DDB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-31.7%</w:t>
            </w:r>
          </w:p>
        </w:tc>
      </w:tr>
    </w:tbl>
    <w:p w14:paraId="23606064" w14:textId="77777777" w:rsidR="00555250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>Source: IRI, Integrated Fresh, MULO, 52 weeks ending 12/26/2021</w:t>
      </w:r>
    </w:p>
    <w:p w14:paraId="6CBB9CA7" w14:textId="00F915EB" w:rsidR="0094219B" w:rsidRDefault="0094219B" w:rsidP="00472B02">
      <w:pPr>
        <w:pStyle w:val="NoSpacing"/>
      </w:pPr>
    </w:p>
    <w:p w14:paraId="6ECA980F" w14:textId="1C95F143" w:rsidR="005C6AEE" w:rsidRPr="00927EAC" w:rsidRDefault="005C6AEE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Performance by segment</w:t>
      </w:r>
    </w:p>
    <w:p w14:paraId="3F555681" w14:textId="7B8477E0" w:rsidR="00927EAC" w:rsidRDefault="004E1FE4" w:rsidP="00927EAC">
      <w:pPr>
        <w:pStyle w:val="NoSpacing"/>
      </w:pPr>
      <w:r>
        <w:t>W</w:t>
      </w:r>
      <w:r w:rsidR="00927EAC">
        <w:t xml:space="preserve">hite button mushrooms represent 52.4% of total fresh mushroom sales and 59.5% of pounds. </w:t>
      </w:r>
      <w:proofErr w:type="spellStart"/>
      <w:r>
        <w:t>Crimini</w:t>
      </w:r>
      <w:proofErr w:type="spellEnd"/>
      <w:r w:rsidR="00B25DFD">
        <w:t xml:space="preserve">/brown mushrooms are the second-largest segment, with a growing share. Whereas in 2016, </w:t>
      </w:r>
      <w:proofErr w:type="spellStart"/>
      <w:r>
        <w:t>crimini</w:t>
      </w:r>
      <w:proofErr w:type="spellEnd"/>
      <w:r w:rsidR="00B25DFD">
        <w:t xml:space="preserve">/brown mushrooms represented 20.6% of pounds, they made up 29.2% in 2021. The </w:t>
      </w:r>
      <w:proofErr w:type="spellStart"/>
      <w:r>
        <w:t>crimini</w:t>
      </w:r>
      <w:proofErr w:type="spellEnd"/>
      <w:r w:rsidR="00B25DFD">
        <w:t xml:space="preserve">/brown mushroom dollar share increased from 22.4% in 2016 to 29.9% in 2021. </w:t>
      </w:r>
    </w:p>
    <w:p w14:paraId="29B3DB23" w14:textId="73EA9AE3" w:rsidR="00B25DFD" w:rsidRDefault="00B25DFD" w:rsidP="00927EAC">
      <w:pPr>
        <w:pStyle w:val="NoSpacing"/>
      </w:pPr>
    </w:p>
    <w:p w14:paraId="0A44FA1E" w14:textId="1B528710" w:rsidR="00B25DFD" w:rsidRDefault="00B25DFD" w:rsidP="00927EAC">
      <w:pPr>
        <w:pStyle w:val="NoSpacing"/>
      </w:pPr>
      <w:r>
        <w:lastRenderedPageBreak/>
        <w:t xml:space="preserve">The overall decline in fresh mushroom sales on a year-on-year comparison is driven by declines in each of the top three sellers. A few segments had year-on-year growth, being </w:t>
      </w:r>
      <w:r w:rsidR="00555250">
        <w:t xml:space="preserve">shiitake, oyster, chanterelle, morel and black forest mushrooms. When compared to 2019, </w:t>
      </w:r>
      <w:proofErr w:type="gramStart"/>
      <w:r w:rsidR="00555250">
        <w:t>the vast majority of</w:t>
      </w:r>
      <w:proofErr w:type="gramEnd"/>
      <w:r w:rsidR="00555250">
        <w:t xml:space="preserve"> segments had robust growth, including the three big sellers, led by </w:t>
      </w:r>
      <w:proofErr w:type="spellStart"/>
      <w:r w:rsidR="004E1FE4">
        <w:t>crimini</w:t>
      </w:r>
      <w:proofErr w:type="spellEnd"/>
      <w:r w:rsidR="00555250">
        <w:t xml:space="preserve">/brown, at +26.5%. </w:t>
      </w:r>
    </w:p>
    <w:p w14:paraId="2F192B90" w14:textId="73A8F745" w:rsidR="00B25DFD" w:rsidRDefault="00B25DFD" w:rsidP="00927EAC">
      <w:pPr>
        <w:pStyle w:val="NoSpacing"/>
      </w:pPr>
    </w:p>
    <w:tbl>
      <w:tblPr>
        <w:tblStyle w:val="ListTable3-Accent2"/>
        <w:tblW w:w="9535" w:type="dxa"/>
        <w:tblLook w:val="0400" w:firstRow="0" w:lastRow="0" w:firstColumn="0" w:lastColumn="0" w:noHBand="0" w:noVBand="1"/>
      </w:tblPr>
      <w:tblGrid>
        <w:gridCol w:w="2425"/>
        <w:gridCol w:w="1890"/>
        <w:gridCol w:w="2790"/>
        <w:gridCol w:w="2430"/>
      </w:tblGrid>
      <w:tr w:rsidR="00B25DFD" w:rsidRPr="00B25DFD" w14:paraId="66036A96" w14:textId="77777777" w:rsidTr="00B2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25" w:type="dxa"/>
            <w:shd w:val="clear" w:color="auto" w:fill="ED7D31" w:themeFill="accent2"/>
            <w:hideMark/>
          </w:tcPr>
          <w:p w14:paraId="4B138C18" w14:textId="4914F5DD" w:rsidR="00B25DFD" w:rsidRPr="00B25DFD" w:rsidRDefault="00555250" w:rsidP="005049A9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Dollar sales</w:t>
            </w:r>
          </w:p>
        </w:tc>
        <w:tc>
          <w:tcPr>
            <w:tcW w:w="1890" w:type="dxa"/>
            <w:shd w:val="clear" w:color="auto" w:fill="ED7D31" w:themeFill="accent2"/>
            <w:hideMark/>
          </w:tcPr>
          <w:p w14:paraId="47F253CD" w14:textId="77777777" w:rsidR="00B25DFD" w:rsidRPr="00B25DFD" w:rsidRDefault="00B25DFD" w:rsidP="005049A9">
            <w:pPr>
              <w:pStyle w:val="NoSpacing"/>
              <w:jc w:val="right"/>
              <w:rPr>
                <w:color w:val="FFFFFF" w:themeColor="background1"/>
              </w:rPr>
            </w:pPr>
            <w:r w:rsidRPr="00B25DFD">
              <w:rPr>
                <w:b/>
                <w:bCs/>
                <w:color w:val="FFFFFF" w:themeColor="background1"/>
              </w:rPr>
              <w:t>2021</w:t>
            </w:r>
          </w:p>
        </w:tc>
        <w:tc>
          <w:tcPr>
            <w:tcW w:w="2790" w:type="dxa"/>
            <w:shd w:val="clear" w:color="auto" w:fill="ED7D31" w:themeFill="accent2"/>
            <w:hideMark/>
          </w:tcPr>
          <w:p w14:paraId="3685CC92" w14:textId="77777777" w:rsidR="00B25DFD" w:rsidRPr="00B25DFD" w:rsidRDefault="00B25DFD" w:rsidP="005049A9">
            <w:pPr>
              <w:pStyle w:val="NoSpacing"/>
              <w:jc w:val="right"/>
              <w:rPr>
                <w:color w:val="FFFFFF" w:themeColor="background1"/>
              </w:rPr>
            </w:pPr>
            <w:r w:rsidRPr="00B25DFD">
              <w:rPr>
                <w:b/>
                <w:bCs/>
                <w:color w:val="FFFFFF" w:themeColor="background1"/>
              </w:rPr>
              <w:t xml:space="preserve">% </w:t>
            </w:r>
            <w:proofErr w:type="gramStart"/>
            <w:r w:rsidRPr="00B25DFD">
              <w:rPr>
                <w:b/>
                <w:bCs/>
                <w:color w:val="FFFFFF" w:themeColor="background1"/>
              </w:rPr>
              <w:t>change</w:t>
            </w:r>
            <w:proofErr w:type="gramEnd"/>
            <w:r w:rsidRPr="00B25DFD">
              <w:rPr>
                <w:b/>
                <w:bCs/>
                <w:color w:val="FFFFFF" w:themeColor="background1"/>
              </w:rPr>
              <w:t xml:space="preserve"> vs.’20</w:t>
            </w:r>
          </w:p>
        </w:tc>
        <w:tc>
          <w:tcPr>
            <w:tcW w:w="2430" w:type="dxa"/>
            <w:shd w:val="clear" w:color="auto" w:fill="ED7D31" w:themeFill="accent2"/>
            <w:hideMark/>
          </w:tcPr>
          <w:p w14:paraId="4605C27F" w14:textId="77777777" w:rsidR="00B25DFD" w:rsidRPr="00B25DFD" w:rsidRDefault="00B25DFD" w:rsidP="005049A9">
            <w:pPr>
              <w:pStyle w:val="NoSpacing"/>
              <w:jc w:val="right"/>
              <w:rPr>
                <w:color w:val="FFFFFF" w:themeColor="background1"/>
              </w:rPr>
            </w:pPr>
            <w:r w:rsidRPr="00B25DFD">
              <w:rPr>
                <w:b/>
                <w:bCs/>
                <w:color w:val="FFFFFF" w:themeColor="background1"/>
              </w:rPr>
              <w:t xml:space="preserve">% </w:t>
            </w:r>
            <w:proofErr w:type="gramStart"/>
            <w:r w:rsidRPr="00B25DFD">
              <w:rPr>
                <w:b/>
                <w:bCs/>
                <w:color w:val="FFFFFF" w:themeColor="background1"/>
              </w:rPr>
              <w:t>change</w:t>
            </w:r>
            <w:proofErr w:type="gramEnd"/>
            <w:r w:rsidRPr="00B25DFD">
              <w:rPr>
                <w:b/>
                <w:bCs/>
                <w:color w:val="FFFFFF" w:themeColor="background1"/>
              </w:rPr>
              <w:t xml:space="preserve"> vs.’19</w:t>
            </w:r>
          </w:p>
        </w:tc>
      </w:tr>
      <w:tr w:rsidR="00B25DFD" w:rsidRPr="00B25DFD" w14:paraId="69D4AA5B" w14:textId="77777777" w:rsidTr="00B25DFD">
        <w:trPr>
          <w:trHeight w:val="20"/>
        </w:trPr>
        <w:tc>
          <w:tcPr>
            <w:tcW w:w="2425" w:type="dxa"/>
            <w:hideMark/>
          </w:tcPr>
          <w:p w14:paraId="2C1CDE46" w14:textId="77777777" w:rsidR="00B25DFD" w:rsidRPr="00B25DFD" w:rsidRDefault="00B25DFD" w:rsidP="005049A9">
            <w:pPr>
              <w:pStyle w:val="NoSpacing"/>
            </w:pPr>
            <w:r w:rsidRPr="00B25DFD">
              <w:rPr>
                <w:b/>
                <w:bCs/>
              </w:rPr>
              <w:t>Total mushrooms</w:t>
            </w:r>
          </w:p>
        </w:tc>
        <w:tc>
          <w:tcPr>
            <w:tcW w:w="1890" w:type="dxa"/>
            <w:hideMark/>
          </w:tcPr>
          <w:p w14:paraId="6A87FED7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rPr>
                <w:b/>
                <w:bCs/>
              </w:rPr>
              <w:t>$1.3B</w:t>
            </w:r>
          </w:p>
        </w:tc>
        <w:tc>
          <w:tcPr>
            <w:tcW w:w="2790" w:type="dxa"/>
            <w:hideMark/>
          </w:tcPr>
          <w:p w14:paraId="7E486F05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rPr>
                <w:b/>
                <w:bCs/>
              </w:rPr>
              <w:t>-5.1%</w:t>
            </w:r>
          </w:p>
        </w:tc>
        <w:tc>
          <w:tcPr>
            <w:tcW w:w="2430" w:type="dxa"/>
            <w:hideMark/>
          </w:tcPr>
          <w:p w14:paraId="3BD808C1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rPr>
                <w:b/>
                <w:bCs/>
              </w:rPr>
              <w:t>+13.6%</w:t>
            </w:r>
          </w:p>
        </w:tc>
      </w:tr>
      <w:tr w:rsidR="00B25DFD" w:rsidRPr="00B25DFD" w14:paraId="23ABA463" w14:textId="77777777" w:rsidTr="00B2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25" w:type="dxa"/>
            <w:hideMark/>
          </w:tcPr>
          <w:p w14:paraId="1E984186" w14:textId="77777777" w:rsidR="00B25DFD" w:rsidRPr="00B25DFD" w:rsidRDefault="00B25DFD" w:rsidP="005049A9">
            <w:pPr>
              <w:pStyle w:val="NoSpacing"/>
            </w:pPr>
            <w:r w:rsidRPr="00B25DFD">
              <w:t>White button</w:t>
            </w:r>
          </w:p>
        </w:tc>
        <w:tc>
          <w:tcPr>
            <w:tcW w:w="1890" w:type="dxa"/>
            <w:hideMark/>
          </w:tcPr>
          <w:p w14:paraId="52166AB3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$690.9M</w:t>
            </w:r>
          </w:p>
        </w:tc>
        <w:tc>
          <w:tcPr>
            <w:tcW w:w="2790" w:type="dxa"/>
            <w:hideMark/>
          </w:tcPr>
          <w:p w14:paraId="410837A2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-7.5%</w:t>
            </w:r>
          </w:p>
        </w:tc>
        <w:tc>
          <w:tcPr>
            <w:tcW w:w="2430" w:type="dxa"/>
            <w:hideMark/>
          </w:tcPr>
          <w:p w14:paraId="734B1D30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+5.3%</w:t>
            </w:r>
          </w:p>
        </w:tc>
      </w:tr>
      <w:tr w:rsidR="00B25DFD" w:rsidRPr="00B25DFD" w14:paraId="0E7E3E5C" w14:textId="77777777" w:rsidTr="00B25DFD">
        <w:trPr>
          <w:trHeight w:val="20"/>
        </w:trPr>
        <w:tc>
          <w:tcPr>
            <w:tcW w:w="2425" w:type="dxa"/>
            <w:hideMark/>
          </w:tcPr>
          <w:p w14:paraId="0ACE3DD0" w14:textId="1D59F1A8" w:rsidR="00B25DFD" w:rsidRPr="00B25DFD" w:rsidRDefault="004E1FE4" w:rsidP="005049A9">
            <w:pPr>
              <w:pStyle w:val="NoSpacing"/>
            </w:pPr>
            <w:proofErr w:type="spellStart"/>
            <w:r>
              <w:t>Crimini</w:t>
            </w:r>
            <w:proofErr w:type="spellEnd"/>
            <w:r w:rsidR="00B25DFD" w:rsidRPr="00B25DFD">
              <w:t>/brown</w:t>
            </w:r>
          </w:p>
        </w:tc>
        <w:tc>
          <w:tcPr>
            <w:tcW w:w="1890" w:type="dxa"/>
            <w:hideMark/>
          </w:tcPr>
          <w:p w14:paraId="252611DB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$393.5M</w:t>
            </w:r>
          </w:p>
        </w:tc>
        <w:tc>
          <w:tcPr>
            <w:tcW w:w="2790" w:type="dxa"/>
            <w:hideMark/>
          </w:tcPr>
          <w:p w14:paraId="4087C85D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-1.8%</w:t>
            </w:r>
          </w:p>
        </w:tc>
        <w:tc>
          <w:tcPr>
            <w:tcW w:w="2430" w:type="dxa"/>
            <w:hideMark/>
          </w:tcPr>
          <w:p w14:paraId="341E6E67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+26.5%</w:t>
            </w:r>
          </w:p>
        </w:tc>
      </w:tr>
      <w:tr w:rsidR="00B25DFD" w:rsidRPr="00B25DFD" w14:paraId="5AC1DA3A" w14:textId="77777777" w:rsidTr="00B2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25" w:type="dxa"/>
            <w:hideMark/>
          </w:tcPr>
          <w:p w14:paraId="1C2B1A34" w14:textId="77777777" w:rsidR="00B25DFD" w:rsidRPr="00B25DFD" w:rsidRDefault="00B25DFD" w:rsidP="005049A9">
            <w:pPr>
              <w:pStyle w:val="NoSpacing"/>
            </w:pPr>
            <w:r w:rsidRPr="00B25DFD">
              <w:t>Portabella</w:t>
            </w:r>
          </w:p>
        </w:tc>
        <w:tc>
          <w:tcPr>
            <w:tcW w:w="1890" w:type="dxa"/>
            <w:hideMark/>
          </w:tcPr>
          <w:p w14:paraId="3C98FB02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$132.6M</w:t>
            </w:r>
          </w:p>
        </w:tc>
        <w:tc>
          <w:tcPr>
            <w:tcW w:w="2790" w:type="dxa"/>
            <w:hideMark/>
          </w:tcPr>
          <w:p w14:paraId="53E24575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-3.0%</w:t>
            </w:r>
          </w:p>
        </w:tc>
        <w:tc>
          <w:tcPr>
            <w:tcW w:w="2430" w:type="dxa"/>
            <w:hideMark/>
          </w:tcPr>
          <w:p w14:paraId="2A8F6928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+10.2%</w:t>
            </w:r>
          </w:p>
        </w:tc>
      </w:tr>
      <w:tr w:rsidR="00B25DFD" w:rsidRPr="00B25DFD" w14:paraId="0B3EB6D6" w14:textId="77777777" w:rsidTr="00B25DFD">
        <w:trPr>
          <w:trHeight w:val="20"/>
        </w:trPr>
        <w:tc>
          <w:tcPr>
            <w:tcW w:w="2425" w:type="dxa"/>
            <w:hideMark/>
          </w:tcPr>
          <w:p w14:paraId="59DDD3D6" w14:textId="77777777" w:rsidR="00B25DFD" w:rsidRPr="00B25DFD" w:rsidRDefault="00B25DFD" w:rsidP="005049A9">
            <w:pPr>
              <w:pStyle w:val="NoSpacing"/>
            </w:pPr>
            <w:r w:rsidRPr="00B25DFD">
              <w:t>Shiitake</w:t>
            </w:r>
          </w:p>
        </w:tc>
        <w:tc>
          <w:tcPr>
            <w:tcW w:w="1890" w:type="dxa"/>
            <w:hideMark/>
          </w:tcPr>
          <w:p w14:paraId="2E14A0BE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$54.5M</w:t>
            </w:r>
          </w:p>
        </w:tc>
        <w:tc>
          <w:tcPr>
            <w:tcW w:w="2790" w:type="dxa"/>
            <w:hideMark/>
          </w:tcPr>
          <w:p w14:paraId="6867775B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+3.9%</w:t>
            </w:r>
          </w:p>
        </w:tc>
        <w:tc>
          <w:tcPr>
            <w:tcW w:w="2430" w:type="dxa"/>
            <w:hideMark/>
          </w:tcPr>
          <w:p w14:paraId="645AD232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+42.0%</w:t>
            </w:r>
          </w:p>
        </w:tc>
      </w:tr>
      <w:tr w:rsidR="00B25DFD" w:rsidRPr="00B25DFD" w14:paraId="3051BDD0" w14:textId="77777777" w:rsidTr="00B2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25" w:type="dxa"/>
            <w:hideMark/>
          </w:tcPr>
          <w:p w14:paraId="7FF8EE14" w14:textId="77777777" w:rsidR="00B25DFD" w:rsidRPr="00B25DFD" w:rsidRDefault="00B25DFD" w:rsidP="005049A9">
            <w:pPr>
              <w:pStyle w:val="NoSpacing"/>
            </w:pPr>
            <w:r w:rsidRPr="00B25DFD">
              <w:t>Other</w:t>
            </w:r>
          </w:p>
        </w:tc>
        <w:tc>
          <w:tcPr>
            <w:tcW w:w="1890" w:type="dxa"/>
            <w:hideMark/>
          </w:tcPr>
          <w:p w14:paraId="0BD27A44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$37.5M</w:t>
            </w:r>
          </w:p>
        </w:tc>
        <w:tc>
          <w:tcPr>
            <w:tcW w:w="2790" w:type="dxa"/>
            <w:hideMark/>
          </w:tcPr>
          <w:p w14:paraId="24A94611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-15.7%</w:t>
            </w:r>
          </w:p>
        </w:tc>
        <w:tc>
          <w:tcPr>
            <w:tcW w:w="2430" w:type="dxa"/>
            <w:hideMark/>
          </w:tcPr>
          <w:p w14:paraId="0CF1B8F8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+32.9%</w:t>
            </w:r>
          </w:p>
        </w:tc>
      </w:tr>
      <w:tr w:rsidR="00B25DFD" w:rsidRPr="00B25DFD" w14:paraId="318504E1" w14:textId="77777777" w:rsidTr="00B25DFD">
        <w:trPr>
          <w:trHeight w:val="20"/>
        </w:trPr>
        <w:tc>
          <w:tcPr>
            <w:tcW w:w="2425" w:type="dxa"/>
            <w:hideMark/>
          </w:tcPr>
          <w:p w14:paraId="4AEBA57C" w14:textId="77777777" w:rsidR="00B25DFD" w:rsidRPr="00B25DFD" w:rsidRDefault="00B25DFD" w:rsidP="005049A9">
            <w:pPr>
              <w:pStyle w:val="NoSpacing"/>
            </w:pPr>
            <w:r w:rsidRPr="00B25DFD">
              <w:t>Oyster</w:t>
            </w:r>
          </w:p>
        </w:tc>
        <w:tc>
          <w:tcPr>
            <w:tcW w:w="1890" w:type="dxa"/>
            <w:hideMark/>
          </w:tcPr>
          <w:p w14:paraId="4D38667B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$7.3M</w:t>
            </w:r>
          </w:p>
        </w:tc>
        <w:tc>
          <w:tcPr>
            <w:tcW w:w="2790" w:type="dxa"/>
            <w:hideMark/>
          </w:tcPr>
          <w:p w14:paraId="07C04DC2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+10.9%</w:t>
            </w:r>
          </w:p>
        </w:tc>
        <w:tc>
          <w:tcPr>
            <w:tcW w:w="2430" w:type="dxa"/>
            <w:hideMark/>
          </w:tcPr>
          <w:p w14:paraId="7773D37B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+41.5%</w:t>
            </w:r>
          </w:p>
        </w:tc>
      </w:tr>
      <w:tr w:rsidR="00B25DFD" w:rsidRPr="00B25DFD" w14:paraId="42437844" w14:textId="77777777" w:rsidTr="00B2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25" w:type="dxa"/>
            <w:hideMark/>
          </w:tcPr>
          <w:p w14:paraId="5718F47E" w14:textId="77777777" w:rsidR="00B25DFD" w:rsidRPr="00B25DFD" w:rsidRDefault="00B25DFD" w:rsidP="005049A9">
            <w:pPr>
              <w:pStyle w:val="NoSpacing"/>
            </w:pPr>
            <w:r w:rsidRPr="00B25DFD">
              <w:t>Chanterelle</w:t>
            </w:r>
          </w:p>
        </w:tc>
        <w:tc>
          <w:tcPr>
            <w:tcW w:w="1890" w:type="dxa"/>
            <w:hideMark/>
          </w:tcPr>
          <w:p w14:paraId="73686DEC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$827K</w:t>
            </w:r>
          </w:p>
        </w:tc>
        <w:tc>
          <w:tcPr>
            <w:tcW w:w="2790" w:type="dxa"/>
            <w:hideMark/>
          </w:tcPr>
          <w:p w14:paraId="084DE302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+46.3%</w:t>
            </w:r>
          </w:p>
        </w:tc>
        <w:tc>
          <w:tcPr>
            <w:tcW w:w="2430" w:type="dxa"/>
            <w:hideMark/>
          </w:tcPr>
          <w:p w14:paraId="2F0A8956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+189.0%</w:t>
            </w:r>
          </w:p>
        </w:tc>
      </w:tr>
      <w:tr w:rsidR="00B25DFD" w:rsidRPr="00B25DFD" w14:paraId="7C5491B3" w14:textId="77777777" w:rsidTr="00B25DFD">
        <w:trPr>
          <w:trHeight w:val="20"/>
        </w:trPr>
        <w:tc>
          <w:tcPr>
            <w:tcW w:w="2425" w:type="dxa"/>
            <w:hideMark/>
          </w:tcPr>
          <w:p w14:paraId="3169A23E" w14:textId="77777777" w:rsidR="00B25DFD" w:rsidRPr="00B25DFD" w:rsidRDefault="00B25DFD" w:rsidP="005049A9">
            <w:pPr>
              <w:pStyle w:val="NoSpacing"/>
            </w:pPr>
            <w:r w:rsidRPr="00B25DFD">
              <w:t>Enoki</w:t>
            </w:r>
          </w:p>
        </w:tc>
        <w:tc>
          <w:tcPr>
            <w:tcW w:w="1890" w:type="dxa"/>
            <w:hideMark/>
          </w:tcPr>
          <w:p w14:paraId="3C8200B0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$369K</w:t>
            </w:r>
          </w:p>
        </w:tc>
        <w:tc>
          <w:tcPr>
            <w:tcW w:w="2790" w:type="dxa"/>
            <w:hideMark/>
          </w:tcPr>
          <w:p w14:paraId="62612372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-24.3%</w:t>
            </w:r>
          </w:p>
        </w:tc>
        <w:tc>
          <w:tcPr>
            <w:tcW w:w="2430" w:type="dxa"/>
            <w:hideMark/>
          </w:tcPr>
          <w:p w14:paraId="4399BF81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-30.0%</w:t>
            </w:r>
          </w:p>
        </w:tc>
      </w:tr>
      <w:tr w:rsidR="00B25DFD" w:rsidRPr="00B25DFD" w14:paraId="5597A90D" w14:textId="77777777" w:rsidTr="00B2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25" w:type="dxa"/>
            <w:hideMark/>
          </w:tcPr>
          <w:p w14:paraId="53667810" w14:textId="77777777" w:rsidR="00B25DFD" w:rsidRPr="00B25DFD" w:rsidRDefault="00B25DFD" w:rsidP="005049A9">
            <w:pPr>
              <w:pStyle w:val="NoSpacing"/>
            </w:pPr>
            <w:r w:rsidRPr="00B25DFD">
              <w:t>Morel</w:t>
            </w:r>
          </w:p>
        </w:tc>
        <w:tc>
          <w:tcPr>
            <w:tcW w:w="1890" w:type="dxa"/>
            <w:hideMark/>
          </w:tcPr>
          <w:p w14:paraId="1D18D75B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$171K</w:t>
            </w:r>
          </w:p>
        </w:tc>
        <w:tc>
          <w:tcPr>
            <w:tcW w:w="2790" w:type="dxa"/>
            <w:hideMark/>
          </w:tcPr>
          <w:p w14:paraId="5D0A73DB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+16.2%</w:t>
            </w:r>
          </w:p>
        </w:tc>
        <w:tc>
          <w:tcPr>
            <w:tcW w:w="2430" w:type="dxa"/>
            <w:hideMark/>
          </w:tcPr>
          <w:p w14:paraId="750B826E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-18.7%</w:t>
            </w:r>
          </w:p>
        </w:tc>
      </w:tr>
      <w:tr w:rsidR="00B25DFD" w:rsidRPr="00B25DFD" w14:paraId="013AB544" w14:textId="77777777" w:rsidTr="00B25DFD">
        <w:trPr>
          <w:trHeight w:val="20"/>
        </w:trPr>
        <w:tc>
          <w:tcPr>
            <w:tcW w:w="2425" w:type="dxa"/>
            <w:hideMark/>
          </w:tcPr>
          <w:p w14:paraId="363D3190" w14:textId="77777777" w:rsidR="00B25DFD" w:rsidRPr="00B25DFD" w:rsidRDefault="00B25DFD" w:rsidP="005049A9">
            <w:pPr>
              <w:pStyle w:val="NoSpacing"/>
            </w:pPr>
            <w:r w:rsidRPr="00B25DFD">
              <w:t>Wood ear</w:t>
            </w:r>
          </w:p>
        </w:tc>
        <w:tc>
          <w:tcPr>
            <w:tcW w:w="1890" w:type="dxa"/>
            <w:hideMark/>
          </w:tcPr>
          <w:p w14:paraId="64A332FC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$34K</w:t>
            </w:r>
          </w:p>
        </w:tc>
        <w:tc>
          <w:tcPr>
            <w:tcW w:w="2790" w:type="dxa"/>
            <w:hideMark/>
          </w:tcPr>
          <w:p w14:paraId="63E7C6EF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-35.4%</w:t>
            </w:r>
          </w:p>
        </w:tc>
        <w:tc>
          <w:tcPr>
            <w:tcW w:w="2430" w:type="dxa"/>
            <w:hideMark/>
          </w:tcPr>
          <w:p w14:paraId="4DC7B36A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-32.9%</w:t>
            </w:r>
          </w:p>
        </w:tc>
      </w:tr>
      <w:tr w:rsidR="00B25DFD" w:rsidRPr="00B25DFD" w14:paraId="44B25143" w14:textId="77777777" w:rsidTr="00B25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25" w:type="dxa"/>
            <w:hideMark/>
          </w:tcPr>
          <w:p w14:paraId="44489751" w14:textId="77777777" w:rsidR="00B25DFD" w:rsidRPr="00B25DFD" w:rsidRDefault="00B25DFD" w:rsidP="005049A9">
            <w:pPr>
              <w:pStyle w:val="NoSpacing"/>
            </w:pPr>
            <w:r w:rsidRPr="00B25DFD">
              <w:t>Porcini</w:t>
            </w:r>
          </w:p>
        </w:tc>
        <w:tc>
          <w:tcPr>
            <w:tcW w:w="1890" w:type="dxa"/>
            <w:hideMark/>
          </w:tcPr>
          <w:p w14:paraId="2FE1DF4F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$25K</w:t>
            </w:r>
          </w:p>
        </w:tc>
        <w:tc>
          <w:tcPr>
            <w:tcW w:w="2790" w:type="dxa"/>
            <w:hideMark/>
          </w:tcPr>
          <w:p w14:paraId="0740B9B0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-48.9%</w:t>
            </w:r>
          </w:p>
        </w:tc>
        <w:tc>
          <w:tcPr>
            <w:tcW w:w="2430" w:type="dxa"/>
            <w:hideMark/>
          </w:tcPr>
          <w:p w14:paraId="59203C33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-64.1%</w:t>
            </w:r>
          </w:p>
        </w:tc>
      </w:tr>
      <w:tr w:rsidR="00B25DFD" w:rsidRPr="00B25DFD" w14:paraId="53ABE16B" w14:textId="77777777" w:rsidTr="00B25DFD">
        <w:trPr>
          <w:trHeight w:val="20"/>
        </w:trPr>
        <w:tc>
          <w:tcPr>
            <w:tcW w:w="2425" w:type="dxa"/>
            <w:hideMark/>
          </w:tcPr>
          <w:p w14:paraId="07E43DED" w14:textId="77777777" w:rsidR="00B25DFD" w:rsidRPr="00B25DFD" w:rsidRDefault="00B25DFD" w:rsidP="005049A9">
            <w:pPr>
              <w:pStyle w:val="NoSpacing"/>
            </w:pPr>
            <w:r w:rsidRPr="00B25DFD">
              <w:t>Black forest</w:t>
            </w:r>
          </w:p>
        </w:tc>
        <w:tc>
          <w:tcPr>
            <w:tcW w:w="1890" w:type="dxa"/>
            <w:hideMark/>
          </w:tcPr>
          <w:p w14:paraId="5A28649E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$8K</w:t>
            </w:r>
          </w:p>
        </w:tc>
        <w:tc>
          <w:tcPr>
            <w:tcW w:w="2790" w:type="dxa"/>
            <w:hideMark/>
          </w:tcPr>
          <w:p w14:paraId="5AA8F217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+14.4%</w:t>
            </w:r>
          </w:p>
        </w:tc>
        <w:tc>
          <w:tcPr>
            <w:tcW w:w="2430" w:type="dxa"/>
            <w:hideMark/>
          </w:tcPr>
          <w:p w14:paraId="1E5C3D64" w14:textId="77777777" w:rsidR="00B25DFD" w:rsidRPr="00B25DFD" w:rsidRDefault="00B25DFD" w:rsidP="005049A9">
            <w:pPr>
              <w:pStyle w:val="NoSpacing"/>
              <w:jc w:val="right"/>
            </w:pPr>
            <w:r w:rsidRPr="00B25DFD">
              <w:t>+45.3%</w:t>
            </w:r>
          </w:p>
        </w:tc>
      </w:tr>
    </w:tbl>
    <w:p w14:paraId="45617577" w14:textId="77777777" w:rsidR="00555250" w:rsidRPr="00555250" w:rsidRDefault="00555250" w:rsidP="00782D09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>Source: IRI, Integrated Fresh, MULO, 52 weeks ending 12/26/2021</w:t>
      </w:r>
    </w:p>
    <w:p w14:paraId="0804BC52" w14:textId="568E8254" w:rsidR="0092088E" w:rsidRDefault="0092088E" w:rsidP="00472B02">
      <w:pPr>
        <w:pStyle w:val="NoSpacing"/>
      </w:pPr>
    </w:p>
    <w:p w14:paraId="59E70896" w14:textId="52CB107E" w:rsidR="004C2808" w:rsidRPr="004462C1" w:rsidRDefault="004C2808" w:rsidP="004462C1">
      <w:pPr>
        <w:pStyle w:val="Heading2"/>
        <w:rPr>
          <w:b/>
          <w:bCs/>
          <w:color w:val="ED7D31" w:themeColor="accent2"/>
        </w:rPr>
      </w:pPr>
      <w:r w:rsidRPr="004462C1">
        <w:rPr>
          <w:b/>
          <w:bCs/>
          <w:color w:val="ED7D31" w:themeColor="accent2"/>
        </w:rPr>
        <w:t>Additional observations:</w:t>
      </w:r>
    </w:p>
    <w:p w14:paraId="342AB512" w14:textId="687D5BBF" w:rsidR="004C2808" w:rsidRDefault="00666D40" w:rsidP="00472B02">
      <w:pPr>
        <w:pStyle w:val="NoSpacing"/>
        <w:numPr>
          <w:ilvl w:val="0"/>
          <w:numId w:val="2"/>
        </w:numPr>
      </w:pPr>
      <w:r w:rsidRPr="00666D40">
        <w:rPr>
          <w:u w:val="single"/>
        </w:rPr>
        <w:t>Regional look</w:t>
      </w:r>
      <w:r>
        <w:t>: Across</w:t>
      </w:r>
      <w:r w:rsidR="004C2808">
        <w:t xml:space="preserve"> IRI’s eight</w:t>
      </w:r>
      <w:r>
        <w:t xml:space="preserve"> regions, California, the Great Lakes, the Northeast and the West have an above-average share of mushroom sales when compared to their share of total food and beverage dollars. While all regions had year-over-year declines in sales, they were the smallest in the West (excl. California). Several regions that under index for current consumption had above-average growth, including the Southeast and the Mid-South.</w:t>
      </w:r>
    </w:p>
    <w:p w14:paraId="2C359F28" w14:textId="47DADB64" w:rsidR="00927EAC" w:rsidRDefault="00927EAC" w:rsidP="00472B02">
      <w:pPr>
        <w:pStyle w:val="NoSpacing"/>
        <w:numPr>
          <w:ilvl w:val="0"/>
          <w:numId w:val="2"/>
        </w:numPr>
      </w:pPr>
      <w:r>
        <w:rPr>
          <w:u w:val="single"/>
        </w:rPr>
        <w:t>Quarterly performance</w:t>
      </w:r>
      <w:r w:rsidRPr="00927EAC">
        <w:t>:</w:t>
      </w:r>
      <w:r>
        <w:t xml:space="preserve"> The first quarter was the biggest of the four for both regular white button mushrooms and </w:t>
      </w:r>
      <w:proofErr w:type="spellStart"/>
      <w:r w:rsidR="004E1FE4">
        <w:t>crimini</w:t>
      </w:r>
      <w:proofErr w:type="spellEnd"/>
      <w:r>
        <w:t>/brown mushrooms. The fourth quarter was the second-biggest — signaling significant opportunity gaps for the second and third quarters.</w:t>
      </w:r>
    </w:p>
    <w:p w14:paraId="5AD5C74D" w14:textId="41B08D11" w:rsidR="00D81FBA" w:rsidRDefault="00D81FBA" w:rsidP="00472B02">
      <w:pPr>
        <w:pStyle w:val="NoSpacing"/>
        <w:numPr>
          <w:ilvl w:val="0"/>
          <w:numId w:val="2"/>
        </w:numPr>
      </w:pPr>
      <w:r>
        <w:rPr>
          <w:u w:val="single"/>
        </w:rPr>
        <w:t>Fixed versus random weight performance</w:t>
      </w:r>
      <w:r w:rsidRPr="00D81FBA">
        <w:t>:</w:t>
      </w:r>
      <w:r>
        <w:t xml:space="preserve"> </w:t>
      </w:r>
      <w:r w:rsidR="00A00697">
        <w:t xml:space="preserve">The vast majority of fresh mushroom dollars and pounds </w:t>
      </w:r>
      <w:r w:rsidR="007D33D8">
        <w:t>we</w:t>
      </w:r>
      <w:r w:rsidR="00A00697">
        <w:t>re fixed weight</w:t>
      </w:r>
      <w:r w:rsidR="007D33D8">
        <w:t xml:space="preserve"> in 2021</w:t>
      </w:r>
      <w:r w:rsidR="00A00697">
        <w:t xml:space="preserve">, at 94.8% and 95.3%, respectively. Just like in the total fresh produce, fixed weight performed better than random weight in both 2020 and 2021. Fixed weight mushrooms dollar sales were down 5.6% versus 12.4% for random weight in 2021 versus year ago. </w:t>
      </w:r>
    </w:p>
    <w:p w14:paraId="5D1E9BED" w14:textId="407B5925" w:rsidR="00A00697" w:rsidRDefault="00A00697" w:rsidP="00472B02">
      <w:pPr>
        <w:pStyle w:val="NoSpacing"/>
        <w:numPr>
          <w:ilvl w:val="0"/>
          <w:numId w:val="2"/>
        </w:numPr>
      </w:pPr>
      <w:r>
        <w:rPr>
          <w:u w:val="single"/>
        </w:rPr>
        <w:t>Package size analysis</w:t>
      </w:r>
      <w:r>
        <w:t xml:space="preserve">: </w:t>
      </w:r>
      <w:r w:rsidR="007D33D8">
        <w:t xml:space="preserve">Eight-ounce packages ($685 million) and 16-ounce packages ($249 million) drove the bulk of fresh mushroom sales. But packages smaller than eight ounces (+1.6%) and larger than 16 ounces (+2.8%) had year-on-year growth, albeit off a small base. </w:t>
      </w:r>
    </w:p>
    <w:p w14:paraId="5717B51C" w14:textId="0927EF40" w:rsidR="004462C1" w:rsidRDefault="004462C1" w:rsidP="00472B02">
      <w:pPr>
        <w:pStyle w:val="NoSpacing"/>
        <w:numPr>
          <w:ilvl w:val="0"/>
          <w:numId w:val="2"/>
        </w:numPr>
      </w:pPr>
      <w:r>
        <w:rPr>
          <w:u w:val="single"/>
        </w:rPr>
        <w:t>Organic versus conventional</w:t>
      </w:r>
      <w:r w:rsidRPr="004462C1">
        <w:t>:</w:t>
      </w:r>
      <w:r>
        <w:t xml:space="preserve"> Organic dollar sales made up </w:t>
      </w:r>
      <w:r w:rsidR="001A70BC">
        <w:t>12.4</w:t>
      </w:r>
      <w:r>
        <w:t xml:space="preserve">% of total fresh mushroom sales in 2021. Organic mushrooms had a slightly better performance, down 5.4% year-on-year versus -6.1% for conventional. Organic </w:t>
      </w:r>
      <w:proofErr w:type="spellStart"/>
      <w:r w:rsidR="004E1FE4">
        <w:t>crimini</w:t>
      </w:r>
      <w:proofErr w:type="spellEnd"/>
      <w:r>
        <w:t xml:space="preserve">/brown mushroom sales ($61 million) exceeded those of </w:t>
      </w:r>
      <w:r w:rsidR="004E1FE4">
        <w:t xml:space="preserve">organic </w:t>
      </w:r>
      <w:r>
        <w:t xml:space="preserve">white button mushrooms ($58 million) in 2021, along with having higher volume sales. Organic fresh mushroom sales were the second-highest since 2017. </w:t>
      </w:r>
      <w:r w:rsidR="005E5127">
        <w:t xml:space="preserve">Its share of total mushroom dollars has risen from 10.0% in 2017 to 12.4% in 2021. </w:t>
      </w:r>
    </w:p>
    <w:p w14:paraId="5462928A" w14:textId="7B2A5A09" w:rsidR="004462C1" w:rsidRDefault="004462C1" w:rsidP="00472B02">
      <w:pPr>
        <w:pStyle w:val="NoSpacing"/>
        <w:numPr>
          <w:ilvl w:val="0"/>
          <w:numId w:val="2"/>
        </w:numPr>
      </w:pPr>
      <w:r w:rsidRPr="004462C1">
        <w:rPr>
          <w:u w:val="single"/>
        </w:rPr>
        <w:t>Cut/prepared versus whole mushrooms</w:t>
      </w:r>
      <w:r>
        <w:t xml:space="preserve">: </w:t>
      </w:r>
      <w:r w:rsidR="0090410F">
        <w:t>Cut or prepared mushrooms made up 54.1% of dollar sales in 2021 and had a slightly better performance than mushrooms with no preparation.</w:t>
      </w:r>
      <w:r w:rsidR="005E5127">
        <w:t xml:space="preserve"> About half of cut/prepared fresh mushroom sales were made up by white button mushrooms. Cut/prepared portabella mushrooms had the best year-on-year performance, though still down -2.4%. The share of cut/prepared as a percentage of total mushroom sales rebounded a bit in 2021, to 54.1%, up from 53.9%. </w:t>
      </w:r>
    </w:p>
    <w:p w14:paraId="5DBFDF80" w14:textId="5B1F8874" w:rsidR="00B34EF7" w:rsidRPr="00B34EF7" w:rsidRDefault="00782D09" w:rsidP="0054182D">
      <w:pPr>
        <w:pStyle w:val="NoSpacing"/>
        <w:spacing w:before="120"/>
      </w:pPr>
      <w:r w:rsidRPr="00555250">
        <w:rPr>
          <w:color w:val="7F7F7F" w:themeColor="text1" w:themeTint="80"/>
          <w:sz w:val="16"/>
          <w:szCs w:val="16"/>
        </w:rPr>
        <w:t>Source: IRI, Integrated Fresh, MULO, 52 weeks ending 12/26/2021</w:t>
      </w:r>
      <w:r w:rsidR="00B34EF7">
        <w:t xml:space="preserve"> </w:t>
      </w:r>
    </w:p>
    <w:sectPr w:rsidR="00B34EF7" w:rsidRPr="00B34EF7" w:rsidSect="005049A9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F7"/>
    <w:rsid w:val="000D7A79"/>
    <w:rsid w:val="00124CB7"/>
    <w:rsid w:val="001A70BC"/>
    <w:rsid w:val="00276C09"/>
    <w:rsid w:val="004462C1"/>
    <w:rsid w:val="00453F1E"/>
    <w:rsid w:val="00472B02"/>
    <w:rsid w:val="004C2808"/>
    <w:rsid w:val="004E1FE4"/>
    <w:rsid w:val="005049A9"/>
    <w:rsid w:val="0054182D"/>
    <w:rsid w:val="00555250"/>
    <w:rsid w:val="005C6AEE"/>
    <w:rsid w:val="005E5127"/>
    <w:rsid w:val="00666D40"/>
    <w:rsid w:val="00782D09"/>
    <w:rsid w:val="007D33D8"/>
    <w:rsid w:val="00851AC9"/>
    <w:rsid w:val="008A56E2"/>
    <w:rsid w:val="0090410F"/>
    <w:rsid w:val="0092088E"/>
    <w:rsid w:val="00927EAC"/>
    <w:rsid w:val="0094219B"/>
    <w:rsid w:val="00A00697"/>
    <w:rsid w:val="00A5084B"/>
    <w:rsid w:val="00A72B72"/>
    <w:rsid w:val="00AF14BD"/>
    <w:rsid w:val="00B25DFD"/>
    <w:rsid w:val="00B34EF7"/>
    <w:rsid w:val="00B979CF"/>
    <w:rsid w:val="00BB36C2"/>
    <w:rsid w:val="00D81FBA"/>
    <w:rsid w:val="00E4438B"/>
    <w:rsid w:val="00F2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464D6-CB41-44CB-870E-B5306D665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Cristie Mather</cp:lastModifiedBy>
  <cp:revision>3</cp:revision>
  <dcterms:created xsi:type="dcterms:W3CDTF">2022-01-27T05:33:00Z</dcterms:created>
  <dcterms:modified xsi:type="dcterms:W3CDTF">2022-01-27T05:38:00Z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</Properties>
</file>